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40509">
      <w:pPr>
        <w:jc w:val="left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</w:p>
    <w:p w14:paraId="583807A6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预算部门</w:t>
      </w:r>
      <w:r>
        <w:rPr>
          <w:rFonts w:hint="eastAsia" w:ascii="Times New Roman" w:hAnsi="Times New Roman" w:cs="Times New Roman"/>
          <w:sz w:val="44"/>
          <w:szCs w:val="44"/>
        </w:rPr>
        <w:t>整体</w:t>
      </w:r>
      <w:r>
        <w:rPr>
          <w:rFonts w:ascii="Times New Roman" w:hAnsi="Times New Roman" w:cs="Times New Roman"/>
          <w:sz w:val="44"/>
          <w:szCs w:val="44"/>
        </w:rPr>
        <w:t>绩效自评报告</w:t>
      </w:r>
    </w:p>
    <w:p w14:paraId="441F464C">
      <w:pPr>
        <w:jc w:val="center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（20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24</w:t>
      </w:r>
      <w:r>
        <w:rPr>
          <w:rFonts w:ascii="Times New Roman" w:hAnsi="Times New Roman" w:eastAsia="仿宋" w:cs="Times New Roman"/>
          <w:sz w:val="30"/>
          <w:szCs w:val="30"/>
        </w:rPr>
        <w:t>年度）</w:t>
      </w:r>
    </w:p>
    <w:p w14:paraId="2BDA5401">
      <w:pPr>
        <w:rPr>
          <w:rFonts w:ascii="Times New Roman" w:hAnsi="Times New Roman" w:eastAsia="仿宋" w:cs="Times New Roman"/>
        </w:rPr>
      </w:pPr>
    </w:p>
    <w:p w14:paraId="585BAA9D">
      <w:pPr>
        <w:rPr>
          <w:rFonts w:ascii="Times New Roman" w:hAnsi="Times New Roman" w:eastAsia="仿宋" w:cs="Times New Roman"/>
        </w:rPr>
      </w:pPr>
    </w:p>
    <w:p w14:paraId="0E5F8D4A">
      <w:pPr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评价方式：</w:t>
      </w:r>
      <w:r>
        <w:rPr>
          <w:rFonts w:ascii="Times New Roman" w:hAnsi="Times New Roman" w:eastAsia="仿宋" w:cs="Times New Roman"/>
          <w:sz w:val="44"/>
          <w:szCs w:val="44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 xml:space="preserve">直接组织评价        </w:t>
      </w:r>
      <w:r>
        <w:rPr>
          <w:rFonts w:ascii="Times New Roman" w:hAnsi="Times New Roman" w:eastAsia="仿宋" w:cs="Times New Roman"/>
          <w:sz w:val="44"/>
          <w:szCs w:val="44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>委托评价</w:t>
      </w:r>
    </w:p>
    <w:p w14:paraId="1C095E64">
      <w:pPr>
        <w:rPr>
          <w:rFonts w:ascii="Times New Roman" w:hAnsi="Times New Roman" w:eastAsia="仿宋" w:cs="Times New Roman"/>
        </w:rPr>
      </w:pPr>
    </w:p>
    <w:p w14:paraId="4EDA1C22">
      <w:pPr>
        <w:rPr>
          <w:rFonts w:ascii="Times New Roman" w:hAnsi="Times New Roman" w:eastAsia="仿宋" w:cs="Times New Roman"/>
        </w:rPr>
      </w:pPr>
    </w:p>
    <w:p w14:paraId="51488B17">
      <w:pPr>
        <w:rPr>
          <w:rFonts w:ascii="Times New Roman" w:hAnsi="Times New Roman" w:eastAsia="仿宋" w:cs="Times New Roman"/>
        </w:rPr>
      </w:pPr>
    </w:p>
    <w:p w14:paraId="3427E468"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 w14:paraId="0494016D"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 w14:paraId="36F07921"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 w14:paraId="21C9CF23">
      <w:pPr>
        <w:ind w:firstLine="1920" w:firstLineChars="6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部门名称：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>唐山市丰润区商务和投资促进局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</w:t>
      </w:r>
    </w:p>
    <w:p w14:paraId="0FC390D1"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联系电话：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0315-51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>9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0819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</w:p>
    <w:p w14:paraId="798DB376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3C8E36A4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71C9B5C5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736A58E3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06335838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31542065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1E631C71"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填报日期</w:t>
      </w:r>
      <w:r>
        <w:rPr>
          <w:rFonts w:hint="eastAsia" w:ascii="Times New Roman" w:hAnsi="Times New Roman" w:eastAsia="仿宋" w:cs="Times New Roman"/>
          <w:sz w:val="32"/>
          <w:szCs w:val="32"/>
        </w:rPr>
        <w:t>：20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26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 w14:paraId="4A59593F"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唐山</w:t>
      </w:r>
      <w:r>
        <w:rPr>
          <w:rFonts w:ascii="仿宋" w:hAnsi="仿宋" w:eastAsia="仿宋" w:cs="Times New Roman"/>
          <w:sz w:val="32"/>
          <w:szCs w:val="32"/>
        </w:rPr>
        <w:t>市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丰润区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商务和投资促进局</w:t>
      </w:r>
      <w:r>
        <w:rPr>
          <w:rFonts w:hint="eastAsia" w:ascii="仿宋" w:hAnsi="仿宋" w:eastAsia="仿宋" w:cs="Times New Roman"/>
          <w:sz w:val="32"/>
          <w:szCs w:val="32"/>
        </w:rPr>
        <w:t>编</w:t>
      </w:r>
      <w:r>
        <w:rPr>
          <w:rFonts w:ascii="仿宋" w:hAnsi="仿宋" w:eastAsia="仿宋" w:cs="Times New Roman"/>
          <w:sz w:val="32"/>
          <w:szCs w:val="32"/>
        </w:rPr>
        <w:t>制</w:t>
      </w:r>
    </w:p>
    <w:p w14:paraId="478E2F1F"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br w:type="page"/>
      </w:r>
    </w:p>
    <w:p w14:paraId="66DA53BB">
      <w:pPr>
        <w:jc w:val="center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t>部门</w:t>
      </w:r>
      <w:r>
        <w:rPr>
          <w:rFonts w:hint="eastAsia" w:cs="Times New Roman" w:asciiTheme="minorEastAsia" w:hAnsiTheme="minorEastAsia"/>
          <w:b/>
          <w:sz w:val="44"/>
          <w:szCs w:val="44"/>
        </w:rPr>
        <w:t>整体</w:t>
      </w:r>
      <w:r>
        <w:rPr>
          <w:rFonts w:cs="Times New Roman" w:asciiTheme="minorEastAsia" w:hAnsiTheme="minorEastAsia"/>
          <w:b/>
          <w:sz w:val="44"/>
          <w:szCs w:val="44"/>
        </w:rPr>
        <w:t>绩效自评情况</w:t>
      </w:r>
    </w:p>
    <w:p w14:paraId="143F1050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一、部门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整体</w:t>
      </w:r>
      <w:r>
        <w:rPr>
          <w:rFonts w:ascii="Times New Roman" w:hAnsi="Times New Roman" w:eastAsia="黑体" w:cs="Times New Roman"/>
          <w:b/>
          <w:sz w:val="32"/>
          <w:szCs w:val="32"/>
        </w:rPr>
        <w:t>概况</w:t>
      </w:r>
    </w:p>
    <w:p w14:paraId="3B70B609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本部门20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" w:cs="Times New Roman"/>
          <w:sz w:val="32"/>
          <w:szCs w:val="32"/>
        </w:rPr>
        <w:t>年度申请预算</w:t>
      </w:r>
      <w:r>
        <w:rPr>
          <w:rFonts w:hint="eastAsia" w:ascii="Times New Roman" w:hAnsi="Times New Roman" w:eastAsia="仿宋" w:cs="Times New Roman"/>
          <w:sz w:val="32"/>
          <w:szCs w:val="32"/>
        </w:rPr>
        <w:t>资金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3585.351546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万元，实际支出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3585.351546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万元，预算执行率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" w:cs="Times New Roman"/>
          <w:sz w:val="32"/>
          <w:szCs w:val="32"/>
        </w:rPr>
        <w:t>%</w:t>
      </w:r>
      <w:r>
        <w:rPr>
          <w:rFonts w:hint="eastAsia" w:ascii="Times New Roman" w:hAnsi="Times New Roman" w:eastAsia="仿宋" w:cs="Times New Roman"/>
          <w:sz w:val="32"/>
          <w:szCs w:val="32"/>
        </w:rPr>
        <w:t>。其中：专项</w:t>
      </w:r>
      <w:r>
        <w:rPr>
          <w:rFonts w:ascii="Times New Roman" w:hAnsi="Times New Roman" w:eastAsia="仿宋" w:cs="Times New Roman"/>
          <w:sz w:val="32"/>
          <w:szCs w:val="32"/>
        </w:rPr>
        <w:t>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" w:cs="Times New Roman"/>
          <w:sz w:val="32"/>
          <w:szCs w:val="32"/>
        </w:rPr>
        <w:t>个，金额</w:t>
      </w: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</w:rPr>
        <w:t>合计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2675.796119</w:t>
      </w:r>
      <w:r>
        <w:rPr>
          <w:rFonts w:ascii="Times New Roman" w:hAnsi="Times New Roman" w:eastAsia="仿宋" w:cs="Times New Roman"/>
          <w:sz w:val="32"/>
          <w:szCs w:val="32"/>
        </w:rPr>
        <w:t>万元，实际</w:t>
      </w:r>
      <w:r>
        <w:rPr>
          <w:rFonts w:hint="eastAsia" w:ascii="Times New Roman" w:hAnsi="Times New Roman" w:eastAsia="仿宋" w:cs="Times New Roman"/>
          <w:sz w:val="32"/>
          <w:szCs w:val="32"/>
        </w:rPr>
        <w:t>支出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2675.796119</w:t>
      </w:r>
      <w:r>
        <w:rPr>
          <w:rFonts w:ascii="Times New Roman" w:hAnsi="Times New Roman" w:eastAsia="仿宋" w:cs="Times New Roman"/>
          <w:sz w:val="32"/>
          <w:szCs w:val="32"/>
        </w:rPr>
        <w:t>万元，执行率为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" w:cs="Times New Roman"/>
          <w:sz w:val="32"/>
          <w:szCs w:val="32"/>
        </w:rPr>
        <w:t>%。</w:t>
      </w:r>
    </w:p>
    <w:p w14:paraId="6E49620D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二、部门总体绩效目标和绩效指标设定情况</w:t>
      </w:r>
    </w:p>
    <w:p w14:paraId="470F5FE9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唐山市丰润区商务和投资促进局为区政府工作部门，负责推进农村市场体系建设，组织实施农村现代流通网络工程。负责丰润区会展业促进与管理工作;指导、管理境内外对外经济技术展览会和赴境外非商业性办展活动。负责推进流通产业结构调整，指导流通企业改革、商贸服务业和社区商业发展；指导全区流通领域信息网络和电子商务建设；按有关规定对特殊流通行业及成品油进行监督管理；指导全区吸引外资及外商投资企业备案工作，规范对外招商引资活动。负责机关综合业务管理和机关综合事务管理。承担全区商务系统对外宣传和信息发布工作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市达实际利用外资1000万美元。1-11月份，实际利用外资完成580万美元，全市排名第五。</w:t>
      </w:r>
      <w:r>
        <w:rPr>
          <w:rFonts w:hint="eastAsia" w:ascii="仿宋" w:hAnsi="仿宋" w:eastAsia="仿宋" w:cs="仿宋"/>
          <w:sz w:val="30"/>
          <w:szCs w:val="30"/>
        </w:rPr>
        <w:t>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至</w:t>
      </w:r>
      <w:r>
        <w:rPr>
          <w:rFonts w:hint="eastAsia" w:ascii="仿宋" w:hAnsi="仿宋" w:eastAsia="仿宋" w:cs="仿宋"/>
          <w:sz w:val="30"/>
          <w:szCs w:val="30"/>
        </w:rPr>
        <w:t>目前，市区两级招商中心共有在谈项目161个、签约项目30个，落地项目20个。2024年全社会消费品零售总额完成192.23亿元，同比增长4%。限上零售额完成20.95亿元，同比增长7.8%。新入统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限上</w:t>
      </w:r>
      <w:r>
        <w:rPr>
          <w:rFonts w:hint="eastAsia" w:ascii="仿宋" w:hAnsi="仿宋" w:eastAsia="仿宋" w:cs="仿宋"/>
          <w:sz w:val="30"/>
          <w:szCs w:val="30"/>
        </w:rPr>
        <w:t>企业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15家，规上服务业3家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3E07EEE7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三、绩效评价组织情况</w:t>
      </w:r>
    </w:p>
    <w:p w14:paraId="779BADB0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本次绩效评价项目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" w:cs="Times New Roman"/>
          <w:sz w:val="32"/>
          <w:szCs w:val="32"/>
        </w:rPr>
        <w:t>个，</w:t>
      </w:r>
      <w:r>
        <w:rPr>
          <w:rFonts w:hint="eastAsia" w:ascii="Times New Roman" w:hAnsi="Times New Roman" w:eastAsia="仿宋" w:cs="Times New Roman"/>
          <w:sz w:val="32"/>
          <w:szCs w:val="32"/>
        </w:rPr>
        <w:t>占</w:t>
      </w:r>
      <w:r>
        <w:rPr>
          <w:rFonts w:ascii="Times New Roman" w:hAnsi="Times New Roman" w:eastAsia="仿宋" w:cs="Times New Roman"/>
          <w:sz w:val="32"/>
          <w:szCs w:val="32"/>
        </w:rPr>
        <w:t>部门项目总数的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" w:cs="Times New Roman"/>
          <w:sz w:val="32"/>
          <w:szCs w:val="32"/>
        </w:rPr>
        <w:t>%，涉及金额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2675.796119</w:t>
      </w:r>
      <w:r>
        <w:rPr>
          <w:rFonts w:hint="eastAsia" w:ascii="仿宋" w:hAnsi="仿宋" w:eastAsia="仿宋"/>
          <w:sz w:val="30"/>
          <w:szCs w:val="30"/>
        </w:rPr>
        <w:t>万元</w:t>
      </w:r>
      <w:r>
        <w:rPr>
          <w:rFonts w:ascii="Times New Roman" w:hAnsi="Times New Roman" w:eastAsia="仿宋" w:cs="Times New Roman"/>
          <w:sz w:val="32"/>
          <w:szCs w:val="32"/>
        </w:rPr>
        <w:t>。采取成立本部门绩效自评工作组</w:t>
      </w:r>
      <w:r>
        <w:rPr>
          <w:rFonts w:hint="eastAsia" w:ascii="Times New Roman" w:hAnsi="Times New Roman" w:eastAsia="仿宋" w:cs="Times New Roman"/>
          <w:sz w:val="32"/>
          <w:szCs w:val="32"/>
        </w:rPr>
        <w:t>的</w:t>
      </w:r>
      <w:r>
        <w:rPr>
          <w:rFonts w:ascii="Times New Roman" w:hAnsi="Times New Roman" w:eastAsia="仿宋" w:cs="Times New Roman"/>
          <w:sz w:val="32"/>
          <w:szCs w:val="32"/>
        </w:rPr>
        <w:t>形式，本着客观、公正、公开的原则开展自评工作，所有项目的绩效自评均设计了合理、明晰、可考核的、关键性产出指标和效果指标。自评结果真实可靠。</w:t>
      </w:r>
    </w:p>
    <w:p w14:paraId="164F0AC0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四、绩效实现情况分析</w:t>
      </w:r>
    </w:p>
    <w:p w14:paraId="31677CA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/>
        <w:jc w:val="left"/>
        <w:rPr>
          <w:rFonts w:hint="eastAsia" w:ascii="Times New Roman" w:hAnsi="Times New Roman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1、主要经济指标完成情况。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  <w:t>进出口总额。2024年1-11月份，我区完成进出口37.3亿元，全市排名第8，同比下降37.3%，其中，出口29.6亿元，同比下降40.4%；进口完成7.7亿元，同比下降21.4%。2024年我区实际利用外资完成580万美元入统，总量居全市第五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顺利完成全年任务。</w:t>
      </w:r>
    </w:p>
    <w:p w14:paraId="23E443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02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kern w:val="2"/>
          <w:sz w:val="30"/>
          <w:szCs w:val="30"/>
          <w:lang w:val="en-US" w:eastAsia="zh-CN" w:bidi="ar-SA"/>
        </w:rPr>
        <w:t>2、</w:t>
      </w:r>
      <w:r>
        <w:rPr>
          <w:rFonts w:hint="eastAsia" w:ascii="楷体" w:eastAsia="楷体" w:cs="楷体"/>
          <w:b/>
          <w:bCs/>
          <w:color w:val="000000"/>
          <w:sz w:val="32"/>
          <w:szCs w:val="32"/>
          <w:lang w:val="en-US" w:eastAsia="zh-CN"/>
        </w:rPr>
        <w:t>招商引资工作。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2024年，区四大班子领导带队赴外小团组精准招商20次、走访35个城市，累计考察优势企业、科研院所、高等院校58家，接待来丰客商84次、101家，累计收集招商信息87条，达成重点合作意向53个。共计签约项目40个，总投资132.52亿元。</w:t>
      </w:r>
    </w:p>
    <w:p w14:paraId="0C5F45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2024年我区纳入考核央企子公司共3家，分别是河北中车数智科技有限公司、国能唐山丰润区能源有限公司、华能唐山丰润新能源发电有限公司，三家企业目前均被认定为合格企业。河北中车数智科技有限公司截至目前参保人数46人，利润总额3284.9万元；国能唐山丰润区能源有限公司目前参保人数35人，利润1.3万元；华能唐山丰润区新能源发电有限公司目前项目暂未出库，尚未开展实际业务，暂无利润及参保人数。</w:t>
      </w:r>
    </w:p>
    <w:p w14:paraId="055D88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highlight w:val="cyan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丰润区共成立市区两级企业招商中心41家。其中，市级招商中心7家，区级招商中心34家，围绕更多产业开展精准招商引资工作，实现了属地乡街、经济主管、重点领域招商中心的全覆盖。2024年，市区两级招商中心共有在谈项目161个、签约项目30个，落地项目20个。</w:t>
      </w:r>
    </w:p>
    <w:p w14:paraId="5CEA6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2" w:firstLineChars="200"/>
        <w:jc w:val="both"/>
        <w:textAlignment w:val="baseline"/>
        <w:rPr>
          <w:rFonts w:hint="default"/>
          <w:highlight w:val="cyan"/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3、发展电商产业</w:t>
      </w:r>
      <w:r>
        <w:rPr>
          <w:rFonts w:hint="eastAsia" w:ascii="仿宋" w:hAnsi="仿宋" w:eastAsia="仿宋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" w:hAnsi="仿宋" w:eastAsia="仿宋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eastAsia="zh-CN"/>
        </w:rPr>
        <w:t>2024年，全区网络零售额达到了17.44亿元。一是电商促销活动丰富多彩，成功组织了丰润区电商企业积极参与了“2024年全国网上年货节”“第六届双品网购节”等一系列5次电商促销活动。二是电商培训工作扎实推进，组织开展北部山区农村电商人才免费培训共计2次。结合我区电商协会、电商文化发展中心等资源，我们共同组织了多场电商培训交流活动，通过9场培训活动，共计培训了300余人次。三是搭建校企合作桥梁，积极与华北理工轻工学院商学院等高校进行对接，商讨搭建高校青年人才与本地优质企业交流合作的桥梁。通过到企业实地考察和商讨合作事宜，我们成功推动了校企合作项目的落地实施，为优秀毕业生提供了更多的实习就业机会。四是线上线下联动促消费，成功组织了2024年5月18日“惠享”嘉年华•全民焕新节、2024年9月28日唐山市丰润区2024数商文化节暨消费品焕新大集活动等活动，通过线上线下的联动方式，吸引了大量消费者参与。五是深入调研电商企业发展需求，我们对区内7家电商企业进行了走访调研，深入了解了他们当前所面临的困难和挑战。六是形成电商产业发展调研报告，为了更好地了解丰润区电商产业的发展现状和未来趋势，我们结合区政府研究室组织开展了深入调研工作。通过调研分析，我们形成了《关于丰润区电商产业发展的调查与思考》专题报告，为政府决策提供了有力依据。</w:t>
      </w:r>
    </w:p>
    <w:p w14:paraId="0989A17C">
      <w:pPr>
        <w:pStyle w:val="5"/>
        <w:spacing w:beforeAutospacing="0" w:afterAutospacing="0" w:line="590" w:lineRule="exact"/>
        <w:ind w:left="0" w:firstLine="602" w:firstLineChars="200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sz w:val="30"/>
          <w:szCs w:val="30"/>
        </w:rPr>
        <w:t>、安全生产</w:t>
      </w:r>
      <w:r>
        <w:rPr>
          <w:rFonts w:ascii="仿宋" w:hAnsi="仿宋" w:eastAsia="仿宋"/>
          <w:b/>
          <w:sz w:val="30"/>
          <w:szCs w:val="30"/>
        </w:rPr>
        <w:t>工作</w:t>
      </w:r>
      <w:r>
        <w:rPr>
          <w:rFonts w:hint="eastAsia" w:ascii="仿宋" w:hAnsi="仿宋" w:eastAsia="仿宋"/>
          <w:b/>
          <w:sz w:val="30"/>
          <w:szCs w:val="30"/>
        </w:rPr>
        <w:t>。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按照上级要求，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  <w:t>开展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安全生产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  <w:t>大排查大整治攻坚行动，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我们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  <w:t>严格按照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安全生产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  <w:t>行业标准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对所辖片区的商贸企业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  <w:t>进行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多轮次 督导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  <w:t>检查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宣传安全生产相关知识，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  <w:t>对检查中发现的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问题，责令企业立即整改。对需要整改的企业进行“整改回头看”，确保逐项整改到位。提高了商户对安全生产隐患排查责任意识，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  <w:t>严防安全生产事故的发生，确保本辖区内安全生产工作持续保持稳定。全面排查商场超市、餐饮、酒店等场所瓶装液化气使用情况。由局领导带队不间断开展督导检查；针对商场超市、餐饮、酒店等人员密集场所的突出问题和薄弱环节开展安全整治行动；指导企业强化安全生产管理意识，及时排查、消除各类安全隐患。</w:t>
      </w:r>
    </w:p>
    <w:p w14:paraId="202191BA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五、存在的问题和建议</w:t>
      </w:r>
    </w:p>
    <w:p w14:paraId="27FBA020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项目支出绩效评价工作中发现两方面的问题：一是部门制度保障程度有待完善；二是部门资源配置水平和能力有待提高。</w:t>
      </w:r>
    </w:p>
    <w:p w14:paraId="2F5DD459">
      <w:pPr>
        <w:ind w:firstLine="600" w:firstLineChars="200"/>
        <w:rPr>
          <w:rFonts w:ascii="Times New Roman" w:hAnsi="Times New Roman" w:cs="Times New Roma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2024</w:t>
      </w:r>
      <w:r>
        <w:rPr>
          <w:rFonts w:hint="eastAsia" w:ascii="仿宋" w:hAnsi="仿宋" w:eastAsia="仿宋"/>
          <w:sz w:val="30"/>
          <w:szCs w:val="30"/>
        </w:rPr>
        <w:t>年项目绩效评价工作完成后，我局及时整理、归纳、分析绩效评价结果，根据绩效评价的结果，我局相应改进管理措施，完善管理办法，调整和优化本单位预算支出结构，合理配置资源。同时，我局绩效评价结果会按照政府信息公开有关规定，在一定范围内公开。</w:t>
      </w:r>
    </w:p>
    <w:sectPr>
      <w:pgSz w:w="11906" w:h="16838"/>
      <w:pgMar w:top="209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MmRjYjk2NzFmZTM5M2EzYjFlZTRiYTk3YWJlZTgifQ=="/>
  </w:docVars>
  <w:rsids>
    <w:rsidRoot w:val="0096493D"/>
    <w:rsid w:val="00005328"/>
    <w:rsid w:val="00010B23"/>
    <w:rsid w:val="00075FA4"/>
    <w:rsid w:val="0008093C"/>
    <w:rsid w:val="000862E6"/>
    <w:rsid w:val="000A740A"/>
    <w:rsid w:val="000B10D7"/>
    <w:rsid w:val="000C049D"/>
    <w:rsid w:val="000E7104"/>
    <w:rsid w:val="000F2758"/>
    <w:rsid w:val="00107A98"/>
    <w:rsid w:val="00110F03"/>
    <w:rsid w:val="00116C9D"/>
    <w:rsid w:val="00121CE0"/>
    <w:rsid w:val="00126BA4"/>
    <w:rsid w:val="00132C4A"/>
    <w:rsid w:val="00140A89"/>
    <w:rsid w:val="001575F5"/>
    <w:rsid w:val="00164E16"/>
    <w:rsid w:val="00166CE3"/>
    <w:rsid w:val="00173201"/>
    <w:rsid w:val="001745FA"/>
    <w:rsid w:val="001A2672"/>
    <w:rsid w:val="001B25D4"/>
    <w:rsid w:val="001B5CBF"/>
    <w:rsid w:val="001B664B"/>
    <w:rsid w:val="001B6D40"/>
    <w:rsid w:val="001B789C"/>
    <w:rsid w:val="001D3218"/>
    <w:rsid w:val="001E4DE8"/>
    <w:rsid w:val="001E54BD"/>
    <w:rsid w:val="00200311"/>
    <w:rsid w:val="00200A43"/>
    <w:rsid w:val="00203E52"/>
    <w:rsid w:val="00212913"/>
    <w:rsid w:val="00222585"/>
    <w:rsid w:val="00230589"/>
    <w:rsid w:val="002319C7"/>
    <w:rsid w:val="0024508D"/>
    <w:rsid w:val="002464E9"/>
    <w:rsid w:val="002478E8"/>
    <w:rsid w:val="002541FD"/>
    <w:rsid w:val="002633F7"/>
    <w:rsid w:val="0027171A"/>
    <w:rsid w:val="00271D38"/>
    <w:rsid w:val="00280530"/>
    <w:rsid w:val="002812F8"/>
    <w:rsid w:val="00287961"/>
    <w:rsid w:val="002A0D21"/>
    <w:rsid w:val="002A1E42"/>
    <w:rsid w:val="002A288A"/>
    <w:rsid w:val="002B451B"/>
    <w:rsid w:val="002B4E63"/>
    <w:rsid w:val="002C3C04"/>
    <w:rsid w:val="002C6117"/>
    <w:rsid w:val="002C6B84"/>
    <w:rsid w:val="002E17B3"/>
    <w:rsid w:val="002E35C5"/>
    <w:rsid w:val="002F5533"/>
    <w:rsid w:val="00300417"/>
    <w:rsid w:val="003015F1"/>
    <w:rsid w:val="003057BC"/>
    <w:rsid w:val="00325602"/>
    <w:rsid w:val="00327511"/>
    <w:rsid w:val="00337974"/>
    <w:rsid w:val="003446E0"/>
    <w:rsid w:val="00346699"/>
    <w:rsid w:val="003552A2"/>
    <w:rsid w:val="0036652D"/>
    <w:rsid w:val="00366F10"/>
    <w:rsid w:val="00384029"/>
    <w:rsid w:val="0038556F"/>
    <w:rsid w:val="00387278"/>
    <w:rsid w:val="003A7E16"/>
    <w:rsid w:val="003C477D"/>
    <w:rsid w:val="003D0975"/>
    <w:rsid w:val="003F17CD"/>
    <w:rsid w:val="003F7251"/>
    <w:rsid w:val="00406567"/>
    <w:rsid w:val="004116D1"/>
    <w:rsid w:val="00414EC2"/>
    <w:rsid w:val="00417732"/>
    <w:rsid w:val="00424B31"/>
    <w:rsid w:val="00436413"/>
    <w:rsid w:val="00436708"/>
    <w:rsid w:val="00451D8B"/>
    <w:rsid w:val="00474EFA"/>
    <w:rsid w:val="0047729E"/>
    <w:rsid w:val="00480A62"/>
    <w:rsid w:val="004A59A6"/>
    <w:rsid w:val="004A768C"/>
    <w:rsid w:val="004B53BA"/>
    <w:rsid w:val="004B673C"/>
    <w:rsid w:val="004E10F6"/>
    <w:rsid w:val="004E2006"/>
    <w:rsid w:val="004F032F"/>
    <w:rsid w:val="004F206A"/>
    <w:rsid w:val="004F4B37"/>
    <w:rsid w:val="00502314"/>
    <w:rsid w:val="005265F1"/>
    <w:rsid w:val="0054486C"/>
    <w:rsid w:val="00552456"/>
    <w:rsid w:val="00554743"/>
    <w:rsid w:val="005663EF"/>
    <w:rsid w:val="00571418"/>
    <w:rsid w:val="0058244F"/>
    <w:rsid w:val="00591B54"/>
    <w:rsid w:val="005B2A6B"/>
    <w:rsid w:val="005C2D92"/>
    <w:rsid w:val="005E0261"/>
    <w:rsid w:val="005E054D"/>
    <w:rsid w:val="005F30D6"/>
    <w:rsid w:val="005F77E7"/>
    <w:rsid w:val="00605FE4"/>
    <w:rsid w:val="00642933"/>
    <w:rsid w:val="00645CC4"/>
    <w:rsid w:val="00662591"/>
    <w:rsid w:val="00663FCE"/>
    <w:rsid w:val="006772FC"/>
    <w:rsid w:val="00683D14"/>
    <w:rsid w:val="006B32FD"/>
    <w:rsid w:val="006B4C63"/>
    <w:rsid w:val="006C0DB9"/>
    <w:rsid w:val="006D0808"/>
    <w:rsid w:val="006D7962"/>
    <w:rsid w:val="006E2A46"/>
    <w:rsid w:val="006E6EA6"/>
    <w:rsid w:val="006F5C32"/>
    <w:rsid w:val="00707A15"/>
    <w:rsid w:val="00707F4F"/>
    <w:rsid w:val="007143E7"/>
    <w:rsid w:val="00714D4F"/>
    <w:rsid w:val="00715E46"/>
    <w:rsid w:val="00721985"/>
    <w:rsid w:val="007240A3"/>
    <w:rsid w:val="00732515"/>
    <w:rsid w:val="00732A47"/>
    <w:rsid w:val="00750ABB"/>
    <w:rsid w:val="00750DE7"/>
    <w:rsid w:val="00755AA3"/>
    <w:rsid w:val="00763E27"/>
    <w:rsid w:val="00772209"/>
    <w:rsid w:val="00790756"/>
    <w:rsid w:val="00796528"/>
    <w:rsid w:val="007A4ADC"/>
    <w:rsid w:val="007B4A7A"/>
    <w:rsid w:val="007C7290"/>
    <w:rsid w:val="007D0DAC"/>
    <w:rsid w:val="007D0DE9"/>
    <w:rsid w:val="007D479D"/>
    <w:rsid w:val="007F343B"/>
    <w:rsid w:val="00817274"/>
    <w:rsid w:val="00820D53"/>
    <w:rsid w:val="0082380C"/>
    <w:rsid w:val="008245DD"/>
    <w:rsid w:val="008516D5"/>
    <w:rsid w:val="00891075"/>
    <w:rsid w:val="00892AA3"/>
    <w:rsid w:val="00892DEC"/>
    <w:rsid w:val="008A523D"/>
    <w:rsid w:val="008A612B"/>
    <w:rsid w:val="008A6ED1"/>
    <w:rsid w:val="008B632A"/>
    <w:rsid w:val="008C3D07"/>
    <w:rsid w:val="008D26CD"/>
    <w:rsid w:val="008D3E40"/>
    <w:rsid w:val="008D5B31"/>
    <w:rsid w:val="008D7F1E"/>
    <w:rsid w:val="008F0494"/>
    <w:rsid w:val="008F0DB4"/>
    <w:rsid w:val="008F5E35"/>
    <w:rsid w:val="00905FEB"/>
    <w:rsid w:val="00922F47"/>
    <w:rsid w:val="00936261"/>
    <w:rsid w:val="00951AF6"/>
    <w:rsid w:val="00962D51"/>
    <w:rsid w:val="0096493D"/>
    <w:rsid w:val="00967B1D"/>
    <w:rsid w:val="00971E03"/>
    <w:rsid w:val="00983E22"/>
    <w:rsid w:val="00987590"/>
    <w:rsid w:val="009B4F7E"/>
    <w:rsid w:val="009D0FDC"/>
    <w:rsid w:val="009E7258"/>
    <w:rsid w:val="009E79D4"/>
    <w:rsid w:val="00A05212"/>
    <w:rsid w:val="00A116E8"/>
    <w:rsid w:val="00A15DFD"/>
    <w:rsid w:val="00A33401"/>
    <w:rsid w:val="00A561DC"/>
    <w:rsid w:val="00A62435"/>
    <w:rsid w:val="00A675D2"/>
    <w:rsid w:val="00A75973"/>
    <w:rsid w:val="00A849CC"/>
    <w:rsid w:val="00A91703"/>
    <w:rsid w:val="00AA1287"/>
    <w:rsid w:val="00AB19F5"/>
    <w:rsid w:val="00AB36F7"/>
    <w:rsid w:val="00AB66B4"/>
    <w:rsid w:val="00AC0762"/>
    <w:rsid w:val="00AE01FF"/>
    <w:rsid w:val="00AE5B06"/>
    <w:rsid w:val="00AE7C6C"/>
    <w:rsid w:val="00AF36F2"/>
    <w:rsid w:val="00AF7631"/>
    <w:rsid w:val="00B06FC9"/>
    <w:rsid w:val="00B10C63"/>
    <w:rsid w:val="00B16FA2"/>
    <w:rsid w:val="00B17405"/>
    <w:rsid w:val="00B23BE6"/>
    <w:rsid w:val="00B427F5"/>
    <w:rsid w:val="00B92159"/>
    <w:rsid w:val="00B96AA7"/>
    <w:rsid w:val="00BB4B7B"/>
    <w:rsid w:val="00BB53DC"/>
    <w:rsid w:val="00BD031B"/>
    <w:rsid w:val="00BD0897"/>
    <w:rsid w:val="00BD47B5"/>
    <w:rsid w:val="00BF3406"/>
    <w:rsid w:val="00BF4BD9"/>
    <w:rsid w:val="00C02BF7"/>
    <w:rsid w:val="00C06F32"/>
    <w:rsid w:val="00C2469C"/>
    <w:rsid w:val="00C2716C"/>
    <w:rsid w:val="00C33099"/>
    <w:rsid w:val="00C34FC7"/>
    <w:rsid w:val="00C37B3A"/>
    <w:rsid w:val="00C46A14"/>
    <w:rsid w:val="00C53F88"/>
    <w:rsid w:val="00C53F8F"/>
    <w:rsid w:val="00C639BF"/>
    <w:rsid w:val="00C65C11"/>
    <w:rsid w:val="00C71161"/>
    <w:rsid w:val="00C96B09"/>
    <w:rsid w:val="00CB68B9"/>
    <w:rsid w:val="00CC0354"/>
    <w:rsid w:val="00CC0871"/>
    <w:rsid w:val="00CD473F"/>
    <w:rsid w:val="00D0106E"/>
    <w:rsid w:val="00D11089"/>
    <w:rsid w:val="00D20515"/>
    <w:rsid w:val="00D24077"/>
    <w:rsid w:val="00D27FFE"/>
    <w:rsid w:val="00D30A65"/>
    <w:rsid w:val="00D45AED"/>
    <w:rsid w:val="00D5376D"/>
    <w:rsid w:val="00D57B08"/>
    <w:rsid w:val="00D846C4"/>
    <w:rsid w:val="00D87767"/>
    <w:rsid w:val="00D936E7"/>
    <w:rsid w:val="00DC584E"/>
    <w:rsid w:val="00DD1E85"/>
    <w:rsid w:val="00DD38AB"/>
    <w:rsid w:val="00DD6D93"/>
    <w:rsid w:val="00DE26B2"/>
    <w:rsid w:val="00DF240D"/>
    <w:rsid w:val="00E03DF9"/>
    <w:rsid w:val="00E10D5F"/>
    <w:rsid w:val="00E15156"/>
    <w:rsid w:val="00E235EF"/>
    <w:rsid w:val="00E26DC6"/>
    <w:rsid w:val="00E61311"/>
    <w:rsid w:val="00E71BB8"/>
    <w:rsid w:val="00E820CE"/>
    <w:rsid w:val="00E8697C"/>
    <w:rsid w:val="00E91EC5"/>
    <w:rsid w:val="00EB202F"/>
    <w:rsid w:val="00EC7103"/>
    <w:rsid w:val="00EE26ED"/>
    <w:rsid w:val="00EE5475"/>
    <w:rsid w:val="00EF1C74"/>
    <w:rsid w:val="00F03904"/>
    <w:rsid w:val="00F071C2"/>
    <w:rsid w:val="00F147B0"/>
    <w:rsid w:val="00F147CF"/>
    <w:rsid w:val="00F22399"/>
    <w:rsid w:val="00F32DBB"/>
    <w:rsid w:val="00F347C6"/>
    <w:rsid w:val="00F52C51"/>
    <w:rsid w:val="00F537D1"/>
    <w:rsid w:val="00F72937"/>
    <w:rsid w:val="00F807BE"/>
    <w:rsid w:val="00F96EA6"/>
    <w:rsid w:val="00FD665A"/>
    <w:rsid w:val="00FF6055"/>
    <w:rsid w:val="03AB2C76"/>
    <w:rsid w:val="04F645DA"/>
    <w:rsid w:val="19133616"/>
    <w:rsid w:val="1BA42DE0"/>
    <w:rsid w:val="27F72136"/>
    <w:rsid w:val="37D4268E"/>
    <w:rsid w:val="3AE7058E"/>
    <w:rsid w:val="3D213ECE"/>
    <w:rsid w:val="3D2E1997"/>
    <w:rsid w:val="3DAC3EF8"/>
    <w:rsid w:val="48B84099"/>
    <w:rsid w:val="4E01484C"/>
    <w:rsid w:val="4EDB463D"/>
    <w:rsid w:val="53E029D7"/>
    <w:rsid w:val="578F58C0"/>
    <w:rsid w:val="58254FDF"/>
    <w:rsid w:val="598E3DDA"/>
    <w:rsid w:val="5BA3106F"/>
    <w:rsid w:val="5DDD0E03"/>
    <w:rsid w:val="635C4CF5"/>
    <w:rsid w:val="63B40EE8"/>
    <w:rsid w:val="655869C7"/>
    <w:rsid w:val="77947AC3"/>
    <w:rsid w:val="7A573373"/>
    <w:rsid w:val="7C9C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 91"/>
    <w:basedOn w:val="1"/>
    <w:next w:val="1"/>
    <w:autoRedefine/>
    <w:qFormat/>
    <w:uiPriority w:val="0"/>
    <w:pPr>
      <w:ind w:firstLine="200" w:firstLineChars="200"/>
    </w:pPr>
    <w:rPr>
      <w:rFonts w:ascii="仿宋_GB2312" w:hAnsi="仿宋_GB2312" w:cs="宋体"/>
      <w:sz w:val="32"/>
      <w:szCs w:val="32"/>
    </w:rPr>
  </w:style>
  <w:style w:type="paragraph" w:customStyle="1" w:styleId="5">
    <w:name w:val="列出段落1"/>
    <w:basedOn w:val="1"/>
    <w:qFormat/>
    <w:uiPriority w:val="0"/>
    <w:pPr>
      <w:ind w:firstLine="20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2243</Words>
  <Characters>2449</Characters>
  <Lines>3</Lines>
  <Paragraphs>1</Paragraphs>
  <TotalTime>4</TotalTime>
  <ScaleCrop>false</ScaleCrop>
  <LinksUpToDate>false</LinksUpToDate>
  <CharactersWithSpaces>2495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2020-08-27T08:17:00Z</dcterms:created>
  <dc:creator>panbo</dc:creator>
  <cp:lastModifiedBy>,</cp:lastModifiedBy>
  <cp:lastPrinted>2021-03-05T01:04:00Z</cp:lastPrinted>
  <dcterms:modified xsi:type="dcterms:W3CDTF">2025-04-08T01:26:20Z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32C0EA5FB0694A64B894C64B9F96EAC9</vt:lpwstr>
  </property>
  <property fmtid="{D5CDD505-2E9C-101B-9397-08002B2CF9AE}" pid="4" name="KSOTemplateDocerSaveRecord">
    <vt:lpwstr>eyJoZGlkIjoiYzM4MDIyMDcxY2ViNjk4MDljZGFkNjE2NzkyOTE3ZmQiLCJ1c2VySWQiOiIzOTYwOTU2NjEifQ==</vt:lpwstr>
  </property>
</Properties>
</file>