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楷体_GB2312" w:hAnsi="楷体_GB2312" w:eastAsia="楷体_GB2312" w:cs="楷体_GB2312"/>
          <w:color w:val="000000"/>
          <w:sz w:val="40"/>
          <w:szCs w:val="40"/>
        </w:rPr>
      </w:pPr>
      <w: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10">
                      <a:lum bright="6000"/>
                    </a:blip>
                    <a:srcRect t="559" b="3637"/>
                    <a:stretch>
                      <a:fillRect/>
                    </a:stretch>
                  </pic:blipFill>
                  <pic:spPr>
                    <a:xfrm>
                      <a:off x="0" y="0"/>
                      <a:ext cx="8646795" cy="11107420"/>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1" descr="7b0a2020202022776f7264617274223a20227b5c2269645c223a32353030323136362c5c227469645c223a5c225c227d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wordart&quot;,&quot;user&quot;:&quot;292216292&quot;}"/>
                      </s:tag>
                    </a:ext>
                  </a:extLst>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a:effectLst/>
                      </wps:spPr>
                      <wps:txb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wps:txbx>
                      <wps:bodyPr upright="1"/>
                    </wps:wsp>
                  </a:graphicData>
                </a:graphic>
              </wp:anchor>
            </w:drawing>
          </mc:Choice>
          <mc:Fallback>
            <w:pict>
              <v:shape id="_x0000_s1026" o:spid="_x0000_s1026" o:spt="202" alt="7b0a2020202022776f7264617274223a20227b5c2269645c223a32353030323136362c5c227469645c223a5c225c227d220a7d0a" type="#_x0000_t202" style="position:absolute;left:0pt;margin-left:-43.05pt;margin-top:19.95pt;height:225.4pt;width:506.4pt;z-index:251660288;mso-width-relative:page;mso-height-relative:page;" filled="f" stroked="f" coordsize="21600,21600" o:gfxdata="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2yz97YAAAACgEAAA8AAAAAAAAAAQAgAAAAIgAAAGRycy9kb3ducmV2LnhtbFBL&#10;AQIUABQAAAAIAIdO4kCjWvfx9gEAAM4DAAAOAAAAAAAAAAEAIAAAACcBAABkcnMvZTJvRG9jLnht&#10;bFBLBQYAAAAABgAGAFkBAACPBQAAAAA=&#10;">
                <v:fill on="f" focussize="0,0"/>
                <v:stroke on="f"/>
                <v:imagedata o:title=""/>
                <o:lock v:ext="edit" aspectratio="f"/>
                <v:textbox>
                  <w:txbxContent>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2024年度</w:t>
                      </w:r>
                    </w:p>
                    <w:p>
                      <w:pPr>
                        <w:spacing w:line="1400" w:lineRule="exact"/>
                        <w:jc w:val="left"/>
                        <w:rPr>
                          <w:rFonts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pPr>
                      <w:r>
                        <w:rPr>
                          <w:rFonts w:hint="eastAsia" w:ascii="方正小标宋_GBK" w:hAnsi="方正小标宋_GBK" w:eastAsia="方正小标宋_GBK" w:cs="方正小标宋_GBK"/>
                          <w:b/>
                          <w:bCs/>
                          <w:color w:val="0D0D0D" w:themeColor="text1" w:themeTint="F2"/>
                          <w:sz w:val="112"/>
                          <w:szCs w:val="112"/>
                          <w14:textFill>
                            <w14:solidFill>
                              <w14:schemeClr w14:val="tx1">
                                <w14:lumMod w14:val="95000"/>
                                <w14:lumOff w14:val="5000"/>
                              </w14:schemeClr>
                            </w14:solidFill>
                          </w14:textFill>
                        </w:rPr>
                        <w:t>部门决算公开文本</w:t>
                      </w:r>
                    </w:p>
                  </w:txbxContent>
                </v:textbox>
              </v:shape>
            </w:pict>
          </mc:Fallback>
        </mc:AlternateContent>
      </w: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both"/>
        <w:rPr>
          <w:rFonts w:hint="eastAsia" w:ascii="楷体_GB2312" w:hAnsi="楷体_GB2312" w:eastAsia="楷体_GB2312" w:cs="楷体_GB2312"/>
          <w:color w:val="000000"/>
          <w:sz w:val="40"/>
          <w:szCs w:val="40"/>
        </w:rPr>
      </w:pP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490</w:t>
      </w:r>
    </w:p>
    <w:p>
      <w:pPr>
        <w:spacing w:line="600" w:lineRule="auto"/>
        <w:jc w:val="left"/>
        <w:rPr>
          <w:rFonts w:hint="eastAsia"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：唐山市丰润区常庄镇人民政府</w:t>
      </w:r>
    </w:p>
    <w:p>
      <w:pPr>
        <w:spacing w:line="600" w:lineRule="auto"/>
        <w:jc w:val="both"/>
        <w:rPr>
          <w:rFonts w:hint="eastAsia" w:ascii="楷体_GB2312" w:hAnsi="楷体_GB2312" w:eastAsia="楷体_GB2312" w:cs="楷体_GB2312"/>
          <w:color w:val="000000"/>
          <w:sz w:val="40"/>
          <w:szCs w:val="40"/>
        </w:rPr>
        <w:sectPr>
          <w:footerReference r:id="rId3" w:type="default"/>
          <w:pgSz w:w="11906" w:h="16838"/>
          <w:pgMar w:top="2098" w:right="1417" w:bottom="1871"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auto"/>
        <w:jc w:val="center"/>
        <w:rPr>
          <w:rFonts w:hint="eastAsia" w:ascii="楷体_GB2312" w:hAnsi="楷体_GB2312" w:eastAsia="楷体_GB2312" w:cs="楷体_GB2312"/>
          <w:color w:val="000000"/>
          <w:sz w:val="40"/>
          <w:szCs w:val="40"/>
        </w:rPr>
      </w:pPr>
    </w:p>
    <w:p>
      <w:pPr>
        <w:rPr>
          <w:rFonts w:hint="eastAsia" w:ascii="黑体" w:hAnsi="黑体" w:eastAsia="黑体" w:cs="黑体"/>
          <w:b/>
          <w:bCs/>
          <w:sz w:val="32"/>
          <w:szCs w:val="36"/>
          <w:highlight w:val="yellow"/>
        </w:rPr>
      </w:pPr>
    </w:p>
    <w:p>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方正小标宋_GBK"/>
          <w:b w:val="0"/>
          <w:sz w:val="72"/>
          <w:szCs w:val="72"/>
        </w:rPr>
        <w:t>唐山市丰润区常庄镇人民政府</w:t>
      </w:r>
    </w:p>
    <w:p>
      <w:pPr>
        <w:widowControl/>
        <w:spacing w:before="0" w:beforeLines="0" w:beforeAutospacing="0" w:after="0" w:afterLines="0" w:afterAutospacing="0" w:line="360" w:lineRule="auto"/>
        <w:jc w:val="center"/>
        <w:rPr>
          <w:rFonts w:ascii="Times New Roman" w:eastAsia="方正小标宋_GBK"/>
          <w:sz w:val="72"/>
          <w:szCs w:val="72"/>
        </w:rPr>
      </w:pPr>
      <w:r>
        <w:rPr>
          <w:rFonts w:ascii="Times New Roman" w:eastAsia="仿宋_GB2312"/>
          <w:b w:val="0"/>
          <w:sz w:val="72"/>
          <w:szCs w:val="72"/>
        </w:rPr>
        <w:t>2024</w:t>
      </w:r>
      <w:r>
        <w:rPr>
          <w:rFonts w:ascii="Times New Roman" w:eastAsia="方正小标宋_GBK"/>
          <w:b w:val="0"/>
          <w:sz w:val="72"/>
          <w:szCs w:val="72"/>
        </w:rPr>
        <w:t>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both"/>
        <w:rPr>
          <w:rFonts w:ascii="黑体" w:hAnsi="黑体" w:eastAsia="黑体" w:cs="黑体"/>
          <w:sz w:val="56"/>
          <w:szCs w:val="72"/>
        </w:rPr>
      </w:pPr>
    </w:p>
    <w:p>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唐山市丰润区常庄镇人民政府(单位名称，加盖公章）</w:t>
      </w:r>
    </w:p>
    <w:p>
      <w:pPr>
        <w:widowControl/>
        <w:spacing w:before="0" w:beforeLines="0" w:beforeAutospacing="0" w:after="0" w:afterLines="0" w:afterAutospacing="0" w:line="360" w:lineRule="auto"/>
        <w:jc w:val="center"/>
        <w:rPr>
          <w:rFonts w:ascii="Times New Roman" w:eastAsia="楷体_GB2312"/>
          <w:sz w:val="44"/>
          <w:szCs w:val="44"/>
        </w:rPr>
      </w:pPr>
      <w:r>
        <w:rPr>
          <w:rFonts w:ascii="Times New Roman" w:eastAsia="楷体_GB2312"/>
          <w:b w:val="0"/>
          <w:sz w:val="44"/>
          <w:szCs w:val="44"/>
        </w:rPr>
        <w:t>二〇二五年八月</w:t>
      </w:r>
    </w:p>
    <w:p>
      <w:pPr>
        <w:snapToGrid w:val="0"/>
        <w:jc w:val="left"/>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left"/>
        <w:rPr>
          <w:rFonts w:hint="default"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第一部分单位概况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一、单位职责</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二、机构设置</w:t>
      </w:r>
    </w:p>
    <w:p>
      <w:pPr>
        <w:widowControl/>
        <w:spacing w:before="0" w:beforeLines="0" w:beforeAutospacing="0" w:after="0" w:afterLines="0" w:afterAutospacing="0" w:line="360" w:lineRule="auto"/>
        <w:jc w:val="left"/>
        <w:outlineLvl w:val="0"/>
        <w:rPr>
          <w:rFonts w:ascii="Times New Roman" w:eastAsia="黑体"/>
          <w:sz w:val="32"/>
          <w:szCs w:val="32"/>
        </w:rPr>
      </w:pPr>
      <w:r>
        <w:rPr>
          <w:rFonts w:ascii="Times New Roman" w:eastAsia="黑体"/>
          <w:b w:val="0"/>
          <w:sz w:val="32"/>
          <w:szCs w:val="32"/>
        </w:rPr>
        <w:t>第二部分2024年度部门决算报表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五、一般公共预算财政拨款支出决算表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六、一般公共预算财政拨款基本支出决算明细表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七、政府性基金预算财政拨款收入支出决算表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八、国有资本经营预算财政拨款支出决算表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九、财政拨款“三公”经费支出决算表</w:t>
      </w: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第三部分2024年度部门决算情况说明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二、收入决算情况说明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三、支出决算情况说明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四、财政拨款收入支出决算总体情况说明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五、财政拨款“三公”经费支出决算情况说明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六、机关运行经费支出说明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七、政府采购支出说明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八、国有资产占用情况说明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九、关于2024年度绩效评价情况的说明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十、其他需要说明的情况</w:t>
      </w:r>
    </w:p>
    <w:p>
      <w:pPr>
        <w:widowControl/>
        <w:spacing w:before="0" w:beforeLines="0" w:beforeAutospacing="0" w:after="0" w:afterLines="0" w:afterAutospacing="0" w:line="360" w:lineRule="auto"/>
        <w:jc w:val="left"/>
        <w:rPr>
          <w:rFonts w:ascii="Times New Roman" w:eastAsia="黑体"/>
          <w:sz w:val="32"/>
          <w:szCs w:val="32"/>
        </w:rPr>
      </w:pPr>
      <w:r>
        <w:rPr>
          <w:rFonts w:ascii="Times New Roman" w:eastAsia="黑体"/>
          <w:b w:val="0"/>
          <w:sz w:val="32"/>
          <w:szCs w:val="32"/>
        </w:rPr>
        <w:t>第四部分名词解释</w:t>
      </w:r>
    </w:p>
    <w:p>
      <w:pPr>
        <w:widowControl/>
        <w:spacing w:after="160" w:line="580" w:lineRule="exact"/>
        <w:rPr>
          <w:rFonts w:hint="eastAsia" w:ascii="Times New Roman" w:hAnsi="Times New Roman" w:eastAsia="黑体" w:cs="Times New Roman"/>
          <w:sz w:val="32"/>
          <w:szCs w:val="32"/>
          <w:lang w:val="en-US" w:eastAsia="zh-CN"/>
        </w:rPr>
        <w:sectPr>
          <w:headerReference r:id="rId5" w:type="first"/>
          <w:footerReference r:id="rId7" w:type="first"/>
          <w:headerReference r:id="rId4" w:type="default"/>
          <w:footerReference r:id="rId6" w:type="default"/>
          <w:pgSz w:w="11906" w:h="16838"/>
          <w:pgMar w:top="1474" w:right="1531" w:bottom="1474" w:left="1531" w:header="851" w:footer="992" w:gutter="0"/>
          <w:pgBorders>
            <w:top w:val="none" w:sz="0" w:space="0"/>
            <w:left w:val="none" w:sz="0" w:space="0"/>
            <w:bottom w:val="none" w:sz="0" w:space="0"/>
            <w:right w:val="none" w:sz="0" w:space="0"/>
          </w:pgBorders>
          <w:cols w:space="0" w:num="1"/>
          <w:titlePg/>
          <w:docGrid w:type="lines" w:linePitch="312" w:charSpace="0"/>
        </w:sect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第一部分单位概况</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一、单位职责</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根据《中华人民共和国地方各级人民代表大会和地方各级人民政府组织法》第六十一条规定，并根据所在地区实际，常庄镇人民政府的主要职责是： （1）执行上级国家行政机关的决定、命令和国家制定的法令、法规，接受同级党委的领导，执行本级人民代表大会的各项决议，并报告执行决议、决定和命令的情况。 （2）制定并落实本行政区域的经济计划和措施，促进产业结构调整及其他经济保持平衡协调发展，全面提高人民群众的生活水平和生活质量。 （3）承担国有资产、集体资产管理、监督及增值保值责任;保护公民私人所有合法财产，保障集体经济组织应有的自主权;监督企业和各种经济联合体、个体户认真执行国家的法律、法令和政策，履行经济合同。 （4）开展社会主义民主和法制的宣传教育，保障公民的权利;制定社会治安综合治理工作规划并组织实施;加强社区管理工作，依法管理外来流动人口，处理人民来信来访，调解民间纠纷，打击违法犯罪，维护社会稳定。 （5）制定社会各项事业发展计划，发展教育、卫生、科技、民政、广播电视、文化、体育事业;组织实施义务教育和其他各类教育;加强计划生育工作;推进社会保障、社会福利事业和养老保险工作;做好劳动管理、科普、老龄及宗教、侨务等工作。 （6）加强乡级财政的监督和管理，按计划组织、管理乡财政收入和支出，执行国家有关财经纪律和政策，保证国家财政收入的完成;做好统计工作。 （7）指导、支持、帮助村民委员会的组织制度建设和业务建设，促进村民委员会民主自治。 （8）制定和组织实施乡村建设规划;加强公用、市政设施、水利建设和管理以及房屋土地管理和环境综合整治工作，保护和改善生活环境和生态环境。 （9）协助和支持设置在本行政区域内不隶属于乡的国家机关和企事业部门工作，监督其遵守和执行国家的法律、法规和政策。 （10）承办区政府交办的其它事项。</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二、机构设置</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从决算编报单位构成看，纳入2024年度本部门决算汇编范围的独立核算单位（以下简称“单位”）共1个，具体情况如下：</w:t>
      </w:r>
    </w:p>
    <w:tbl>
      <w:tblPr>
        <w:tblStyle w:val="11"/>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1</w:t>
            </w:r>
          </w:p>
        </w:tc>
        <w:tc>
          <w:tcPr>
            <w:tcW w:w="34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唐山市丰润区常庄镇人民政府(本级)</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 Black"/>
                <w:kern w:val="0"/>
                <w:sz w:val="28"/>
                <w:szCs w:val="28"/>
                <w:lang w:val="en-US" w:eastAsia="zh-CN"/>
              </w:rPr>
              <w:t>行政部门</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全额</w:t>
            </w:r>
          </w:p>
        </w:tc>
      </w:tr>
    </w:tbl>
    <w:p>
      <w:pPr>
        <w:rPr>
          <w:rFonts w:hint="eastAsia" w:ascii="Times New Roman" w:hAnsi="Times New Roman" w:eastAsia="黑体" w:cs="Times New Roman"/>
          <w:sz w:val="32"/>
          <w:szCs w:val="32"/>
          <w:highlight w:val="yellow"/>
        </w:rPr>
      </w:pPr>
      <w:r>
        <w:rPr>
          <w:rFonts w:hint="eastAsia" w:ascii="Times New Roman" w:hAnsi="Times New Roman" w:eastAsia="黑体" w:cs="Times New Roman"/>
          <w:sz w:val="32"/>
          <w:szCs w:val="32"/>
          <w:highlight w:val="yellow"/>
        </w:rPr>
        <w:br w:type="page"/>
      </w: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第二部分</w:t>
      </w:r>
      <w:r>
        <w:rPr>
          <w:rFonts w:ascii="Times New Roman" w:eastAsia="仿宋_GB2312"/>
          <w:b w:val="0"/>
          <w:sz w:val="44"/>
          <w:szCs w:val="44"/>
        </w:rPr>
        <w:t>2024</w:t>
      </w:r>
      <w:r>
        <w:rPr>
          <w:rFonts w:ascii="Times New Roman" w:eastAsia="黑体"/>
          <w:b w:val="0"/>
          <w:sz w:val="44"/>
          <w:szCs w:val="44"/>
        </w:rPr>
        <w:t>年度部门决算表</w:t>
      </w:r>
    </w:p>
    <w:tbl>
      <w:tblPr>
        <w:tblStyle w:val="11"/>
        <w:tblW w:w="7250" w:type="pct"/>
        <w:tblInd w:w="-1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6"/>
        <w:gridCol w:w="624"/>
        <w:gridCol w:w="611"/>
        <w:gridCol w:w="1317"/>
        <w:gridCol w:w="1628"/>
        <w:gridCol w:w="1547"/>
        <w:gridCol w:w="624"/>
        <w:gridCol w:w="1928"/>
        <w:gridCol w:w="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61" w:hRule="atLeast"/>
        </w:trPr>
        <w:tc>
          <w:tcPr>
            <w:tcW w:w="4985" w:type="pct"/>
            <w:gridSpan w:val="8"/>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7" w:hRule="atLeast"/>
        </w:trPr>
        <w:tc>
          <w:tcPr>
            <w:tcW w:w="4985" w:type="pct"/>
            <w:gridSpan w:val="8"/>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公开</w:t>
            </w:r>
            <w:r>
              <w:rPr>
                <w:rFonts w:hint="eastAsia" w:ascii="Times New Roman" w:hAnsi="Times New Roman" w:eastAsia="宋体" w:cs="Times New Roman"/>
                <w:i w:val="0"/>
                <w:iCs w:val="0"/>
                <w:color w:val="000000"/>
                <w:sz w:val="20"/>
                <w:szCs w:val="20"/>
                <w:highlight w:val="none"/>
                <w:u w:val="none"/>
                <w:lang w:val="en-US" w:eastAsia="zh-CN"/>
              </w:rPr>
              <w:t>01</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51" w:hRule="atLeast"/>
        </w:trPr>
        <w:tc>
          <w:tcPr>
            <w:tcW w:w="1964" w:type="pct"/>
            <w:gridSpan w:val="3"/>
            <w:tcBorders>
              <w:top w:val="nil"/>
              <w:left w:val="nil"/>
              <w:bottom w:val="single" w:color="auto" w:sz="4" w:space="0"/>
              <w:right w:val="nil"/>
            </w:tcBorders>
            <w:noWrap/>
            <w:vAlign w:val="bottom"/>
          </w:tcPr>
          <w:p>
            <w:pPr>
              <w:jc w:val="both"/>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部门（单位）：唐山市丰润区常庄镇人民政府(本级)</w:t>
            </w:r>
          </w:p>
        </w:tc>
        <w:tc>
          <w:tcPr>
            <w:tcW w:w="1262" w:type="pct"/>
            <w:gridSpan w:val="2"/>
            <w:tcBorders>
              <w:top w:val="nil"/>
              <w:left w:val="nil"/>
              <w:bottom w:val="single" w:color="auto" w:sz="4" w:space="0"/>
              <w:right w:val="nil"/>
            </w:tcBorders>
            <w:noWrap/>
            <w:vAlign w:val="bottom"/>
          </w:tcPr>
          <w:p>
            <w:pPr>
              <w:jc w:val="center"/>
              <w:rPr>
                <w:rFonts w:hint="default" w:ascii="宋体" w:hAnsi="宋体" w:eastAsia="宋体" w:cs="宋体"/>
                <w:i w:val="0"/>
                <w:iCs w:val="0"/>
                <w:color w:val="000000"/>
                <w:kern w:val="0"/>
                <w:sz w:val="20"/>
                <w:szCs w:val="20"/>
                <w:highlight w:val="none"/>
                <w:u w:val="none"/>
                <w:lang w:val="en-US" w:eastAsia="zh-CN" w:bidi="ar"/>
              </w:rPr>
            </w:pPr>
            <w:r>
              <w:rPr>
                <w:rFonts w:hint="eastAsia" w:ascii="Times New Roman" w:hAnsi="Times New Roman" w:eastAsia="宋体" w:cs="Times New Roman"/>
                <w:i w:val="0"/>
                <w:iCs w:val="0"/>
                <w:color w:val="000000"/>
                <w:sz w:val="20"/>
                <w:szCs w:val="20"/>
                <w:highlight w:val="none"/>
                <w:u w:val="none"/>
                <w:lang w:val="en-US" w:eastAsia="zh-CN"/>
              </w:rPr>
              <w:t>2024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57" w:type="pct"/>
            <w:gridSpan w:val="3"/>
            <w:tcBorders>
              <w:top w:val="nil"/>
              <w:left w:val="nil"/>
              <w:bottom w:val="single" w:color="auto" w:sz="4" w:space="0"/>
              <w:right w:val="nil"/>
            </w:tcBorders>
            <w:noWrap/>
            <w:vAlign w:val="bottom"/>
          </w:tcPr>
          <w:p>
            <w:pPr>
              <w:jc w:val="right"/>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544" w:hRule="atLeast"/>
        </w:trPr>
        <w:tc>
          <w:tcPr>
            <w:tcW w:w="2529" w:type="pct"/>
            <w:gridSpan w:val="4"/>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收入</w:t>
            </w:r>
          </w:p>
        </w:tc>
        <w:tc>
          <w:tcPr>
            <w:tcW w:w="2456" w:type="pct"/>
            <w:gridSpan w:val="4"/>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82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1</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267"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82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Times New Roman" w:hAnsi="Times New Roman" w:eastAsia="宋体" w:cs="Times New Roman"/>
                <w:i w:val="0"/>
                <w:iCs w:val="0"/>
                <w:color w:val="000000"/>
                <w:sz w:val="20"/>
                <w:szCs w:val="20"/>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1,359.47</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1,039.88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127.64</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四、上级补助收入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五、事业收入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六、经营收入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七、附属单位上缴收入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八、其他收入</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40</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91.54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826"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7"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826"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50</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826"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826"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826"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7"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826"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1,487.11</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1,487.11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使用非财政拨款结余（含专用结余）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结余分配</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lang w:val="en-US" w:eastAsia="zh-CN"/>
              </w:rPr>
              <w:t>60</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476"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pP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pct"/>
          <w:trHeight w:val="308" w:hRule="atLeast"/>
        </w:trPr>
        <w:tc>
          <w:tcPr>
            <w:tcW w:w="1434"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82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1,487.11</w:t>
            </w:r>
          </w:p>
        </w:tc>
        <w:tc>
          <w:tcPr>
            <w:tcW w:w="1361"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82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1,487.11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注：1.本表反映部门本年度的总收支和年末结转结余情况。</w:t>
            </w:r>
          </w:p>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2.本套报表金额转换时可能存在尾数误差。</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9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230" w:type="dxa"/>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eastAsia" w:ascii="Times New Roman" w:hAnsi="Times New Roman" w:eastAsia="宋体" w:cs="Times New Roman"/>
                <w:i w:val="0"/>
                <w:iCs w:val="0"/>
                <w:color w:val="000000"/>
                <w:sz w:val="20"/>
                <w:szCs w:val="20"/>
                <w:highlight w:val="none"/>
                <w:u w:val="none"/>
                <w:lang w:val="en-US" w:eastAsia="zh-CN"/>
              </w:rPr>
              <w:t>02</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37" w:type="dxa"/>
            <w:gridSpan w:val="3"/>
            <w:tcBorders>
              <w:top w:val="nil"/>
              <w:left w:val="nil"/>
              <w:bottom w:val="single" w:color="auto" w:sz="4" w:space="0"/>
              <w:right w:val="nil"/>
            </w:tcBorders>
            <w:noWrap/>
            <w:vAlign w:val="bottom"/>
          </w:tcPr>
          <w:p>
            <w:pP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部门（单位）：唐山市丰润区常庄镇人民政府(本级)                                                                                                         </w:t>
            </w:r>
          </w:p>
        </w:tc>
        <w:tc>
          <w:tcPr>
            <w:tcW w:w="3405" w:type="dxa"/>
            <w:gridSpan w:val="4"/>
            <w:tcBorders>
              <w:top w:val="nil"/>
              <w:left w:val="nil"/>
              <w:bottom w:val="single" w:color="auto" w:sz="4" w:space="0"/>
              <w:right w:val="nil"/>
            </w:tcBorders>
            <w:noWrap/>
            <w:vAlign w:val="bottom"/>
          </w:tcPr>
          <w:p>
            <w:pPr>
              <w:jc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default" w:ascii="Times New Roman" w:hAnsi="Times New Roman" w:eastAsia="方正仿宋_GB2312" w:cs="Times New Roman"/>
                <w:i w:val="0"/>
                <w:iCs w:val="0"/>
                <w:color w:val="000000"/>
                <w:sz w:val="20"/>
                <w:szCs w:val="20"/>
                <w:highlight w:val="none"/>
                <w:u w:val="none"/>
                <w:lang w:val="en-US" w:eastAsia="zh-CN"/>
              </w:rPr>
              <w:t>202</w:t>
            </w:r>
            <w:r>
              <w:rPr>
                <w:rFonts w:hint="eastAsia" w:ascii="Times New Roman" w:hAnsi="Times New Roman" w:eastAsia="方正仿宋_GB2312" w:cs="Times New Roman"/>
                <w:i w:val="0"/>
                <w:iCs w:val="0"/>
                <w:color w:val="000000"/>
                <w:sz w:val="20"/>
                <w:szCs w:val="20"/>
                <w:highlight w:val="none"/>
                <w:u w:val="none"/>
                <w:lang w:val="en-US" w:eastAsia="zh-CN"/>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2588" w:type="dxa"/>
            <w:gridSpan w:val="3"/>
            <w:tcBorders>
              <w:top w:val="nil"/>
              <w:left w:val="nil"/>
              <w:bottom w:val="single" w:color="auto" w:sz="4" w:space="0"/>
              <w:right w:val="nil"/>
            </w:tcBorders>
            <w:noWrap/>
            <w:vAlign w:val="bottom"/>
          </w:tcPr>
          <w:p>
            <w:pPr>
              <w:jc w:val="right"/>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200" w:type="dxa"/>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本年收入合计</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财政拨款收入</w:t>
            </w:r>
          </w:p>
        </w:tc>
        <w:tc>
          <w:tcPr>
            <w:tcW w:w="103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上级补助收入</w:t>
            </w:r>
          </w:p>
        </w:tc>
        <w:tc>
          <w:tcPr>
            <w:tcW w:w="964" w:type="dxa"/>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事业收入</w:t>
            </w:r>
          </w:p>
        </w:tc>
        <w:tc>
          <w:tcPr>
            <w:tcW w:w="964" w:type="dxa"/>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经营收入</w:t>
            </w:r>
          </w:p>
        </w:tc>
        <w:tc>
          <w:tcPr>
            <w:tcW w:w="1027"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附属单位上缴收入</w:t>
            </w:r>
          </w:p>
        </w:tc>
        <w:tc>
          <w:tcPr>
            <w:tcW w:w="964"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160"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40"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160" w:type="dxa"/>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3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7"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6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3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4</w:t>
            </w:r>
          </w:p>
        </w:tc>
        <w:tc>
          <w:tcPr>
            <w:tcW w:w="964"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2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96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0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1,487.11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1,487.11</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一般公共服务支出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1,039.88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1,039.88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20103</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政府办公厅（室）及相关机构事务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1,039.88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1,039.88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2010301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行政运行</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828.99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828.99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2010302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一般行政管理事务</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210.89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210.89</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社会保障和就业支出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86.47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86.47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行政事业单位养老支出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86.47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86.47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2080505</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机关事业单位基本养老保险缴费支出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86.47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86.47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卫生健康支出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91.54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91.54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行政事业单位医疗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91.54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91.54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行政单位医疗</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39.37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39.37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2101103</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公务员医疗补助</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52.17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52.17</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城乡社区支出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127.64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127.64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21208</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国有土地使用权出让收入安排的支出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127.64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127.64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2120804</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农村基础设施建设支出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127.64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127.64</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213</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农林水支出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74.00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74.00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21307</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农村综合改革</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74.00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74.00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2130701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对村级公益事业建设的补助</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74.00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74.00</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住房保障支出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67.58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67.58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住房改革支出</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67.58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67.58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40" w:type="dxa"/>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2210201</w:t>
            </w:r>
          </w:p>
        </w:tc>
        <w:tc>
          <w:tcPr>
            <w:tcW w:w="1160" w:type="dxa"/>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kern w:val="0"/>
                <w:sz w:val="20"/>
                <w:szCs w:val="20"/>
                <w:highlight w:val="none"/>
                <w:u w:val="none"/>
                <w:lang w:val="en-US" w:eastAsia="zh-CN" w:bidi="ar-SA"/>
              </w:rPr>
            </w:pPr>
            <w:r>
              <w:rPr>
                <w:rFonts w:hint="eastAsia" w:ascii="方正仿宋_GB2312" w:hAnsi="方正仿宋_GB2312" w:eastAsia="方正仿宋_GB2312" w:cs="方正仿宋_GB2312"/>
                <w:spacing w:val="-2"/>
                <w:sz w:val="20"/>
                <w:szCs w:val="20"/>
                <w:lang w:val="en-US" w:eastAsia="zh-CN"/>
              </w:rPr>
              <w:t>住房公积金</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67.58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r>
              <w:rPr>
                <w:rFonts w:hint="default" w:ascii="Times New Roman" w:hAnsi="Times New Roman" w:eastAsia="宋体" w:cs="Times New Roman"/>
                <w:spacing w:val="-2"/>
                <w:sz w:val="20"/>
                <w:szCs w:val="20"/>
                <w:lang w:val="en-US" w:eastAsia="zh-CN"/>
              </w:rPr>
              <w:t>67.58</w:t>
            </w:r>
          </w:p>
        </w:tc>
        <w:tc>
          <w:tcPr>
            <w:tcW w:w="103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1027"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c>
          <w:tcPr>
            <w:tcW w:w="964" w:type="dxa"/>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kern w:val="0"/>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30" w:type="dxa"/>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注：本表反映部门本年度取得的各项收入情况。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黑体" w:hAnsi="黑体" w:eastAsia="黑体" w:cs="宋体"/>
          <w:bCs/>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1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1187"/>
        <w:gridCol w:w="1128"/>
        <w:gridCol w:w="126"/>
        <w:gridCol w:w="1000"/>
        <w:gridCol w:w="1126"/>
        <w:gridCol w:w="497"/>
        <w:gridCol w:w="629"/>
        <w:gridCol w:w="1126"/>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000" w:type="pct"/>
            <w:gridSpan w:val="10"/>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br w:type="page"/>
            </w:r>
            <w:r>
              <w:rPr>
                <w:rFonts w:hint="eastAsia" w:ascii="方正仿宋_GB2312" w:hAnsi="方正仿宋_GB2312" w:eastAsia="方正仿宋_GB2312" w:cs="方正仿宋_GB2312"/>
                <w:b w:val="0"/>
                <w:bCs/>
                <w:color w:val="auto"/>
                <w:kern w:val="0"/>
                <w:sz w:val="32"/>
                <w:szCs w:val="32"/>
                <w:highlight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00" w:type="pct"/>
            <w:gridSpan w:val="10"/>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03</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62" w:type="pct"/>
            <w:gridSpan w:val="4"/>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部门（单位）：唐山市丰润区常庄镇人民政府(本级)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140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eastAsiaTheme="minorEastAsia"/>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73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91" w:type="pct"/>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0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本年支出合计</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602" w:type="pct"/>
            <w:gridSpan w:val="2"/>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上缴上级支出</w:t>
            </w:r>
          </w:p>
        </w:tc>
        <w:tc>
          <w:tcPr>
            <w:tcW w:w="602"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经营支出</w:t>
            </w:r>
          </w:p>
        </w:tc>
        <w:tc>
          <w:tcPr>
            <w:tcW w:w="795"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63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gridSpan w:val="2"/>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0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95"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03"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2"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795"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9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1,487.11</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1,074.58</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412.53</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一般公共服务支出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1,039.88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828.99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210.89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20103</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政府办公厅（室）及相关机构事务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1,039.88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828.99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210.89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2010301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828.99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828.99</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2010302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一般行政管理事务</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210.89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210.89</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91.54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91.54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91.54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91.54</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39.37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39.37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2101103</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公务员医疗补助</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52.17</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52.17</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127.64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127.64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21208</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国有土地使用权出让收入安排的支出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127.64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127.64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2120804</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农村基础设施建设支出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127.64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127.64</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农林水支出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21307</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农村综合改革</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2130701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对村级公益事业建设的补助</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6"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635"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60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60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9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注：本表反映部门本年度各项支出情况。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281" w:type="pct"/>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4"/>
        <w:gridCol w:w="624"/>
        <w:gridCol w:w="1427"/>
        <w:gridCol w:w="1659"/>
        <w:gridCol w:w="439"/>
        <w:gridCol w:w="624"/>
        <w:gridCol w:w="458"/>
        <w:gridCol w:w="837"/>
        <w:gridCol w:w="1219"/>
        <w:gridCol w:w="1219"/>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1" w:type="pct"/>
            <w:gridSpan w:val="4"/>
            <w:tcBorders>
              <w:top w:val="nil"/>
              <w:left w:val="nil"/>
              <w:bottom w:val="single" w:color="auto" w:sz="4" w:space="0"/>
              <w:right w:val="nil"/>
            </w:tcBorders>
            <w:noWrap/>
            <w:vAlign w:val="bottom"/>
          </w:tcPr>
          <w:p>
            <w:pPr>
              <w:rPr>
                <w:rFonts w:hint="eastAsia" w:ascii="仿宋" w:hAnsi="仿宋" w:eastAsia="仿宋" w:cs="仿宋"/>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部门（单位）：唐山市丰润区常庄镇人民政府(本级) </w:t>
            </w:r>
            <w:r>
              <w:rPr>
                <w:rFonts w:hint="eastAsia" w:asciiTheme="minorEastAsia" w:hAnsiTheme="minorEastAsia" w:eastAsiaTheme="minorEastAsia" w:cstheme="minorEastAsia"/>
                <w:i w:val="0"/>
                <w:iCs w:val="0"/>
                <w:color w:val="000000"/>
                <w:kern w:val="0"/>
                <w:sz w:val="20"/>
                <w:szCs w:val="20"/>
                <w:highlight w:val="none"/>
                <w:u w:val="none"/>
                <w:lang w:val="en-US" w:eastAsia="zh-CN" w:bidi="ar"/>
              </w:rPr>
              <w:t xml:space="preserve">                                                                                                   </w:t>
            </w:r>
          </w:p>
        </w:tc>
        <w:tc>
          <w:tcPr>
            <w:tcW w:w="649" w:type="pct"/>
            <w:gridSpan w:val="3"/>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919"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23" w:type="pct"/>
            <w:gridSpan w:val="3"/>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收入</w:t>
            </w:r>
          </w:p>
        </w:tc>
        <w:tc>
          <w:tcPr>
            <w:tcW w:w="3276" w:type="pct"/>
            <w:gridSpan w:val="8"/>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    目</w:t>
            </w:r>
          </w:p>
        </w:tc>
        <w:tc>
          <w:tcPr>
            <w:tcW w:w="26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609"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金额</w:t>
            </w:r>
          </w:p>
        </w:tc>
        <w:tc>
          <w:tcPr>
            <w:tcW w:w="895"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26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行次</w:t>
            </w:r>
          </w:p>
        </w:tc>
        <w:tc>
          <w:tcPr>
            <w:tcW w:w="552" w:type="pct"/>
            <w:gridSpan w:val="2"/>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合计</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一般公共预算财政拨款</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政府性基金预算财政拨款</w:t>
            </w:r>
          </w:p>
        </w:tc>
        <w:tc>
          <w:tcPr>
            <w:tcW w:w="520" w:type="pct"/>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7"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09"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895"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26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52" w:type="pct"/>
            <w:gridSpan w:val="2"/>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520" w:type="pct"/>
            <w:vMerge w:val="continue"/>
            <w:tcBorders>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60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    次</w:t>
            </w:r>
          </w:p>
        </w:tc>
        <w:tc>
          <w:tcPr>
            <w:tcW w:w="266"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552"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0" w:type="pct"/>
            <w:tcBorders>
              <w:top w:val="nil"/>
              <w:left w:val="nil"/>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1,359.47</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一、一般公共服务支出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1,039.88</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1,039.88</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127.64</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二、外交支出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三、国防支出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四、公共安全支出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五、教育支出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六、科学技术支出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七、文化旅游体育与传媒支出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八、社会保障和就业支出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86.47</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86.47</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九、卫生健康支出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91.54</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91.54</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十、节能环保支出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十一、城乡社区支出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127.64</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127.64</w:t>
            </w: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auto"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609"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十二、农林水支出</w:t>
            </w:r>
          </w:p>
        </w:tc>
        <w:tc>
          <w:tcPr>
            <w:tcW w:w="266" w:type="pct"/>
            <w:tcBorders>
              <w:top w:val="nil"/>
              <w:left w:val="nil"/>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44</w:t>
            </w:r>
          </w:p>
        </w:tc>
        <w:tc>
          <w:tcPr>
            <w:tcW w:w="552" w:type="pct"/>
            <w:gridSpan w:val="2"/>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74.00</w:t>
            </w:r>
          </w:p>
        </w:tc>
        <w:tc>
          <w:tcPr>
            <w:tcW w:w="52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74.00</w:t>
            </w:r>
          </w:p>
        </w:tc>
        <w:tc>
          <w:tcPr>
            <w:tcW w:w="520" w:type="pct"/>
            <w:tcBorders>
              <w:top w:val="nil"/>
              <w:left w:val="nil"/>
              <w:bottom w:val="single" w:color="auto"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auto"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十三、交通运输支出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十四、资源勘探工业信息等支出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46</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十五、商业服务业等支出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十六、金融支出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十七、援助其他地区支出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49</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十八、自然资源海洋气象等支出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十九、住房保障支出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51</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67.58</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67.58</w:t>
            </w: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二十、粮油物资储备支出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52</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二十一、国有资本经营预算支出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53</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二十二、灾害防治及应急管理支出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54</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w:t>
            </w:r>
          </w:p>
        </w:tc>
        <w:tc>
          <w:tcPr>
            <w:tcW w:w="60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二十三、其他支出</w:t>
            </w:r>
          </w:p>
        </w:tc>
        <w:tc>
          <w:tcPr>
            <w:tcW w:w="26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552"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single" w:color="auto"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26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24</w:t>
            </w:r>
          </w:p>
        </w:tc>
        <w:tc>
          <w:tcPr>
            <w:tcW w:w="609"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二十四、债务还本支出</w:t>
            </w:r>
          </w:p>
        </w:tc>
        <w:tc>
          <w:tcPr>
            <w:tcW w:w="266" w:type="pct"/>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56</w:t>
            </w:r>
          </w:p>
        </w:tc>
        <w:tc>
          <w:tcPr>
            <w:tcW w:w="552" w:type="pct"/>
            <w:gridSpan w:val="2"/>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single" w:color="auto" w:sz="4" w:space="0"/>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二十五、债务付息支出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57</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二十六、抗疫特别国债安排的支出</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58</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本年收入合计</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27</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1,487.11</w:t>
            </w: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本年支出合计</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59</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1,487.11</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1,359.47</w:t>
            </w: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127.64</w:t>
            </w:r>
          </w:p>
        </w:tc>
        <w:tc>
          <w:tcPr>
            <w:tcW w:w="520" w:type="pct"/>
            <w:tcBorders>
              <w:top w:val="nil"/>
              <w:left w:val="nil"/>
              <w:bottom w:val="single" w:color="000000" w:sz="4"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年初财政拨款结转和结余</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28</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年末财政拨款结转和结余</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both"/>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一、一般公共预算财政拨款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29</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61</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二、政府性基金预算财政拨款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三、国有资本经营预算财政拨款</w:t>
            </w: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60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895" w:type="pct"/>
            <w:gridSpan w:val="2"/>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p>
        </w:tc>
        <w:tc>
          <w:tcPr>
            <w:tcW w:w="26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63</w:t>
            </w:r>
          </w:p>
        </w:tc>
        <w:tc>
          <w:tcPr>
            <w:tcW w:w="552"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4" w:space="0"/>
              <w:right w:val="single" w:color="000000" w:sz="8" w:space="0"/>
            </w:tcBorders>
            <w:noWrap/>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47" w:type="pct"/>
            <w:tcBorders>
              <w:top w:val="nil"/>
              <w:left w:val="single" w:color="000000" w:sz="4"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w:t>
            </w:r>
          </w:p>
        </w:tc>
        <w:tc>
          <w:tcPr>
            <w:tcW w:w="609"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1,487.11</w:t>
            </w:r>
          </w:p>
        </w:tc>
        <w:tc>
          <w:tcPr>
            <w:tcW w:w="895" w:type="pct"/>
            <w:gridSpan w:val="2"/>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highlight w:val="none"/>
                <w:u w:val="none"/>
              </w:rPr>
            </w:pPr>
            <w:r>
              <w:rPr>
                <w:rFonts w:hint="eastAsia" w:ascii="方正仿宋_GB2312" w:hAnsi="方正仿宋_GB2312" w:eastAsia="方正仿宋_GB2312" w:cs="方正仿宋_GB2312"/>
                <w:b/>
                <w:bCs/>
                <w:i w:val="0"/>
                <w:iCs w:val="0"/>
                <w:color w:val="000000"/>
                <w:kern w:val="0"/>
                <w:sz w:val="20"/>
                <w:szCs w:val="20"/>
                <w:highlight w:val="none"/>
                <w:u w:val="none"/>
                <w:lang w:val="en-US" w:eastAsia="zh-CN" w:bidi="ar"/>
              </w:rPr>
              <w:t>总计</w:t>
            </w:r>
          </w:p>
        </w:tc>
        <w:tc>
          <w:tcPr>
            <w:tcW w:w="266"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64</w:t>
            </w:r>
          </w:p>
        </w:tc>
        <w:tc>
          <w:tcPr>
            <w:tcW w:w="552" w:type="pct"/>
            <w:gridSpan w:val="2"/>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1,487.11</w:t>
            </w:r>
          </w:p>
        </w:tc>
        <w:tc>
          <w:tcPr>
            <w:tcW w:w="520" w:type="pct"/>
            <w:tcBorders>
              <w:top w:val="nil"/>
              <w:left w:val="nil"/>
              <w:bottom w:val="single" w:color="000000" w:sz="8" w:space="0"/>
              <w:right w:val="single" w:color="000000" w:sz="4" w:space="0"/>
            </w:tcBorders>
            <w:noWrap/>
            <w:vAlign w:val="center"/>
          </w:tcPr>
          <w:p>
            <w:pPr>
              <w:jc w:val="right"/>
              <w:rPr>
                <w:rFonts w:hint="default" w:ascii="Times New Roman" w:hAnsi="Times New Roman" w:cs="Times New Roman"/>
                <w:sz w:val="20"/>
                <w:szCs w:val="20"/>
                <w:highlight w:val="none"/>
              </w:rPr>
            </w:pPr>
          </w:p>
          <w:p>
            <w:pPr>
              <w:jc w:val="right"/>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1,359.47</w:t>
            </w:r>
          </w:p>
          <w:p>
            <w:pPr>
              <w:jc w:val="right"/>
              <w:rPr>
                <w:rFonts w:hint="default" w:ascii="Times New Roman" w:hAnsi="Times New Roman" w:eastAsia="宋体" w:cs="Times New Roman"/>
                <w:i w:val="0"/>
                <w:iCs w:val="0"/>
                <w:color w:val="000000"/>
                <w:sz w:val="20"/>
                <w:szCs w:val="20"/>
                <w:highlight w:val="none"/>
                <w:u w:val="none"/>
              </w:rPr>
            </w:pPr>
          </w:p>
        </w:tc>
        <w:tc>
          <w:tcPr>
            <w:tcW w:w="520" w:type="pct"/>
            <w:tcBorders>
              <w:top w:val="nil"/>
              <w:left w:val="nil"/>
              <w:bottom w:val="single" w:color="000000" w:sz="8"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127.64</w:t>
            </w:r>
          </w:p>
        </w:tc>
        <w:tc>
          <w:tcPr>
            <w:tcW w:w="520" w:type="pct"/>
            <w:tcBorders>
              <w:top w:val="nil"/>
              <w:left w:val="nil"/>
              <w:bottom w:val="single" w:color="000000" w:sz="8" w:space="0"/>
              <w:right w:val="single" w:color="000000" w:sz="8"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注：本表反映部门本年度一般公共预算财政拨款、政府性基金预算财政拨款和国有资本经营预算财政拨款的总收支和年末结转结余情况。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348" w:type="pct"/>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58"/>
        <w:gridCol w:w="3218"/>
        <w:gridCol w:w="1070"/>
        <w:gridCol w:w="497"/>
        <w:gridCol w:w="520"/>
        <w:gridCol w:w="359"/>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000" w:type="pct"/>
            <w:gridSpan w:val="7"/>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000" w:type="pct"/>
            <w:gridSpan w:val="7"/>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05</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868"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编制部门（单位）：唐山市丰润区常庄镇人民政府(本级)</w:t>
            </w:r>
          </w:p>
        </w:tc>
        <w:tc>
          <w:tcPr>
            <w:tcW w:w="1541" w:type="pct"/>
            <w:gridSpan w:val="2"/>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Theme="minorEastAsia" w:hAnsiTheme="minorEastAsia" w:eastAsiaTheme="minorEastAsia" w:cstheme="minorEastAsia"/>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202</w:t>
            </w:r>
            <w:r>
              <w:rPr>
                <w:rFonts w:hint="eastAsia" w:ascii="Times New Roman" w:hAnsi="Times New Roman"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590" w:type="pct"/>
            <w:gridSpan w:val="2"/>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3538"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科目代码</w:t>
            </w:r>
          </w:p>
        </w:tc>
        <w:tc>
          <w:tcPr>
            <w:tcW w:w="75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116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121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75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6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w:t>
            </w:r>
          </w:p>
        </w:tc>
        <w:tc>
          <w:tcPr>
            <w:tcW w:w="121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6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1,359.47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1,074.58</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sz w:val="20"/>
                <w:szCs w:val="20"/>
                <w:highlight w:val="none"/>
              </w:rPr>
              <w:t>284.89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一般公共服务支出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1,039.88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828.99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20103</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政府办公厅（室）及相关机构事务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1,039.88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828.99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2010301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行政运行</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828.99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828.99</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2010302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一般行政管理事务</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210.89</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210.89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社会保障和就业支出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行政事业单位养老支出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2080505</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机关事业单位基本养老保险缴费支出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86.47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卫生健康支出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91.54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91.54</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行政事业单位医疗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91.54</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91.54</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行政单位医疗</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39.37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39.37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2101103</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公务员医疗补助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52.17</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52.17</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农林水支出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21307</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农村综合改革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2130701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对村级公益事业建设的补助</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住房保障支出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住房改革支出</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04"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2210201</w:t>
            </w:r>
          </w:p>
        </w:tc>
        <w:tc>
          <w:tcPr>
            <w:tcW w:w="756"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住房公积金</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1160"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67.58</w:t>
            </w:r>
          </w:p>
        </w:tc>
        <w:tc>
          <w:tcPr>
            <w:tcW w:w="1218"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5000" w:type="pct"/>
            <w:gridSpan w:val="7"/>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注：本表反映部门本年度一般公共预算财政拨款支出情况。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7050" w:type="pct"/>
        <w:tblInd w:w="-1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814"/>
        <w:gridCol w:w="1020"/>
        <w:gridCol w:w="964"/>
        <w:gridCol w:w="438"/>
        <w:gridCol w:w="1376"/>
        <w:gridCol w:w="587"/>
        <w:gridCol w:w="377"/>
        <w:gridCol w:w="964"/>
        <w:gridCol w:w="1814"/>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06</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93" w:type="pct"/>
            <w:gridSpan w:val="5"/>
            <w:tcBorders>
              <w:top w:val="nil"/>
              <w:left w:val="nil"/>
              <w:bottom w:val="single" w:color="auto" w:sz="4" w:space="0"/>
              <w:right w:val="nil"/>
            </w:tcBorders>
            <w:noWrap/>
            <w:vAlign w:val="bottom"/>
          </w:tcPr>
          <w:p>
            <w:pP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部门（单位）：唐山市丰润区常庄镇人民政府(本级) </w:t>
            </w:r>
            <w:r>
              <w:rPr>
                <w:rFonts w:hint="eastAsia" w:asciiTheme="minorEastAsia" w:hAnsiTheme="minorEastAsia" w:cstheme="minorEastAsia"/>
                <w:i w:val="0"/>
                <w:iCs w:val="0"/>
                <w:color w:val="000000"/>
                <w:kern w:val="0"/>
                <w:sz w:val="18"/>
                <w:szCs w:val="18"/>
                <w:highlight w:val="none"/>
                <w:u w:val="none"/>
                <w:lang w:val="en-US" w:eastAsia="zh-CN" w:bidi="ar"/>
              </w:rPr>
              <w:t xml:space="preserve">                                                                   </w:t>
            </w:r>
          </w:p>
        </w:tc>
        <w:tc>
          <w:tcPr>
            <w:tcW w:w="865" w:type="pct"/>
            <w:gridSpan w:val="2"/>
            <w:tcBorders>
              <w:top w:val="nil"/>
              <w:left w:val="nil"/>
              <w:bottom w:val="single" w:color="auto" w:sz="4" w:space="0"/>
              <w:right w:val="nil"/>
            </w:tcBorders>
            <w:noWrap/>
            <w:vAlign w:val="bottom"/>
          </w:tcPr>
          <w:p>
            <w:pPr>
              <w:jc w:val="center"/>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cstheme="minorEastAsia"/>
                <w:i w:val="0"/>
                <w:iCs w:val="0"/>
                <w:color w:val="000000"/>
                <w:kern w:val="0"/>
                <w:sz w:val="18"/>
                <w:szCs w:val="18"/>
                <w:highlight w:val="none"/>
                <w:u w:val="none"/>
                <w:lang w:val="en-US" w:eastAsia="zh-CN" w:bidi="ar"/>
              </w:rPr>
              <w:t>2024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1841" w:type="pct"/>
            <w:gridSpan w:val="4"/>
            <w:tcBorders>
              <w:top w:val="nil"/>
              <w:left w:val="nil"/>
              <w:bottom w:val="single" w:color="auto" w:sz="4" w:space="0"/>
              <w:right w:val="nil"/>
            </w:tcBorders>
            <w:noWrap/>
            <w:vAlign w:val="bottom"/>
          </w:tcPr>
          <w:p>
            <w:pPr>
              <w:jc w:val="right"/>
              <w:rPr>
                <w:rFonts w:hint="default"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74"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w:t>
            </w:r>
          </w:p>
        </w:tc>
        <w:tc>
          <w:tcPr>
            <w:tcW w:w="3325" w:type="pct"/>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c>
          <w:tcPr>
            <w:tcW w:w="4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lang w:val="en-US" w:eastAsia="zh-CN"/>
              </w:rPr>
            </w:pPr>
            <w:r>
              <w:rPr>
                <w:rFonts w:hint="eastAsia" w:ascii="方正仿宋_GB2312" w:hAnsi="方正仿宋_GB2312" w:eastAsia="方正仿宋_GB2312" w:cs="方正仿宋_GB2312"/>
                <w:i w:val="0"/>
                <w:iCs w:val="0"/>
                <w:color w:val="000000"/>
                <w:sz w:val="18"/>
                <w:szCs w:val="18"/>
                <w:highlight w:val="none"/>
                <w:u w:val="none"/>
                <w:lang w:val="en-US" w:eastAsia="zh-CN"/>
              </w:rPr>
              <w:t>科目代码</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科目名称</w:t>
            </w:r>
          </w:p>
        </w:tc>
        <w:tc>
          <w:tcPr>
            <w:tcW w:w="4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979.08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68.30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债务利息及费用支出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基本工资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259.34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8.00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国内债务付息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津贴补贴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183.34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印刷费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30702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国外债务付息</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奖金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25.55</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咨询费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伙食补助费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手续费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房屋建筑物购建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绩效工资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eastAsia" w:ascii="Times New Roman" w:hAnsi="Times New Roman" w:cs="Times New Roman"/>
                <w:sz w:val="18"/>
                <w:szCs w:val="18"/>
                <w:highlight w:val="none"/>
                <w:lang w:eastAsia="zh-CN"/>
              </w:rPr>
              <w:t>147.37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水费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办公设备购置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机关事业单位基本养老保险缴费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86.47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7.00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专用设备购置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职业年金缴费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邮电费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eastAsia" w:ascii="Times New Roman" w:hAnsi="Times New Roman" w:cs="Times New Roman"/>
                <w:sz w:val="18"/>
                <w:szCs w:val="18"/>
                <w:highlight w:val="none"/>
                <w:lang w:eastAsia="zh-CN"/>
              </w:rPr>
            </w:pPr>
            <w:r>
              <w:rPr>
                <w:rFonts w:hint="eastAsia" w:ascii="Times New Roman" w:hAnsi="Times New Roman" w:cs="Times New Roman"/>
                <w:sz w:val="18"/>
                <w:szCs w:val="18"/>
                <w:highlight w:val="none"/>
                <w:lang w:eastAsia="zh-CN"/>
              </w:rPr>
              <w:t>6.93</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基础设施建设</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职工基本医疗保险缴费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39.37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取暖费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14.66</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大型修缮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公务员医疗补助缴费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52.17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30209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物业管理费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信息网络及软件购置更新</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其他社会保障缴费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4.14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差旅费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2.00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物资储备</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住房公积金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67.58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30212</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土地补偿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30114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30213</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维修（护）费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安置补助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30199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其他工资福利支出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113.74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 xml:space="preserve">  租赁费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地上附着物和青苗补偿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27.20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会议费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拆迁补偿</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离休费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培训费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退休费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25.98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31019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其他交通工具购置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退职（役）费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30218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专用材料费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文物和陈列品购置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抚恤金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30224</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被装购置费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31022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无形资产购置</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生活补助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30225</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专用燃料费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31099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其他资本性支出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30306</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救济费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0.54</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30226</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劳务费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4.00</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医疗费补助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30227</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委托业务费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资本金注入</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助学金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30228</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工会经费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1.76</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31203</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政府投资基金股权投资</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奖励金</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0.68</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30229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福利费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1.82</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31204</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费用补贴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个人农业生产补贴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30231</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2.67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31205</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利息补贴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30311</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代缴社会保险费</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30239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其他交通费用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19.47</w:t>
            </w: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31299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其他对企业补助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其他对个人和家庭的补助</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30240</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税金及附加费用</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30299</w:t>
            </w: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其他商品和服务支出</w:t>
            </w: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39907</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国家赔偿费用支出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39908</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对民间非营利组织和群众性自治组织补贴</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39909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经常性赠与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39910</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资本性赠与</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p>
        </w:tc>
        <w:tc>
          <w:tcPr>
            <w:tcW w:w="79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49"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799"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i w:val="0"/>
                <w:iCs w:val="0"/>
                <w:color w:val="000000"/>
                <w:sz w:val="18"/>
                <w:szCs w:val="18"/>
                <w:highlight w:val="none"/>
                <w:u w:val="none"/>
              </w:rPr>
            </w:pPr>
          </w:p>
        </w:tc>
        <w:tc>
          <w:tcPr>
            <w:tcW w:w="425"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hint="default" w:ascii="Times New Roman" w:hAnsi="Times New Roman" w:cs="Times New Roman" w:eastAsiaTheme="minorEastAsia"/>
                <w:i w:val="0"/>
                <w:iCs w:val="0"/>
                <w:color w:val="000000"/>
                <w:sz w:val="18"/>
                <w:szCs w:val="18"/>
                <w:highlight w:val="none"/>
                <w:u w:val="none"/>
              </w:rPr>
            </w:pPr>
          </w:p>
        </w:tc>
        <w:tc>
          <w:tcPr>
            <w:tcW w:w="42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39999</w:t>
            </w:r>
          </w:p>
        </w:tc>
        <w:tc>
          <w:tcPr>
            <w:tcW w:w="79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其他支出</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25"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eastAsiaTheme="minorEastAsia"/>
                <w:sz w:val="18"/>
                <w:szCs w:val="18"/>
                <w:highlight w:val="none"/>
                <w:lang w:val="en-US" w:eastAsia="zh-CN"/>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人员经费合计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1,006.28</w:t>
            </w:r>
          </w:p>
        </w:tc>
        <w:tc>
          <w:tcPr>
            <w:tcW w:w="2875"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公用经费合计</w:t>
            </w:r>
          </w:p>
        </w:tc>
        <w:tc>
          <w:tcPr>
            <w:tcW w:w="449" w:type="pct"/>
            <w:tcBorders>
              <w:top w:val="single" w:color="auto" w:sz="4" w:space="0"/>
              <w:left w:val="single" w:color="auto" w:sz="4" w:space="0"/>
              <w:bottom w:val="single" w:color="auto" w:sz="4" w:space="0"/>
              <w:right w:val="single" w:color="auto" w:sz="4" w:space="0"/>
            </w:tcBorders>
            <w:noWrap/>
            <w:vAlign w:val="center"/>
          </w:tcPr>
          <w:p>
            <w:pPr>
              <w:jc w:val="right"/>
              <w:rPr>
                <w:rFonts w:hint="eastAsia" w:asciiTheme="minorEastAsia" w:hAnsiTheme="minorEastAsia" w:eastAsiaTheme="minorEastAsia" w:cstheme="minorEastAsia"/>
                <w:i w:val="0"/>
                <w:iCs w:val="0"/>
                <w:color w:val="000000"/>
                <w:sz w:val="18"/>
                <w:szCs w:val="18"/>
                <w:highlight w:val="none"/>
                <w:u w:val="none"/>
              </w:rPr>
            </w:pPr>
            <w:r>
              <w:rPr>
                <w:rFonts w:hint="default" w:ascii="Times New Roman" w:hAnsi="Times New Roman" w:cs="Times New Roman" w:eastAsiaTheme="minorEastAsia"/>
                <w:sz w:val="18"/>
                <w:szCs w:val="18"/>
                <w:highlight w:val="none"/>
              </w:rPr>
              <w:t>68.30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11"/>
            <w:tcBorders>
              <w:top w:val="single" w:color="auto" w:sz="4" w:space="0"/>
              <w:left w:val="nil"/>
              <w:bottom w:val="nil"/>
              <w:right w:val="nil"/>
            </w:tcBorders>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注：本表反映部门本年度一般公共预算财政拨款基本支出明细情况。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6517" w:type="pct"/>
        <w:tblInd w:w="-14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1474"/>
        <w:gridCol w:w="1306"/>
        <w:gridCol w:w="1027"/>
        <w:gridCol w:w="1107"/>
        <w:gridCol w:w="418"/>
        <w:gridCol w:w="702"/>
        <w:gridCol w:w="1146"/>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宋体" w:cs="Times New Roman"/>
                <w:i w:val="0"/>
                <w:iCs w:val="0"/>
                <w:color w:val="000000"/>
                <w:kern w:val="0"/>
                <w:sz w:val="20"/>
                <w:szCs w:val="20"/>
                <w:highlight w:val="none"/>
                <w:u w:val="none"/>
                <w:lang w:val="en-US" w:eastAsia="zh-CN" w:bidi="ar"/>
              </w:rPr>
              <w:t>07</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27" w:type="pct"/>
            <w:gridSpan w:val="3"/>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部门（单位）：唐山市丰润区常庄镇人民政府(本级) </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7"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854"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w:t>
            </w:r>
          </w:p>
        </w:tc>
        <w:tc>
          <w:tcPr>
            <w:tcW w:w="623"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年初结转和结余</w:t>
            </w:r>
          </w:p>
        </w:tc>
        <w:tc>
          <w:tcPr>
            <w:tcW w:w="489" w:type="pct"/>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本年收入</w:t>
            </w:r>
          </w:p>
        </w:tc>
        <w:tc>
          <w:tcPr>
            <w:tcW w:w="1609" w:type="pct"/>
            <w:gridSpan w:val="4"/>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本年支出</w:t>
            </w:r>
          </w:p>
        </w:tc>
        <w:tc>
          <w:tcPr>
            <w:tcW w:w="973" w:type="pct"/>
            <w:vMerge w:val="restart"/>
            <w:tcBorders>
              <w:top w:val="single" w:color="auto" w:sz="4" w:space="0"/>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703"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科目名称</w:t>
            </w: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小计</w:t>
            </w:r>
          </w:p>
        </w:tc>
        <w:tc>
          <w:tcPr>
            <w:tcW w:w="534"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基本支出</w:t>
            </w:r>
          </w:p>
        </w:tc>
        <w:tc>
          <w:tcPr>
            <w:tcW w:w="54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项目支出</w:t>
            </w:r>
          </w:p>
        </w:tc>
        <w:tc>
          <w:tcPr>
            <w:tcW w:w="973" w:type="pct"/>
            <w:vMerge w:val="continue"/>
            <w:tcBorders>
              <w:left w:val="nil"/>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结转</w:t>
            </w:r>
          </w:p>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1"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3" w:type="pct"/>
            <w:vMerge w:val="continue"/>
            <w:tcBorders>
              <w:top w:val="nil"/>
              <w:left w:val="nil"/>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623"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48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28"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34" w:type="pct"/>
            <w:gridSpan w:val="2"/>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546" w:type="pct"/>
            <w:vMerge w:val="continue"/>
            <w:tcBorders>
              <w:top w:val="nil"/>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73"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栏次</w:t>
            </w:r>
          </w:p>
        </w:tc>
        <w:tc>
          <w:tcPr>
            <w:tcW w:w="623"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1</w:t>
            </w:r>
          </w:p>
        </w:tc>
        <w:tc>
          <w:tcPr>
            <w:tcW w:w="48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2</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3</w:t>
            </w:r>
          </w:p>
        </w:tc>
        <w:tc>
          <w:tcPr>
            <w:tcW w:w="53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4</w:t>
            </w:r>
          </w:p>
        </w:tc>
        <w:tc>
          <w:tcPr>
            <w:tcW w:w="54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rPr>
            </w:pPr>
            <w:r>
              <w:rPr>
                <w:rFonts w:hint="default" w:ascii="Times New Roman" w:hAnsi="Times New Roman" w:eastAsia="方正仿宋_GB2312" w:cs="Times New Roman"/>
                <w:i w:val="0"/>
                <w:iCs w:val="0"/>
                <w:color w:val="000000"/>
                <w:kern w:val="0"/>
                <w:sz w:val="20"/>
                <w:szCs w:val="20"/>
                <w:highlight w:val="none"/>
                <w:u w:val="none"/>
                <w:lang w:val="en-US" w:eastAsia="zh-CN" w:bidi="ar"/>
              </w:rPr>
              <w:t>5</w:t>
            </w:r>
          </w:p>
        </w:tc>
        <w:tc>
          <w:tcPr>
            <w:tcW w:w="973"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0"/>
                <w:szCs w:val="20"/>
                <w:highlight w:val="none"/>
                <w:u w:val="none"/>
                <w:lang w:val="en-US" w:eastAsia="zh-CN"/>
              </w:rPr>
            </w:pPr>
            <w:r>
              <w:rPr>
                <w:rFonts w:hint="default" w:ascii="Times New Roman" w:hAnsi="Times New Roman" w:eastAsia="方正仿宋_GB2312" w:cs="Times New Roman"/>
                <w:i w:val="0"/>
                <w:iCs w:val="0"/>
                <w:color w:val="000000"/>
                <w:sz w:val="20"/>
                <w:szCs w:val="20"/>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30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合计</w:t>
            </w:r>
          </w:p>
        </w:tc>
        <w:tc>
          <w:tcPr>
            <w:tcW w:w="623" w:type="pct"/>
            <w:tcBorders>
              <w:top w:val="nil"/>
              <w:left w:val="single" w:color="auto"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127.64</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127.64</w:t>
            </w: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127.64</w:t>
            </w: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w:t>
            </w:r>
          </w:p>
        </w:tc>
        <w:tc>
          <w:tcPr>
            <w:tcW w:w="703"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城乡社区支出</w:t>
            </w:r>
          </w:p>
        </w:tc>
        <w:tc>
          <w:tcPr>
            <w:tcW w:w="62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127.64</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127.64</w:t>
            </w: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127.64</w:t>
            </w: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21208</w:t>
            </w:r>
          </w:p>
        </w:tc>
        <w:tc>
          <w:tcPr>
            <w:tcW w:w="703"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国有土地使用权出让收入安排的支出</w:t>
            </w:r>
          </w:p>
        </w:tc>
        <w:tc>
          <w:tcPr>
            <w:tcW w:w="62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127.64</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127.64</w:t>
            </w: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127.64</w:t>
            </w: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tcBorders>
              <w:top w:val="nil"/>
              <w:left w:val="single" w:color="000000" w:sz="4" w:space="0"/>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2120804</w:t>
            </w:r>
          </w:p>
        </w:tc>
        <w:tc>
          <w:tcPr>
            <w:tcW w:w="703" w:type="pct"/>
            <w:tcBorders>
              <w:top w:val="nil"/>
              <w:left w:val="nil"/>
              <w:bottom w:val="single" w:color="000000" w:sz="4" w:space="0"/>
              <w:right w:val="single" w:color="000000" w:sz="4" w:space="0"/>
            </w:tcBorders>
            <w:noWrap/>
            <w:vAlign w:val="center"/>
          </w:tcPr>
          <w:p>
            <w:pPr>
              <w:jc w:val="left"/>
              <w:rPr>
                <w:rFonts w:hint="eastAsia" w:ascii="方正仿宋_GB2312" w:hAnsi="方正仿宋_GB2312" w:eastAsia="方正仿宋_GB2312" w:cs="方正仿宋_GB2312"/>
                <w:i w:val="0"/>
                <w:iCs w:val="0"/>
                <w:color w:val="000000"/>
                <w:sz w:val="20"/>
                <w:szCs w:val="20"/>
                <w:highlight w:val="none"/>
                <w:u w:val="none"/>
              </w:rPr>
            </w:pPr>
            <w:r>
              <w:rPr>
                <w:rFonts w:hint="eastAsia" w:ascii="方正仿宋_GB2312" w:hAnsi="方正仿宋_GB2312" w:eastAsia="方正仿宋_GB2312" w:cs="方正仿宋_GB2312"/>
                <w:i w:val="0"/>
                <w:iCs w:val="0"/>
                <w:color w:val="000000"/>
                <w:sz w:val="20"/>
                <w:szCs w:val="20"/>
                <w:highlight w:val="none"/>
                <w:u w:val="none"/>
                <w:lang w:val="en-US" w:eastAsia="zh-CN"/>
              </w:rPr>
              <w:t>农村基础设施建设支出</w:t>
            </w:r>
          </w:p>
        </w:tc>
        <w:tc>
          <w:tcPr>
            <w:tcW w:w="62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489"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127.64</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127.64</w:t>
            </w:r>
          </w:p>
        </w:tc>
        <w:tc>
          <w:tcPr>
            <w:tcW w:w="534"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546"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spacing w:val="-2"/>
                <w:sz w:val="20"/>
                <w:szCs w:val="20"/>
                <w:highlight w:val="none"/>
                <w:lang w:val="en-US" w:eastAsia="zh-CN"/>
              </w:rPr>
              <w:t>127.64</w:t>
            </w:r>
          </w:p>
        </w:tc>
        <w:tc>
          <w:tcPr>
            <w:tcW w:w="973"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注：本表反映部门本年度政府性基金预算财政拨款收入、支出及结转和结余情况。</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br w:type="page"/>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W w:w="5863" w:type="pct"/>
        <w:tblInd w:w="-9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3"/>
        <w:gridCol w:w="731"/>
        <w:gridCol w:w="1296"/>
        <w:gridCol w:w="1332"/>
        <w:gridCol w:w="5"/>
        <w:gridCol w:w="47"/>
        <w:gridCol w:w="1281"/>
        <w:gridCol w:w="10"/>
        <w:gridCol w:w="1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公开</w:t>
            </w:r>
            <w:r>
              <w:rPr>
                <w:rFonts w:hint="default" w:ascii="Times New Roman" w:hAnsi="Times New Roman" w:eastAsia="方正仿宋_GB2312" w:cs="Times New Roman"/>
                <w:i w:val="0"/>
                <w:iCs w:val="0"/>
                <w:color w:val="000000"/>
                <w:kern w:val="0"/>
                <w:sz w:val="20"/>
                <w:szCs w:val="20"/>
                <w:highlight w:val="none"/>
                <w:u w:val="none"/>
                <w:lang w:val="en-US" w:eastAsia="zh-CN" w:bidi="ar"/>
              </w:rPr>
              <w:t>08</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4" w:type="pct"/>
            <w:gridSpan w:val="2"/>
            <w:tcBorders>
              <w:top w:val="nil"/>
              <w:left w:val="nil"/>
              <w:bottom w:val="single" w:color="auto" w:sz="4" w:space="0"/>
              <w:right w:val="nil"/>
            </w:tcBorders>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部门（单位）：唐山市丰润区常庄镇人民政府(本级)</w:t>
            </w:r>
          </w:p>
        </w:tc>
        <w:tc>
          <w:tcPr>
            <w:tcW w:w="1421" w:type="pct"/>
            <w:gridSpan w:val="4"/>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w:t>
            </w:r>
            <w:r>
              <w:rPr>
                <w:rFonts w:hint="eastAsia" w:ascii="Times New Roman" w:hAnsi="Times New Roman" w:eastAsia="宋体" w:cs="Times New Roman"/>
                <w:i w:val="0"/>
                <w:iCs w:val="0"/>
                <w:color w:val="000000"/>
                <w:kern w:val="0"/>
                <w:sz w:val="20"/>
                <w:szCs w:val="20"/>
                <w:highlight w:val="none"/>
                <w:u w:val="none"/>
                <w:lang w:val="en-US" w:eastAsia="zh-CN" w:bidi="ar"/>
              </w:rPr>
              <w:t>4</w:t>
            </w: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年度</w:t>
            </w:r>
          </w:p>
        </w:tc>
        <w:tc>
          <w:tcPr>
            <w:tcW w:w="1603" w:type="pct"/>
            <w:gridSpan w:val="3"/>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20"/>
                <w:szCs w:val="20"/>
                <w:highlight w:val="none"/>
                <w:u w:val="none"/>
                <w:lang w:val="en-US" w:eastAsia="zh-CN" w:bidi="ar"/>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 xml:space="preserve"> 项目</w:t>
            </w:r>
          </w:p>
        </w:tc>
        <w:tc>
          <w:tcPr>
            <w:tcW w:w="2337" w:type="pct"/>
            <w:gridSpan w:val="6"/>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62"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c>
          <w:tcPr>
            <w:tcW w:w="2337" w:type="pct"/>
            <w:gridSpan w:val="6"/>
            <w:vMerge w:val="continue"/>
            <w:tcBorders>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科目代码</w:t>
            </w:r>
          </w:p>
        </w:tc>
        <w:tc>
          <w:tcPr>
            <w:tcW w:w="1074"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科目名称</w:t>
            </w:r>
          </w:p>
        </w:tc>
        <w:tc>
          <w:tcPr>
            <w:tcW w:w="709" w:type="pct"/>
            <w:gridSpan w:val="2"/>
            <w:vMerge w:val="restart"/>
            <w:tcBorders>
              <w:top w:val="nil"/>
              <w:left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合计</w:t>
            </w:r>
          </w:p>
        </w:tc>
        <w:tc>
          <w:tcPr>
            <w:tcW w:w="709" w:type="pct"/>
            <w:gridSpan w:val="3"/>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基本支出</w:t>
            </w:r>
          </w:p>
        </w:tc>
        <w:tc>
          <w:tcPr>
            <w:tcW w:w="919" w:type="pct"/>
            <w:vMerge w:val="restart"/>
            <w:tcBorders>
              <w:top w:val="nil"/>
              <w:left w:val="nil"/>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0"/>
                <w:szCs w:val="20"/>
                <w:highlight w:val="none"/>
                <w:u w:val="none"/>
                <w:lang w:val="en-US" w:eastAsia="zh-CN"/>
              </w:rPr>
            </w:pPr>
            <w:r>
              <w:rPr>
                <w:rFonts w:hint="eastAsia" w:ascii="方正仿宋_GB2312" w:hAnsi="方正仿宋_GB2312" w:eastAsia="方正仿宋_GB2312" w:cs="方正仿宋_GB2312"/>
                <w:i w:val="0"/>
                <w:iCs w:val="0"/>
                <w:color w:val="000000"/>
                <w:sz w:val="20"/>
                <w:szCs w:val="20"/>
                <w:highlight w:val="none"/>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7" w:type="pct"/>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1074" w:type="pct"/>
            <w:gridSpan w:val="2"/>
            <w:vMerge w:val="continue"/>
            <w:tcBorders>
              <w:top w:val="single" w:color="auto" w:sz="4" w:space="0"/>
              <w:left w:val="nil"/>
              <w:bottom w:val="single" w:color="auto" w:sz="4" w:space="0"/>
              <w:right w:val="single" w:color="auto"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2"/>
            <w:vMerge w:val="continue"/>
            <w:tcBorders>
              <w:left w:val="single" w:color="auto"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709" w:type="pct"/>
            <w:gridSpan w:val="3"/>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c>
          <w:tcPr>
            <w:tcW w:w="919" w:type="pct"/>
            <w:vMerge w:val="continue"/>
            <w:tcBorders>
              <w:left w:val="nil"/>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栏次</w:t>
            </w:r>
          </w:p>
        </w:tc>
        <w:tc>
          <w:tcPr>
            <w:tcW w:w="706" w:type="pct"/>
            <w:tcBorders>
              <w:top w:val="nil"/>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1</w:t>
            </w:r>
          </w:p>
        </w:tc>
        <w:tc>
          <w:tcPr>
            <w:tcW w:w="706"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2</w:t>
            </w:r>
          </w:p>
        </w:tc>
        <w:tc>
          <w:tcPr>
            <w:tcW w:w="924"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方正仿宋_GB2312"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62"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eastAsia="方正仿宋_GB2312" w:cs="Times New Roman"/>
                <w:i w:val="0"/>
                <w:iCs w:val="0"/>
                <w:color w:val="000000"/>
                <w:sz w:val="20"/>
                <w:szCs w:val="20"/>
                <w:highlight w:val="none"/>
                <w:u w:val="none"/>
                <w:lang w:val="en-US" w:eastAsia="zh-CN"/>
              </w:rPr>
              <w:t>合计</w:t>
            </w:r>
          </w:p>
        </w:tc>
        <w:tc>
          <w:tcPr>
            <w:tcW w:w="70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706" w:type="pct"/>
            <w:gridSpan w:val="3"/>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c>
          <w:tcPr>
            <w:tcW w:w="924" w:type="pct"/>
            <w:gridSpan w:val="2"/>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方正仿宋_GB2312" w:hAnsi="方正仿宋_GB2312" w:eastAsia="方正仿宋_GB2312" w:cs="方正仿宋_GB2312"/>
                <w:i w:val="0"/>
                <w:iCs w:val="0"/>
                <w:color w:val="000000"/>
                <w:kern w:val="0"/>
                <w:sz w:val="20"/>
                <w:szCs w:val="20"/>
                <w:highlight w:val="none"/>
                <w:u w:val="none"/>
                <w:lang w:val="en-US" w:eastAsia="zh-CN" w:bidi="ar"/>
              </w:rPr>
              <w:t>注：本表反映部门本年度国有资本经营预算财政拨款支出情况。（如无相关数据，则需注明空表列示）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tbl>
      <w:tblPr>
        <w:tblStyle w:val="11"/>
        <w:tblpPr w:leftFromText="180" w:rightFromText="180" w:vertAnchor="text" w:horzAnchor="page" w:tblpX="282" w:tblpY="39"/>
        <w:tblOverlap w:val="never"/>
        <w:tblW w:w="72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7"/>
        <w:gridCol w:w="1226"/>
        <w:gridCol w:w="814"/>
        <w:gridCol w:w="946"/>
        <w:gridCol w:w="519"/>
        <w:gridCol w:w="544"/>
        <w:gridCol w:w="777"/>
        <w:gridCol w:w="845"/>
        <w:gridCol w:w="5"/>
        <w:gridCol w:w="1133"/>
        <w:gridCol w:w="640"/>
        <w:gridCol w:w="1027"/>
        <w:gridCol w:w="946"/>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14"/>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b w:val="0"/>
                <w:bCs/>
                <w:color w:val="auto"/>
                <w:kern w:val="0"/>
                <w:sz w:val="32"/>
                <w:szCs w:val="32"/>
                <w:highlight w:val="none"/>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000" w:type="pct"/>
            <w:gridSpan w:val="14"/>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公开</w:t>
            </w:r>
            <w:r>
              <w:rPr>
                <w:rFonts w:hint="default" w:ascii="Times New Roman" w:hAnsi="Times New Roman" w:eastAsia="方正仿宋_GB2312" w:cs="Times New Roman"/>
                <w:i w:val="0"/>
                <w:iCs w:val="0"/>
                <w:color w:val="000000"/>
                <w:kern w:val="0"/>
                <w:sz w:val="18"/>
                <w:szCs w:val="18"/>
                <w:highlight w:val="none"/>
                <w:u w:val="none"/>
                <w:lang w:val="en-US" w:eastAsia="zh-CN" w:bidi="ar"/>
              </w:rPr>
              <w:t>09</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936" w:type="pct"/>
            <w:gridSpan w:val="5"/>
            <w:tcBorders>
              <w:top w:val="nil"/>
              <w:left w:val="nil"/>
              <w:bottom w:val="single" w:color="auto"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部门（单位）：唐山市丰润区常庄镇人民政府(本级)</w:t>
            </w:r>
          </w:p>
        </w:tc>
        <w:tc>
          <w:tcPr>
            <w:tcW w:w="933" w:type="pct"/>
            <w:gridSpan w:val="3"/>
            <w:tcBorders>
              <w:top w:val="nil"/>
              <w:left w:val="nil"/>
              <w:bottom w:val="single" w:color="auto" w:sz="4" w:space="0"/>
              <w:right w:val="nil"/>
            </w:tcBorders>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202</w:t>
            </w:r>
            <w:r>
              <w:rPr>
                <w:rFonts w:hint="eastAsia" w:ascii="Times New Roman" w:hAnsi="Times New Roman" w:eastAsia="宋体" w:cs="Times New Roman"/>
                <w:i w:val="0"/>
                <w:iCs w:val="0"/>
                <w:color w:val="000000"/>
                <w:kern w:val="0"/>
                <w:sz w:val="18"/>
                <w:szCs w:val="18"/>
                <w:highlight w:val="none"/>
                <w:u w:val="none"/>
                <w:lang w:val="en-US" w:eastAsia="zh-CN" w:bidi="ar"/>
              </w:rPr>
              <w:t>4</w:t>
            </w: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年度</w:t>
            </w:r>
          </w:p>
        </w:tc>
        <w:tc>
          <w:tcPr>
            <w:tcW w:w="2129" w:type="pct"/>
            <w:gridSpan w:val="6"/>
            <w:tcBorders>
              <w:top w:val="nil"/>
              <w:left w:val="nil"/>
              <w:bottom w:val="single" w:color="auto" w:sz="4" w:space="0"/>
              <w:right w:val="nil"/>
            </w:tcBorders>
            <w:noWrap/>
            <w:vAlign w:val="bottom"/>
          </w:tcPr>
          <w:p>
            <w:pPr>
              <w:keepNext w:val="0"/>
              <w:keepLines w:val="0"/>
              <w:widowControl/>
              <w:suppressLineNumbers w:val="0"/>
              <w:jc w:val="right"/>
              <w:textAlignment w:val="bottom"/>
              <w:rPr>
                <w:rFonts w:hint="default" w:ascii="宋体" w:hAnsi="宋体" w:eastAsia="宋体" w:cs="宋体"/>
                <w:i w:val="0"/>
                <w:iCs w:val="0"/>
                <w:color w:val="000000"/>
                <w:kern w:val="0"/>
                <w:sz w:val="18"/>
                <w:szCs w:val="18"/>
                <w:highlight w:val="none"/>
                <w:u w:val="none"/>
                <w:lang w:val="en-US" w:eastAsia="zh-CN" w:bidi="ar"/>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506" w:type="pct"/>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预算数</w:t>
            </w:r>
          </w:p>
        </w:tc>
        <w:tc>
          <w:tcPr>
            <w:tcW w:w="2493" w:type="pct"/>
            <w:gridSpan w:val="7"/>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52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217" w:type="pct"/>
            <w:gridSpan w:val="4"/>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33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c>
          <w:tcPr>
            <w:tcW w:w="366" w:type="pct"/>
            <w:gridSpan w:val="2"/>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合计</w:t>
            </w:r>
          </w:p>
        </w:tc>
        <w:tc>
          <w:tcPr>
            <w:tcW w:w="488"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因公出国（境）费</w:t>
            </w:r>
          </w:p>
        </w:tc>
        <w:tc>
          <w:tcPr>
            <w:tcW w:w="1126" w:type="pct"/>
            <w:gridSpan w:val="3"/>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公务用车购置及运行维护费</w:t>
            </w:r>
          </w:p>
        </w:tc>
        <w:tc>
          <w:tcPr>
            <w:tcW w:w="511"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528"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335"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366" w:type="pct"/>
            <w:gridSpan w:val="2"/>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488"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小计</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公务用车购置费</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公务用车运行维护费</w:t>
            </w:r>
          </w:p>
        </w:tc>
        <w:tc>
          <w:tcPr>
            <w:tcW w:w="511" w:type="pct"/>
            <w:vMerge w:val="continue"/>
            <w:tcBorders>
              <w:top w:val="nil"/>
              <w:left w:val="nil"/>
              <w:bottom w:val="single" w:color="000000" w:sz="4" w:space="0"/>
              <w:right w:val="single" w:color="000000" w:sz="4" w:space="0"/>
            </w:tcBorders>
            <w:noWrap/>
            <w:vAlign w:val="center"/>
          </w:tcPr>
          <w:p>
            <w:pPr>
              <w:jc w:val="center"/>
              <w:rPr>
                <w:rFonts w:hint="eastAsia" w:ascii="方正仿宋_GB2312" w:hAnsi="方正仿宋_GB2312" w:eastAsia="方正仿宋_GB2312" w:cs="方正仿宋_GB2312"/>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w:t>
            </w:r>
          </w:p>
        </w:tc>
        <w:tc>
          <w:tcPr>
            <w:tcW w:w="52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2</w:t>
            </w:r>
          </w:p>
        </w:tc>
        <w:tc>
          <w:tcPr>
            <w:tcW w:w="35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3</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4</w:t>
            </w:r>
          </w:p>
        </w:tc>
        <w:tc>
          <w:tcPr>
            <w:tcW w:w="458"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5</w:t>
            </w:r>
          </w:p>
        </w:tc>
        <w:tc>
          <w:tcPr>
            <w:tcW w:w="33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6</w:t>
            </w:r>
          </w:p>
        </w:tc>
        <w:tc>
          <w:tcPr>
            <w:tcW w:w="366" w:type="pct"/>
            <w:gridSpan w:val="2"/>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7</w:t>
            </w:r>
          </w:p>
        </w:tc>
        <w:tc>
          <w:tcPr>
            <w:tcW w:w="48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8</w:t>
            </w:r>
          </w:p>
        </w:tc>
        <w:tc>
          <w:tcPr>
            <w:tcW w:w="27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9</w:t>
            </w:r>
          </w:p>
        </w:tc>
        <w:tc>
          <w:tcPr>
            <w:tcW w:w="442"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10</w:t>
            </w:r>
          </w:p>
        </w:tc>
        <w:tc>
          <w:tcPr>
            <w:tcW w:w="407"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11</w:t>
            </w:r>
          </w:p>
        </w:tc>
        <w:tc>
          <w:tcPr>
            <w:tcW w:w="51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kern w:val="0"/>
                <w:sz w:val="18"/>
                <w:szCs w:val="18"/>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25" w:type="pct"/>
            <w:tcBorders>
              <w:top w:val="nil"/>
              <w:left w:val="single" w:color="000000" w:sz="4" w:space="0"/>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4.00</w:t>
            </w:r>
          </w:p>
        </w:tc>
        <w:tc>
          <w:tcPr>
            <w:tcW w:w="52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50"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4.00</w:t>
            </w:r>
          </w:p>
        </w:tc>
        <w:tc>
          <w:tcPr>
            <w:tcW w:w="40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58"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4.00</w:t>
            </w:r>
          </w:p>
        </w:tc>
        <w:tc>
          <w:tcPr>
            <w:tcW w:w="33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366" w:type="pct"/>
            <w:gridSpan w:val="2"/>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2.67</w:t>
            </w:r>
          </w:p>
        </w:tc>
        <w:tc>
          <w:tcPr>
            <w:tcW w:w="488"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275"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2.67</w:t>
            </w:r>
          </w:p>
        </w:tc>
        <w:tc>
          <w:tcPr>
            <w:tcW w:w="442"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c>
          <w:tcPr>
            <w:tcW w:w="407"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r>
              <w:rPr>
                <w:rFonts w:hint="default" w:ascii="Times New Roman" w:hAnsi="Times New Roman" w:eastAsia="方正仿宋_GB2312" w:cs="Times New Roman"/>
                <w:i w:val="0"/>
                <w:iCs w:val="0"/>
                <w:color w:val="000000"/>
                <w:sz w:val="18"/>
                <w:szCs w:val="18"/>
                <w:highlight w:val="none"/>
                <w:u w:val="none"/>
              </w:rPr>
              <w:t>2.67</w:t>
            </w:r>
          </w:p>
        </w:tc>
        <w:tc>
          <w:tcPr>
            <w:tcW w:w="511" w:type="pct"/>
            <w:tcBorders>
              <w:top w:val="nil"/>
              <w:left w:val="nil"/>
              <w:bottom w:val="single" w:color="000000" w:sz="4" w:space="0"/>
              <w:right w:val="single" w:color="000000" w:sz="4" w:space="0"/>
            </w:tcBorders>
            <w:noWrap/>
            <w:vAlign w:val="center"/>
          </w:tcPr>
          <w:p>
            <w:pPr>
              <w:jc w:val="right"/>
              <w:rPr>
                <w:rFonts w:hint="default" w:ascii="Times New Roman" w:hAnsi="Times New Roman" w:eastAsia="方正仿宋_GB2312" w:cs="Times New Roman"/>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1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方正仿宋_GB2312" w:hAnsi="方正仿宋_GB2312" w:eastAsia="方正仿宋_GB2312" w:cs="方正仿宋_GB2312"/>
                <w:i w:val="0"/>
                <w:iCs w:val="0"/>
                <w:color w:val="000000"/>
                <w:kern w:val="0"/>
                <w:sz w:val="18"/>
                <w:szCs w:val="18"/>
                <w:highlight w:val="none"/>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pPr>
    </w:p>
    <w:p>
      <w:pP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宋体" w:eastAsia="仿宋_GB2312"/>
          <w:b/>
          <w:color w:val="auto"/>
          <w:kern w:val="0"/>
          <w:sz w:val="32"/>
          <w:szCs w:val="32"/>
          <w:highlight w:val="none"/>
        </w:rPr>
        <w:sectPr>
          <w:headerReference r:id="rId8" w:type="default"/>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第三部分</w:t>
      </w:r>
      <w:r>
        <w:rPr>
          <w:rFonts w:ascii="Times New Roman" w:eastAsia="仿宋_GB2312"/>
          <w:b w:val="0"/>
          <w:sz w:val="44"/>
          <w:szCs w:val="44"/>
        </w:rPr>
        <w:t>2024</w:t>
      </w:r>
      <w:r>
        <w:rPr>
          <w:rFonts w:ascii="Times New Roman" w:eastAsia="黑体"/>
          <w:b w:val="0"/>
          <w:sz w:val="44"/>
          <w:szCs w:val="44"/>
        </w:rPr>
        <w:t>年度部门决算情况说明</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一、收入支出决算总体情况说明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2024年度收、支总计（含结转和结余）均为1,487.11万元。与2023年度决算相比，收支各减少1,224.17万元，下降45.2%，主要原因是减少常庄镇返还常香园项目预交占补平衡指标款。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Arial" w:cs="Times New Roman"/>
          <w:highlight w:val="none"/>
        </w:rPr>
      </w:pPr>
      <w:r>
        <w:rPr>
          <w:rFonts w:hint="eastAsia" w:ascii="Times New Roman" w:hAnsi="Times New Roman" w:eastAsia="宋体"/>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default" w:ascii="Times New Roman" w:hAnsi="Times New Roman" w:eastAsia="Arial" w:cs="Times New Roman"/>
          <w:i w:val="0"/>
          <w:iCs w:val="0"/>
          <w:caps w:val="0"/>
          <w:color w:val="000000"/>
          <w:spacing w:val="0"/>
          <w:sz w:val="18"/>
          <w:szCs w:val="18"/>
          <w:highlight w:val="none"/>
          <w:shd w:val="clear" w:fill="FFFFFF"/>
        </w:rPr>
        <w:t> </w:t>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二、收入决算情况说明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本年收入合计1,487.11万元，其中：财政拨款收入1,487.11万元，占100.0%；上级补助收入0.00万元，占0.0%；事业收入0.00万元，占0.0%；经营收入0.00万元，占0.0%；附属单位上缴收入0.00万元，占0.0%；其他收入0.00万元，占0.0%。</w:t>
      </w:r>
    </w:p>
    <w:p>
      <w:pPr>
        <w:adjustRightInd w:val="0"/>
        <w:snapToGrid w:val="0"/>
        <w:spacing w:line="580" w:lineRule="exact"/>
        <w:jc w:val="both"/>
        <w:rPr>
          <w:rFonts w:hint="default" w:ascii="Times New Roman" w:hAnsi="Times New Roman" w:eastAsia="仿宋_GB2312" w:cs="Times New Roman"/>
          <w:kern w:val="2"/>
          <w:sz w:val="32"/>
          <w:szCs w:val="32"/>
          <w:highlight w:val="yellow"/>
          <w:lang w:val="zh-CN"/>
        </w:rPr>
      </w:pPr>
      <w:r>
        <w:rPr>
          <w:rFonts w:ascii="Times New Roman" w:hAnsi="Times New Roman" w:eastAsia="仿宋_GB2312"/>
          <w:kern w:val="2"/>
          <w:sz w:val="32"/>
          <w:szCs w:val="32"/>
          <w:highlight w:val="yellow"/>
          <w:lang w:val="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widowControl/>
        <w:spacing w:before="0" w:beforeLines="0" w:beforeAutospacing="0" w:after="0" w:afterLines="0" w:afterAutospacing="0" w:line="360" w:lineRule="auto"/>
        <w:jc w:val="left"/>
        <w:outlineLvl w:val="1"/>
        <w:rPr>
          <w:rFonts w:ascii="Times New Roman" w:eastAsia="黑体"/>
          <w:sz w:val="32"/>
          <w:szCs w:val="32"/>
        </w:rPr>
      </w:pPr>
      <w:r>
        <w:rPr>
          <w:rFonts w:ascii="Times New Roman" w:eastAsia="黑体"/>
          <w:b w:val="0"/>
          <w:sz w:val="32"/>
          <w:szCs w:val="32"/>
        </w:rPr>
        <w:t>三、支出决算情况说明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2024年度本年支出合计1,487.11万元，其中：基本支出1,074.58万元，占72.3%；项目支出412.53万元，占27.7%；上缴上级支出0.00万元，占0.0%；经营支出0.00万元，占0.0%；对附属单位补助支出0.00万元，占0.0%。</w:t>
      </w:r>
    </w:p>
    <w:p>
      <w:pPr>
        <w:autoSpaceDE w:val="0"/>
        <w:autoSpaceDN w:val="0"/>
        <w:adjustRightInd w:val="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cs="Times New Roman"/>
          <w:sz w:val="32"/>
          <w:szCs w:val="32"/>
          <w:highlight w:val="none"/>
        </w:rPr>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四、财政拨款收入支出决算总体情况说明</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2024年度财政拨款收、支总计（含结转和结余）均为1,487.11万元。与2023年度相比，财政拨款收支各减少1,224.17万元，降低45.2%，主要原因是减少常庄镇返还常香园项目预交占补平衡指标款。</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财政拨款本年收入1,487.11万元,比上年减少1,224.17万元，降低45.2%，主要原因是减少常庄镇返还常香园项目预交占补平衡指标款；本年支出1,487.11万元，比上年减少1,224.17万元，降低45.2%，主要原因是减少常庄镇返还常香园项目预交占补平衡指标款。具体情况如下：</w:t>
      </w:r>
    </w:p>
    <w:p>
      <w:pPr>
        <w:widowControl/>
        <w:spacing w:before="0" w:beforeLines="0" w:beforeAutospacing="0" w:after="0" w:afterLines="0" w:afterAutospacing="0" w:line="360" w:lineRule="auto"/>
        <w:ind w:firstLine="640" w:firstLineChars="200"/>
        <w:jc w:val="left"/>
        <w:outlineLvl w:val="1"/>
        <w:rPr>
          <w:rFonts w:ascii="Times New Roman" w:eastAsia="仿宋_GB2312"/>
          <w:sz w:val="32"/>
          <w:szCs w:val="32"/>
        </w:rPr>
      </w:pPr>
      <w:r>
        <w:rPr>
          <w:rFonts w:ascii="Times New Roman" w:eastAsia="仿宋_GB2312"/>
          <w:b w:val="0"/>
          <w:sz w:val="32"/>
          <w:szCs w:val="32"/>
        </w:rPr>
        <w:t>1.一般公共预算财政拨款本年收入1,359.47万元,比上年减少95.72万元，降低6.6%，主要原因是减少常庄陡河水源地保护区养殖业费用；本年支出1,359.47万元，比上年减少95.72万元，降低6.6%，主要原因是减少常庄陡河水源地保护区养殖业费用。</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127.64万元，比上年减少1,097.06万元，降低89.6%，主要原因是减少常庄镇返还常香园项目预交占补平衡指标款；本年支出127.64万元，比上年减少1,097.06万元，降低89.6%，主要原因是减少常庄镇返还常香园项目预交占补平衡指标款。</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3.国有资本经营预算财政拨款本年收入0.00万元，比上年减少31.39万元，降低100.0%，主要原因是减少社区业务费；本年支出0.00万元，比上年减少31.39万元，降低100.0%，主要原因是减少社区业务费。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sz w:val="32"/>
          <w:szCs w:val="32"/>
        </w:rPr>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（二）财政拨款收支与年初预算数对比情况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财政拨款本年收入1,487.11万元，完成年初预算的84.1%，比年初预算减少281.79万元，决算数小于预算数主要原因是财政困难体制经费和转移支付等未按期拨付；本年支出1,487.11万元，完成年初预算的84.1%，比年初预算减少281.79万元，决算数小于预算数主要原因是财政困难体制经费和转移支付等未按期拨付。具体情况如下：</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一般公共预算财政拨款本年收入完成年初预算的76.9%，比年初预算减少409.43万元，主要原因是减少常庄陡河水源地保护区养殖业费用和常庄清理铁路沿线废墟所需经费；支出完成年初预算的76.9%，比年初预算减少409.43万元，主要原因是减少常庄陡河水源地保护区养殖业费用和常庄清理铁路沿线废墟所需经费。</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政府性基金预算财政拨款本年收入完成年初预算的0.0%，比年初预算增加127.64万元，主要原因是增加住建局实施常庄道路老旧网管翻修工程；支出完成年初预算的0.0%，比年初预算增加127.64万元，主要原因是增加住建局实施常庄道路老旧网管翻修工程。</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3.国有资本经营预算财政拨款本年收入完成年初预算的0.0%，比年初预算增加0.00万元，主要原因是与预算持平；支出完成年初预算的0.0%，比年初预算增加0.00万元，主要原因是与预算持平。</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Arial" w:cs="Times New Roman"/>
          <w:highlight w:val="no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color w:val="auto"/>
          <w:kern w:val="0"/>
          <w:sz w:val="32"/>
          <w:szCs w:val="32"/>
          <w:highlight w:val="none"/>
          <w:lang w:val="en-US" w:eastAsia="zh-CN" w:bidi="ar-SA"/>
        </w:rPr>
      </w:pPr>
      <w:r>
        <w:rPr>
          <w:rFonts w:ascii="Times New Roman" w:hAnsi="Times New Roman" w:eastAsia="仿宋_GB2312"/>
          <w:sz w:val="32"/>
          <w:szCs w:val="32"/>
          <w:highlight w:val="none"/>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（三）财政拨款支出决算结构情况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2024年度财政拨款支出1,487.11万元，主要用于以下方面：</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一般公共预算财政拨款支出：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般公共服务（类）支出1,039.88万元，占69.9%，主要用于人员经费等支出；外交（类）支出0.00万元，占0.0%，主要用于无等支出；国防（类）支出0.00万元，占0.0%，主要用于无等支出；公共安全类（类）支出0.00万元，占0.0%，主要用于无等支出；教育（类）支出0.00万元，占0.0%，主要用于无等支出；科学技术（类）支出0.00万元，占0.0%，主要用于无等支出；文化旅游体育与传媒（类）支出0.00万元，占0.0%，主要用于无等支出；社会保障和就业（类）支出86.47万元，占5.8%，主要用于养老保险等支出；卫生健康（类）支出91.54万元，占6.2%，主要用于医疗保险等支出；节能环保（类）支出0.00万元，占0.0%，主要用于无等支出；城乡社区（类）支出0.00万元，占0.0%，主要用于无等支出；农林水（类）支出74.00万元，占5.0%，主要用于一事一议等支出；交通运输（类）支出0.00万元，占0.0%，主要用于无等支出；资源勘探信息等（类）支出0.00万元，占0.0%，主要用于无等支出；商业服务业等（类）支出0.00万元，占0.0%，主要用于无等支出；金融（类）支出0.00万元，占0.0%，主要用于无等支出；援助其他地区（类）支出0.00万元，占0.0%，主要用于无等支出；自然资源海洋气象等（类）支出0.00万元，占0.0%，主要用于无等支出；住房保障（类）支出67.58万元，占4.5%，主要用于公积金等支出；粮油物资储备（类）支出0.00万元，占0.0%，主要用于无等支出；国有资本经营预算支出0.00万元，占0.0%，主要用于无等支出；害防治及应急管理（类）支出0.00万元，占0.0%，主要用于无等支出；其他（类）支出0.00万元，占0.0%，主要用于无等支出；债务还本（类）支出0.00万元，占0.0%，主要用于无等支出；债务付息（类）支出0.00万元，占0.0%，主要用于无等支出；抗疫特别国债安排的支出0.00万元，占0.0%，主要用于无等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政府性基金预算财政拨款支出：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般公共服务（类）支出0.00万元，占0.0%，主要用于无等支出；外交（类）支出0.00万元，占0.0%，主要用于无等支出；国防（类）支出0.00万元，占0.0%，主要用于无等支出；公共安全类（类）支出0.00万元，占0.0%，主要用于无等支出；教育（类）支出0.00万元，占0.0%，主要用于无等支出；科学技术（类）支出0.00万元，占0.0%，主要用于无等支出；文化旅游体育与传媒（类）支出0.00万元，占0.0%，主要用于无等支出；社会保障和就业（类）支出0.00万元，占0.0%，主要用于无等支出；卫生健康（类）支出0.00万元，占0.0%，主要用于无等支出；节能环保（类）支出0.00万元，占0.0%，主要用于无等支出；城乡社区（类）支出127.64万元，占8.6%，主要用于无等支出；农林水（类）支出0.00万元，占0.0%，主要用于无等支出；交通运输（类）支出0.00万元，占0.0%，主要用于无等支出；资源勘探信息等（类）支出0.00万元，占0.0%，主要用于无等支出；商业服务业等（类）支出0.00万元，占0.0%，主要用于无等支出；金融（类）支出0.00万元，占0.0%，主要用于无等支出；援助其他地区（类）支出0.00万元，占0.0%，主要用于无等支出；自然资源海洋气象等（类）支出0.00万元，占0.0%，主要用于无等支出；住房保障（类）支出0.00万元，占0.0%，主要用于无等支出；粮油物资储备（类）支出0.00万元，占0.0%，主要用于无等支出；国有资本经营预算支出0.00万元，占0.0%，主要用于无等支出；害防治及应急管理（类）支出0.00万元，占0.0%，主要用于无等支出；其他（类）支出0.00万元，占0.0%，主要用于无等支出；债务还本（类）支出0.00万元，占0.0%，主要用于无等支出；债务付息（类）支出0.00万元，占0.0%，主要用于无等支出；抗疫特别国债安排的支出0.00万元，占0.00%，主要用于无等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国有资本经营预算财政拨款支出：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一般公共服务（类）支出0.00万元，占0.0%，主要用于无等支出；外交（类）支出0.00万元，占0.0%，主要用于无等支出；国防（类）支出0.00万元，占0.0%，主要用于无等支出；公共安全（类）支出0.00万元，占0.0%，主要用于无等支出；教育（类）支出0.00万元，占0.0%，主要用于无等支出；科学技术（类）支出0.00万元，占0.0%，主要用于无等支出；文化旅游体育与传媒（类）支出0.00万元，占0.0%，主要用于无等支出；社会保障和就业（类）支出0.00万元，占0.0%，主要用于无等支出；卫生健康（类）支出0.00万元，占0.0%，主要用于无等支出；节能环保（类）支出0.00万元，占0.0%，主要用于无等支出；城乡社区（类）支出0.00万元，占0.0%，主要用于无等支出；农林水（类）支出0.00万元，占0.0%，主要用于无等支出；交通运输（类）支出0.00万元，占0.0%，主要用于无等支出；资源勘探信息等（类）支出0.00万元，占0.0%，主要用于无等支出；商业服务业等（类）支出0.00万元，占0.0%，主要用于无等支出；金融（类）支出0.00万元，占0.0%，主要用于无等支出；援助其他地区（类）支出0.00万元，占0.0%，主要用于无等支出；自然资源海洋气象等（类）支出0.00万元，占0.0%，主要用于无等支出；住房保障（类）支出0.00万元，占0.0%，主要用于无等支出；粮油物资储备（类）支出0.00万元，占0.0%，主要用于无等支出；国有资本经营预算支出0.00万元，占0.0%，主要用于无等支出；害防治及应急管理（类）支出0.00万元，占0.0%，主要用于无等支出；其他（类）支出0.00万元，占0.0%，主要用于无等支出；债务还本（类）支出0.00万元，占0.0%，主要用于无等支出；债务付息（类）支出0.00万元，占0.0%，主要用于无等支出；抗疫特别国债安排的支出0.00万元，占0.0%，主要用于无等支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jc w:val="left"/>
        <w:textAlignment w:val="auto"/>
        <w:rPr>
          <w:rFonts w:hint="default" w:ascii="Times New Roman" w:hAnsi="Times New Roman" w:eastAsia="仿宋_GB2312" w:cs="Times New Roman"/>
          <w:color w:val="auto"/>
          <w:kern w:val="2"/>
          <w:sz w:val="32"/>
          <w:szCs w:val="32"/>
          <w:lang w:val="zh-CN" w:eastAsia="zh-CN" w:bidi="ar-SA"/>
        </w:rPr>
      </w:pPr>
      <w:r>
        <w:rPr>
          <w:rFonts w:ascii="Times New Roman" w:hAnsi="Times New Roman" w:eastAsia="仿宋_GB2312"/>
          <w:kern w:val="2"/>
          <w:sz w:val="32"/>
          <w:szCs w:val="32"/>
          <w:lang w:val="zh-CN"/>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（四）一般公共预算基本支出决算情况说明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2024年度财政拨款基本支出1,074.58万元，其中：</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人员经费1,006.28万元，主要包括基本工资、津贴补贴、奖金、伙食补助费、绩效工资、机关事业部门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公用经费68.30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五、财政拨款“三公”经费支出决算情况说明</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（一）“三公”经费财政拨款支出决算总体情况说明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2024年度“三公”经费财政拨款支出预算为4.00万元，支出决算为2.67万元，完成预算的66.8%，较预算减少1.33万元，降低33.3%，主要原因是</w:t>
      </w:r>
      <w:r>
        <w:rPr>
          <w:rFonts w:hint="eastAsia" w:ascii="Times New Roman" w:hAnsi="Times New Roman" w:eastAsia="仿宋_GB2312" w:cs="Times New Roman"/>
          <w:color w:val="auto"/>
          <w:kern w:val="2"/>
          <w:sz w:val="32"/>
          <w:szCs w:val="32"/>
          <w:lang w:val="zh-CN" w:eastAsia="zh-CN" w:bidi="ar-SA"/>
        </w:rPr>
        <w:t>财政困难</w:t>
      </w:r>
      <w:r>
        <w:rPr>
          <w:rFonts w:hint="eastAsia" w:ascii="仿宋_GB2312" w:hAnsi="Times New Roman" w:eastAsia="仿宋_GB2312" w:cs="Wingdings"/>
          <w:color w:val="000000"/>
          <w:sz w:val="32"/>
          <w:szCs w:val="32"/>
          <w:highlight w:val="none"/>
          <w:lang w:eastAsia="zh-CN"/>
        </w:rPr>
        <w:t>，未按期拨付</w:t>
      </w:r>
      <w:r>
        <w:rPr>
          <w:rFonts w:ascii="Times New Roman" w:eastAsia="仿宋_GB2312"/>
          <w:b w:val="0"/>
          <w:sz w:val="32"/>
          <w:szCs w:val="32"/>
        </w:rPr>
        <w:t>；较2023年度决算减少1.33万元，降低33.3%，主要原因是</w:t>
      </w:r>
      <w:r>
        <w:rPr>
          <w:rFonts w:hint="eastAsia" w:ascii="Times New Roman" w:hAnsi="Times New Roman" w:eastAsia="仿宋_GB2312" w:cs="Times New Roman"/>
          <w:color w:val="auto"/>
          <w:kern w:val="2"/>
          <w:sz w:val="32"/>
          <w:szCs w:val="32"/>
          <w:lang w:val="zh-CN" w:eastAsia="zh-CN" w:bidi="ar-SA"/>
        </w:rPr>
        <w:t>财政困难</w:t>
      </w:r>
      <w:r>
        <w:rPr>
          <w:rFonts w:hint="eastAsia" w:ascii="仿宋_GB2312" w:hAnsi="Times New Roman" w:eastAsia="仿宋_GB2312" w:cs="Wingdings"/>
          <w:color w:val="000000"/>
          <w:sz w:val="32"/>
          <w:szCs w:val="32"/>
          <w:highlight w:val="none"/>
          <w:lang w:eastAsia="zh-CN"/>
        </w:rPr>
        <w:t>，未按期拨付</w:t>
      </w:r>
      <w:r>
        <w:rPr>
          <w:rFonts w:ascii="Times New Roman" w:eastAsia="仿宋_GB2312"/>
          <w:b w:val="0"/>
          <w:sz w:val="32"/>
          <w:szCs w:val="32"/>
        </w:rPr>
        <w:t>。</w:t>
      </w:r>
    </w:p>
    <w:p>
      <w:pPr>
        <w:widowControl/>
        <w:spacing w:before="0" w:beforeLines="0" w:beforeAutospacing="0" w:after="0" w:afterLines="0" w:afterAutospacing="0" w:line="360" w:lineRule="auto"/>
        <w:ind w:firstLine="643" w:firstLineChars="200"/>
        <w:jc w:val="left"/>
        <w:rPr>
          <w:rFonts w:ascii="Times New Roman" w:eastAsia="楷体_GB2312"/>
          <w:sz w:val="32"/>
          <w:szCs w:val="32"/>
        </w:rPr>
      </w:pPr>
      <w:r>
        <w:rPr>
          <w:rFonts w:ascii="Times New Roman" w:eastAsia="楷体_GB2312"/>
          <w:b/>
          <w:sz w:val="32"/>
          <w:szCs w:val="32"/>
        </w:rPr>
        <w:t>（二）“三公”经费财政拨款支出决算具体情况说明</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1.因公出国（境）费支出情况。</w:t>
      </w: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因公出国（境）费支出预算为0.00万元,支出决算0.00万元。完成预算的0.0%。因公出国（境）费支出较预算增加0.00万元，增长0.0%,主要原因是与年初预算持平；较上年增加0.00万元，增长0.00%,主要原因是与2023年度决算支出持平。因公出国（境）团组0个、共0人、参加其他单位组织的因公出国（境）团组0个、共0人/无本部门组织的出国（境）团组。</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2.公务用车购置及运行维护费支出情况。</w:t>
      </w: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公务用车购置及运行维护费预算为4.00万元，支出决算2.67万元，完成预算的66.8%,较预算减少1.33万元，降低33.3%,主要原因是经济困难，未按期拨付；较上年减少1.33万元，降低33.3%,主要原因是经济困难，未按期拨付。其中：</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公务用车购置费支出0.00万元：</w:t>
      </w: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公务用车购置量0辆，发生“公务用车购置”经费支出0.00万元。公务用车购置费支出较预算增加0.00万元，增长0.0%,主要原因是与年初预算持平；较上年增加0.00万元，增长0.00%,主要原因是与2023年度决算支出持平。</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公务用车运行维护费支出2.67万元：</w:t>
      </w: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单位公务用车保有量2辆，发生运行维护费支出2.67万元。公车运行维护费支出较预算减少1.33万元，降低33.3%,主要原因是经济困难，未按期拨付；较上年减少1.33万元，降低33.3%，主要原因是经济困难，未按期拨付。</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楷体_GB2312"/>
          <w:b/>
          <w:sz w:val="32"/>
          <w:szCs w:val="32"/>
        </w:rPr>
        <w:t>3.公务接待费支出情况。</w:t>
      </w: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公务接待费支出预算为0.00万元，支出决算0.00万元，完成预算的0.0%。公务接待费支出较预算增加0.00万元，增长0.0%,主要原因是与年初预算持平；较上年度增加0.00万元，增长0.00%,主要原因是与2023年度决算支出持平。本年度共发生公务接待0批次、0人次。</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六、机关运行经费支出说明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2024年度机关运行经费支出68.30万元，较2023年度减少35.56万元，降低34.2%。主要原因是经济困难，未按期拨付。</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七、政府采购支出说明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2024年度政府采购支出总额0.00万元，从采购类型来看，政府采购货物支出0.00万元、政府采购工程支出0.00万元、政府采购服务支出0.00万元。授予中小企业合同金额0.00万元，占政府采购支出总额的0.0%，其中授予小微企业合同金额0.00万元，占政府采购支出总额的0.0%。</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八、国有资产占用情况说明</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截至2024年12月31日，本</w:t>
      </w:r>
      <w:r>
        <w:rPr>
          <w:rFonts w:hint="eastAsia" w:ascii="Times New Roman" w:eastAsia="仿宋_GB2312"/>
          <w:b w:val="0"/>
          <w:sz w:val="32"/>
          <w:szCs w:val="32"/>
          <w:lang w:eastAsia="zh-CN"/>
        </w:rPr>
        <w:t>部门</w:t>
      </w:r>
      <w:r>
        <w:rPr>
          <w:rFonts w:ascii="Times New Roman" w:eastAsia="仿宋_GB2312"/>
          <w:b w:val="0"/>
          <w:sz w:val="32"/>
          <w:szCs w:val="32"/>
        </w:rPr>
        <w:t>共有车辆9辆，比上年增加1辆，主要是于2024年11月纪委调拨公务用车1辆。其中，副部（省）级及以上领导用车0辆，主要负责人用车0辆，机要通信用车0辆，应急保障用车1辆，执法执勤用车0辆，特种专业技术用车0辆，离退休干部用车0辆，其他用车8辆，其他用车主要是吸粪车和垃圾转运车。单位价值100万元（含）以上设备（不含车辆）0台（套）。</w:t>
      </w:r>
    </w:p>
    <w:p>
      <w:pPr>
        <w:widowControl/>
        <w:spacing w:before="0" w:beforeLines="0" w:beforeAutospacing="0" w:after="0" w:afterLines="0" w:afterAutospacing="0" w:line="360" w:lineRule="auto"/>
        <w:ind w:firstLine="640" w:firstLineChars="200"/>
        <w:jc w:val="left"/>
        <w:outlineLvl w:val="1"/>
        <w:rPr>
          <w:rFonts w:ascii="Times New Roman" w:eastAsia="黑体"/>
          <w:sz w:val="32"/>
          <w:szCs w:val="32"/>
        </w:rPr>
      </w:pPr>
      <w:r>
        <w:rPr>
          <w:rFonts w:ascii="Times New Roman" w:eastAsia="黑体"/>
          <w:b w:val="0"/>
          <w:sz w:val="32"/>
          <w:szCs w:val="32"/>
        </w:rPr>
        <w:t>九、关于2024年度绩效评价情况的说明</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（一）绩效评价工作开展情况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根据预算绩效管理要求，本</w:t>
      </w:r>
      <w:r>
        <w:rPr>
          <w:rFonts w:hint="eastAsia" w:ascii="Times New Roman" w:eastAsia="仿宋_GB2312"/>
          <w:b w:val="0"/>
          <w:sz w:val="32"/>
          <w:szCs w:val="32"/>
          <w:lang w:eastAsia="zh-CN"/>
        </w:rPr>
        <w:t>部门</w:t>
      </w:r>
      <w:r>
        <w:rPr>
          <w:rFonts w:ascii="Times New Roman" w:eastAsia="仿宋_GB2312"/>
          <w:b w:val="0"/>
          <w:sz w:val="32"/>
          <w:szCs w:val="32"/>
        </w:rPr>
        <w:t>组织对2024年度本级预算项目支出全面开展绩效自评，共涉及资金732.6万元（决算金额）。其中，一般公共预算项目2</w:t>
      </w:r>
      <w:r>
        <w:rPr>
          <w:rFonts w:hint="eastAsia" w:ascii="Times New Roman" w:eastAsia="仿宋_GB2312"/>
          <w:b w:val="0"/>
          <w:sz w:val="32"/>
          <w:szCs w:val="32"/>
          <w:lang w:val="en-US" w:eastAsia="zh-CN"/>
        </w:rPr>
        <w:t>2</w:t>
      </w:r>
      <w:r>
        <w:rPr>
          <w:rFonts w:ascii="Times New Roman" w:eastAsia="仿宋_GB2312"/>
          <w:b w:val="0"/>
          <w:sz w:val="32"/>
          <w:szCs w:val="32"/>
        </w:rPr>
        <w:t>个，涉及资金</w:t>
      </w:r>
      <w:r>
        <w:rPr>
          <w:rFonts w:hint="eastAsia" w:ascii="Times New Roman" w:eastAsia="仿宋_GB2312"/>
          <w:b w:val="0"/>
          <w:sz w:val="32"/>
          <w:szCs w:val="32"/>
          <w:lang w:val="en-US" w:eastAsia="zh-CN"/>
        </w:rPr>
        <w:t>604.96</w:t>
      </w:r>
      <w:r>
        <w:rPr>
          <w:rFonts w:ascii="Times New Roman" w:eastAsia="仿宋_GB2312"/>
          <w:b w:val="0"/>
          <w:sz w:val="32"/>
          <w:szCs w:val="32"/>
        </w:rPr>
        <w:t>万元，占一般公共预算项目支出总额的100%；政府性基金预算项目1个，涉及资金127.64万元，占政府性基金预算项目支出总额的100%；国有资本经营预算项目0个，涉及资金0万元，占国有资本经营预算项目支出总额的0%。</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组织对2024年体制经费等23个项目开展了部门重点评价，涉及一般公共预算支出732.6万元，政府性基金预算支出127.64万元，国有资本经营预算支出0万元，从评价情况来看，</w:t>
      </w:r>
      <w:r>
        <w:rPr>
          <w:rFonts w:hint="eastAsia" w:ascii="Times New Roman" w:hAnsi="Times New Roman" w:eastAsia="仿宋_GB2312" w:cs="Times New Roman"/>
          <w:color w:val="auto"/>
          <w:kern w:val="0"/>
          <w:sz w:val="32"/>
          <w:szCs w:val="32"/>
          <w:highlight w:val="none"/>
          <w:lang w:val="en-US" w:eastAsia="zh-CN" w:bidi="ar-SA"/>
        </w:rPr>
        <w:t>常庄镇以“部门职责-工作活动”为依据，确定部门预算项目和预算额度，清晰描述预算项目开支范围和内容，确定预算项目的绩效目标、绩效指标和评价标准，为预算绩效控制、绩效分析、绩效评价打下好的基础。</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（二）部门决算中项目绩效自评结果</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本</w:t>
      </w:r>
      <w:r>
        <w:rPr>
          <w:rFonts w:hint="eastAsia" w:ascii="Times New Roman" w:eastAsia="仿宋_GB2312"/>
          <w:b w:val="0"/>
          <w:sz w:val="32"/>
          <w:szCs w:val="32"/>
          <w:lang w:eastAsia="zh-CN"/>
        </w:rPr>
        <w:t>部门</w:t>
      </w:r>
      <w:r>
        <w:rPr>
          <w:rFonts w:ascii="Times New Roman" w:eastAsia="仿宋_GB2312"/>
          <w:b w:val="0"/>
          <w:sz w:val="32"/>
          <w:szCs w:val="32"/>
        </w:rPr>
        <w:t>在今年部门决算公开中反映2024年体制经费项目等23个项目绩效自评结果。</w:t>
      </w:r>
    </w:p>
    <w:p>
      <w:pPr>
        <w:widowControl/>
        <w:spacing w:before="0" w:beforeLines="0" w:beforeAutospacing="0" w:after="0" w:afterLines="0" w:afterAutospacing="0" w:line="360" w:lineRule="auto"/>
        <w:ind w:firstLine="640" w:firstLineChars="200"/>
        <w:jc w:val="left"/>
        <w:rPr>
          <w:rFonts w:ascii="Times New Roman" w:eastAsia="仿宋_GB2312"/>
          <w:b w:val="0"/>
          <w:sz w:val="32"/>
          <w:szCs w:val="32"/>
          <w:highlight w:val="none"/>
        </w:rPr>
      </w:pPr>
      <w:r>
        <w:rPr>
          <w:rFonts w:ascii="Times New Roman" w:eastAsia="仿宋_GB2312"/>
          <w:b w:val="0"/>
          <w:sz w:val="32"/>
          <w:szCs w:val="32"/>
          <w:highlight w:val="none"/>
        </w:rPr>
        <w:t>2024年体制经费项目</w:t>
      </w:r>
      <w:r>
        <w:rPr>
          <w:rFonts w:hint="eastAsia" w:ascii="Times New Roman" w:eastAsia="仿宋_GB2312"/>
          <w:b w:val="0"/>
          <w:sz w:val="32"/>
          <w:szCs w:val="32"/>
          <w:highlight w:val="none"/>
          <w:lang w:eastAsia="zh-CN"/>
        </w:rPr>
        <w:t>等</w:t>
      </w:r>
      <w:r>
        <w:rPr>
          <w:rFonts w:ascii="Times New Roman" w:eastAsia="仿宋_GB2312"/>
          <w:b w:val="0"/>
          <w:sz w:val="32"/>
          <w:szCs w:val="32"/>
          <w:highlight w:val="none"/>
        </w:rPr>
        <w:t>绩效自评情况：根据年初设定的绩效目标，2024年体制经费项目</w:t>
      </w:r>
      <w:r>
        <w:rPr>
          <w:rFonts w:hint="eastAsia" w:ascii="Times New Roman" w:eastAsia="仿宋_GB2312"/>
          <w:b w:val="0"/>
          <w:sz w:val="32"/>
          <w:szCs w:val="32"/>
          <w:highlight w:val="none"/>
          <w:lang w:eastAsia="zh-CN"/>
        </w:rPr>
        <w:t>等</w:t>
      </w:r>
      <w:r>
        <w:rPr>
          <w:rFonts w:ascii="Times New Roman" w:eastAsia="仿宋_GB2312"/>
          <w:b w:val="0"/>
          <w:sz w:val="32"/>
          <w:szCs w:val="32"/>
          <w:highlight w:val="none"/>
        </w:rPr>
        <w:t>绩效自评得分为100分（绩效自评表附后）。全年预算数为20.93万元，执行数为20.93万元，完成预算的100%。项目绩效目标完成情况：一是</w:t>
      </w:r>
      <w:r>
        <w:rPr>
          <w:rFonts w:hint="eastAsia" w:ascii="Times New Roman" w:hAnsi="Times New Roman" w:eastAsia="仿宋_GB2312" w:cs="Times New Roman"/>
          <w:color w:val="auto"/>
          <w:kern w:val="2"/>
          <w:sz w:val="32"/>
          <w:szCs w:val="32"/>
          <w:highlight w:val="none"/>
          <w:lang w:val="zh-CN" w:eastAsia="zh-CN" w:bidi="ar-SA"/>
        </w:rPr>
        <w:t>严格按照预算执行</w:t>
      </w:r>
      <w:r>
        <w:rPr>
          <w:rFonts w:ascii="Times New Roman" w:eastAsia="仿宋_GB2312"/>
          <w:b w:val="0"/>
          <w:sz w:val="32"/>
          <w:szCs w:val="32"/>
          <w:highlight w:val="none"/>
        </w:rPr>
        <w:t>；二是</w:t>
      </w:r>
      <w:r>
        <w:rPr>
          <w:rFonts w:hint="eastAsia" w:ascii="Times New Roman" w:hAnsi="Times New Roman" w:eastAsia="仿宋_GB2312" w:cs="Times New Roman"/>
          <w:color w:val="auto"/>
          <w:kern w:val="2"/>
          <w:sz w:val="32"/>
          <w:szCs w:val="32"/>
          <w:highlight w:val="none"/>
          <w:lang w:val="en-US" w:eastAsia="zh-CN" w:bidi="ar-SA"/>
        </w:rPr>
        <w:t>做到了专款专用</w:t>
      </w:r>
      <w:r>
        <w:rPr>
          <w:rFonts w:hint="eastAsia" w:ascii="Times New Roman" w:hAnsi="Times New Roman" w:eastAsia="仿宋_GB2312" w:cs="Times New Roman"/>
          <w:color w:val="auto"/>
          <w:kern w:val="2"/>
          <w:sz w:val="32"/>
          <w:szCs w:val="32"/>
          <w:highlight w:val="none"/>
          <w:lang w:val="zh-CN" w:eastAsia="zh-CN" w:bidi="ar-SA"/>
        </w:rPr>
        <w:t>，不超支</w:t>
      </w:r>
      <w:r>
        <w:rPr>
          <w:rFonts w:ascii="Times New Roman" w:eastAsia="仿宋_GB2312"/>
          <w:b w:val="0"/>
          <w:sz w:val="32"/>
          <w:szCs w:val="32"/>
          <w:highlight w:val="none"/>
        </w:rPr>
        <w:t>。发现的主要问题及原因是：一是</w:t>
      </w:r>
      <w:r>
        <w:rPr>
          <w:rFonts w:hint="eastAsia" w:ascii="Times New Roman" w:hAnsi="Times New Roman" w:eastAsia="仿宋_GB2312" w:cs="Times New Roman"/>
          <w:color w:val="auto"/>
          <w:kern w:val="2"/>
          <w:sz w:val="32"/>
          <w:szCs w:val="32"/>
          <w:highlight w:val="none"/>
          <w:lang w:val="zh-CN" w:eastAsia="zh-CN" w:bidi="ar-SA"/>
        </w:rPr>
        <w:t>个别资金上半年开展较慢</w:t>
      </w:r>
      <w:r>
        <w:rPr>
          <w:rFonts w:ascii="Times New Roman" w:eastAsia="仿宋_GB2312"/>
          <w:b w:val="0"/>
          <w:sz w:val="32"/>
          <w:szCs w:val="32"/>
          <w:highlight w:val="none"/>
        </w:rPr>
        <w:t>；二是</w:t>
      </w:r>
      <w:r>
        <w:rPr>
          <w:rFonts w:hint="eastAsia" w:ascii="Times New Roman" w:hAnsi="Times New Roman" w:eastAsia="仿宋_GB2312" w:cs="Times New Roman"/>
          <w:color w:val="auto"/>
          <w:kern w:val="2"/>
          <w:sz w:val="32"/>
          <w:szCs w:val="32"/>
          <w:highlight w:val="none"/>
          <w:lang w:val="zh-CN" w:eastAsia="zh-CN" w:bidi="ar-SA"/>
        </w:rPr>
        <w:t>部分资金拨付不及时、不到位</w:t>
      </w:r>
      <w:r>
        <w:rPr>
          <w:rFonts w:ascii="Times New Roman" w:eastAsia="仿宋_GB2312"/>
          <w:b w:val="0"/>
          <w:sz w:val="32"/>
          <w:szCs w:val="32"/>
          <w:highlight w:val="none"/>
        </w:rPr>
        <w:t>。下一步改进措施：一是 </w:t>
      </w:r>
      <w:r>
        <w:rPr>
          <w:rFonts w:hint="eastAsia" w:ascii="Times New Roman" w:hAnsi="Times New Roman" w:eastAsia="仿宋_GB2312" w:cs="Times New Roman"/>
          <w:color w:val="auto"/>
          <w:kern w:val="2"/>
          <w:sz w:val="32"/>
          <w:szCs w:val="32"/>
          <w:highlight w:val="none"/>
          <w:lang w:val="zh-CN" w:eastAsia="zh-CN" w:bidi="ar-SA"/>
        </w:rPr>
        <w:t>按照预算安排，合理安排资金有效使用</w:t>
      </w:r>
      <w:r>
        <w:rPr>
          <w:rFonts w:ascii="Times New Roman" w:eastAsia="仿宋_GB2312"/>
          <w:b w:val="0"/>
          <w:sz w:val="32"/>
          <w:szCs w:val="32"/>
          <w:highlight w:val="none"/>
        </w:rPr>
        <w:t>；二是</w:t>
      </w:r>
      <w:r>
        <w:rPr>
          <w:rFonts w:hint="eastAsia" w:ascii="Times New Roman" w:hAnsi="Times New Roman" w:eastAsia="仿宋_GB2312" w:cs="Times New Roman"/>
          <w:color w:val="auto"/>
          <w:kern w:val="2"/>
          <w:sz w:val="32"/>
          <w:szCs w:val="32"/>
          <w:highlight w:val="none"/>
          <w:lang w:val="zh-CN" w:eastAsia="zh-CN" w:bidi="ar-SA"/>
        </w:rPr>
        <w:t>确保项目资金及时发放到位</w:t>
      </w:r>
      <w:r>
        <w:rPr>
          <w:rFonts w:ascii="Times New Roman" w:eastAsia="仿宋_GB2312"/>
          <w:b w:val="0"/>
          <w:sz w:val="32"/>
          <w:szCs w:val="32"/>
          <w:highlight w:val="no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zh-CN" w:eastAsia="zh-CN" w:bidi="ar-SA"/>
        </w:rPr>
        <w:t>）</w:t>
      </w:r>
      <w:r>
        <w:rPr>
          <w:rFonts w:hint="default" w:ascii="Times New Roman" w:hAnsi="Times New Roman" w:eastAsia="仿宋_GB2312" w:cs="Times New Roman"/>
          <w:color w:val="auto"/>
          <w:kern w:val="2"/>
          <w:sz w:val="32"/>
          <w:szCs w:val="32"/>
          <w:lang w:val="zh-CN" w:eastAsia="zh-CN" w:bidi="ar-SA"/>
        </w:rPr>
        <w:t>202</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zh-CN" w:eastAsia="zh-CN" w:bidi="ar-SA"/>
        </w:rPr>
        <w:t>年体制经费项目</w:t>
      </w:r>
      <w:r>
        <w:rPr>
          <w:rFonts w:hint="eastAsia" w:ascii="仿宋_GB2312" w:hAnsi="仿宋_GB2312" w:eastAsia="仿宋_GB2312" w:cs="仿宋_GB2312"/>
          <w:sz w:val="32"/>
          <w:szCs w:val="32"/>
        </w:rPr>
        <w:t>自评</w:t>
      </w:r>
      <w:r>
        <w:rPr>
          <w:rFonts w:ascii="Times New Roman" w:eastAsia="仿宋_GB2312"/>
          <w:b w:val="0"/>
          <w:sz w:val="32"/>
          <w:szCs w:val="32"/>
        </w:rPr>
        <w:t>情况</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 w:hAnsi="仿宋" w:eastAsia="仿宋" w:cs="方正仿宋简体"/>
          <w:sz w:val="30"/>
          <w:szCs w:val="30"/>
        </w:rPr>
        <w:t>202</w:t>
      </w:r>
      <w:r>
        <w:rPr>
          <w:rFonts w:hint="eastAsia" w:ascii="仿宋" w:hAnsi="仿宋" w:eastAsia="仿宋" w:cs="方正仿宋简体"/>
          <w:sz w:val="30"/>
          <w:szCs w:val="30"/>
          <w:lang w:val="en-US" w:eastAsia="zh-CN"/>
        </w:rPr>
        <w:t>3</w:t>
      </w:r>
      <w:r>
        <w:rPr>
          <w:rFonts w:hint="eastAsia" w:ascii="仿宋" w:hAnsi="仿宋" w:eastAsia="仿宋" w:cs="方正仿宋简体"/>
          <w:sz w:val="30"/>
          <w:szCs w:val="30"/>
        </w:rPr>
        <w:t>年乡镇财政体制经费</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20.93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20.93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通过项目实施，较好的完成了</w:t>
      </w:r>
      <w:r>
        <w:rPr>
          <w:rFonts w:hint="eastAsia" w:ascii="仿宋_GB2312" w:hAnsi="仿宋_GB2312" w:eastAsia="仿宋_GB2312" w:cs="仿宋_GB2312"/>
          <w:sz w:val="32"/>
          <w:szCs w:val="32"/>
          <w:highlight w:val="none"/>
          <w:lang w:val="en-US" w:eastAsia="zh-CN"/>
        </w:rPr>
        <w:t>年初设定的各项绩效目标，未发现问题。</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2024年一社区工作经费</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自评综述</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val="en-US" w:eastAsia="zh-CN"/>
        </w:rPr>
        <w:t>2024年一社区工作经费</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因财政困难</w:t>
      </w:r>
      <w:r>
        <w:rPr>
          <w:rFonts w:hint="eastAsia" w:ascii="仿宋_GB2312" w:hAnsi="仿宋_GB2312" w:eastAsia="仿宋_GB2312" w:cs="仿宋_GB2312"/>
          <w:sz w:val="32"/>
          <w:szCs w:val="32"/>
          <w:highlight w:val="none"/>
          <w:lang w:val="en-US" w:eastAsia="zh-CN"/>
        </w:rPr>
        <w:t>，造成资金未及时下达，支出进度和预算执行率未达年初设定目标。</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2024年二社区工作经费</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自评综述</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val="en-US" w:eastAsia="zh-CN"/>
        </w:rPr>
        <w:t>2024年二社区工作经费</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因财政困难</w:t>
      </w:r>
      <w:r>
        <w:rPr>
          <w:rFonts w:hint="eastAsia" w:ascii="仿宋_GB2312" w:hAnsi="仿宋_GB2312" w:eastAsia="仿宋_GB2312" w:cs="仿宋_GB2312"/>
          <w:sz w:val="32"/>
          <w:szCs w:val="32"/>
          <w:highlight w:val="none"/>
          <w:lang w:val="en-US" w:eastAsia="zh-CN"/>
        </w:rPr>
        <w:t>，造成资金未及时下达，支出进度和预算执行率未达年初设定目标。</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2023年未拨一社区工作经费</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自评综述</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val="en-US" w:eastAsia="zh-CN"/>
        </w:rPr>
        <w:t>2023年未拨一社区工作经费</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因财政困难</w:t>
      </w:r>
      <w:r>
        <w:rPr>
          <w:rFonts w:hint="eastAsia" w:ascii="仿宋_GB2312" w:hAnsi="仿宋_GB2312" w:eastAsia="仿宋_GB2312" w:cs="仿宋_GB2312"/>
          <w:sz w:val="32"/>
          <w:szCs w:val="32"/>
          <w:highlight w:val="none"/>
          <w:lang w:val="en-US" w:eastAsia="zh-CN"/>
        </w:rPr>
        <w:t>，造成资金未及时下达，支出进度和预算执行率未达年初设定目标。</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2023年未拨二社区工作经费</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自评综述</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val="en-US" w:eastAsia="zh-CN"/>
        </w:rPr>
        <w:t>2023年未拨二社区工作经费</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因财政困难</w:t>
      </w:r>
      <w:r>
        <w:rPr>
          <w:rFonts w:hint="eastAsia" w:ascii="仿宋_GB2312" w:hAnsi="仿宋_GB2312" w:eastAsia="仿宋_GB2312" w:cs="仿宋_GB2312"/>
          <w:sz w:val="32"/>
          <w:szCs w:val="32"/>
          <w:highlight w:val="none"/>
          <w:lang w:val="en-US" w:eastAsia="zh-CN"/>
        </w:rPr>
        <w:t>，造成资金未及时下达，支出进度和预算执行率未达年初设定目标。</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统计专项业务工作经费</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自评综述</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val="en-US" w:eastAsia="zh-CN"/>
        </w:rPr>
        <w:t>统计专项业务工作经费</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因财政困难</w:t>
      </w:r>
      <w:r>
        <w:rPr>
          <w:rFonts w:hint="eastAsia" w:ascii="仿宋_GB2312" w:hAnsi="仿宋_GB2312" w:eastAsia="仿宋_GB2312" w:cs="仿宋_GB2312"/>
          <w:sz w:val="32"/>
          <w:szCs w:val="32"/>
          <w:highlight w:val="none"/>
          <w:lang w:val="en-US" w:eastAsia="zh-CN"/>
        </w:rPr>
        <w:t>，造成资金未及时下达，支出进度和预算执行率未达年初设定目标。</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财政所经费</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自评综述</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val="en-US" w:eastAsia="zh-CN"/>
        </w:rPr>
        <w:t>财政所经费</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因财政困难</w:t>
      </w:r>
      <w:r>
        <w:rPr>
          <w:rFonts w:hint="eastAsia" w:ascii="仿宋_GB2312" w:hAnsi="仿宋_GB2312" w:eastAsia="仿宋_GB2312" w:cs="仿宋_GB2312"/>
          <w:sz w:val="32"/>
          <w:szCs w:val="32"/>
          <w:highlight w:val="none"/>
          <w:lang w:val="en-US" w:eastAsia="zh-CN"/>
        </w:rPr>
        <w:t>，造成资金未及时下达，支出进度和预算执行率未达年初设定目标。</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征兵工作经费</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自评综述</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val="en-US" w:eastAsia="zh-CN"/>
        </w:rPr>
        <w:t>征兵工作经费</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因财政困难</w:t>
      </w:r>
      <w:r>
        <w:rPr>
          <w:rFonts w:hint="eastAsia" w:ascii="仿宋_GB2312" w:hAnsi="仿宋_GB2312" w:eastAsia="仿宋_GB2312" w:cs="仿宋_GB2312"/>
          <w:sz w:val="32"/>
          <w:szCs w:val="32"/>
          <w:highlight w:val="none"/>
          <w:lang w:val="en-US" w:eastAsia="zh-CN"/>
        </w:rPr>
        <w:t>，造成资金未及时下达，支出进度和预算执行率未达年初设定目标。</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2023年未拨村级转移支付</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自评综述</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val="en-US" w:eastAsia="zh-CN"/>
        </w:rPr>
        <w:t>2023年未拨村级转移支付</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10.73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因财政困难</w:t>
      </w:r>
      <w:r>
        <w:rPr>
          <w:rFonts w:hint="eastAsia" w:ascii="仿宋_GB2312" w:hAnsi="仿宋_GB2312" w:eastAsia="仿宋_GB2312" w:cs="仿宋_GB2312"/>
          <w:sz w:val="32"/>
          <w:szCs w:val="32"/>
          <w:highlight w:val="none"/>
          <w:lang w:val="en-US" w:eastAsia="zh-CN"/>
        </w:rPr>
        <w:t>，造成资金未及时下达，支出进度和预算执行率未达年初设定目标。</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2024年村级转移支付</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自评综述</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val="en-US" w:eastAsia="zh-CN"/>
        </w:rPr>
        <w:t>2024年村级转移支付</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21.45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因财政困难</w:t>
      </w:r>
      <w:r>
        <w:rPr>
          <w:rFonts w:hint="eastAsia" w:ascii="仿宋_GB2312" w:hAnsi="仿宋_GB2312" w:eastAsia="仿宋_GB2312" w:cs="仿宋_GB2312"/>
          <w:sz w:val="32"/>
          <w:szCs w:val="32"/>
          <w:highlight w:val="none"/>
          <w:lang w:val="en-US" w:eastAsia="zh-CN"/>
        </w:rPr>
        <w:t>，造成资金未及时下达，支出进度和预算执行率未达年初设定目标。</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四术并发症费用</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自评综述</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val="en-US" w:eastAsia="zh-CN"/>
        </w:rPr>
        <w:t>四术并发症费用</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97.63</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4.26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96.8%</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通过项目实施，较好的完成了</w:t>
      </w:r>
      <w:r>
        <w:rPr>
          <w:rFonts w:hint="eastAsia" w:ascii="仿宋_GB2312" w:hAnsi="仿宋_GB2312" w:eastAsia="仿宋_GB2312" w:cs="仿宋_GB2312"/>
          <w:sz w:val="32"/>
          <w:szCs w:val="32"/>
          <w:highlight w:val="none"/>
          <w:lang w:val="en-US" w:eastAsia="zh-CN"/>
        </w:rPr>
        <w:t>年初设定的各项绩效目标，未发现问题。</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2021年超收</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自评综述</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val="en-US" w:eastAsia="zh-CN"/>
        </w:rPr>
        <w:t>2021年超收</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66.26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因财政困难</w:t>
      </w:r>
      <w:r>
        <w:rPr>
          <w:rFonts w:hint="eastAsia" w:ascii="仿宋_GB2312" w:hAnsi="仿宋_GB2312" w:eastAsia="仿宋_GB2312" w:cs="仿宋_GB2312"/>
          <w:sz w:val="32"/>
          <w:szCs w:val="32"/>
          <w:highlight w:val="none"/>
          <w:lang w:val="en-US" w:eastAsia="zh-CN"/>
        </w:rPr>
        <w:t>，造成资金未及时下达，支出进度和预算执行率未达年初设定目标。</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门赵庄村文化广场亮化资金</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自评综述</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val="en-US" w:eastAsia="zh-CN"/>
        </w:rPr>
        <w:t>门赵庄村文化广场亮化资金</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9.22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因财政困难</w:t>
      </w:r>
      <w:r>
        <w:rPr>
          <w:rFonts w:hint="eastAsia" w:ascii="仿宋_GB2312" w:hAnsi="仿宋_GB2312" w:eastAsia="仿宋_GB2312" w:cs="仿宋_GB2312"/>
          <w:sz w:val="32"/>
          <w:szCs w:val="32"/>
          <w:highlight w:val="none"/>
          <w:lang w:val="en-US" w:eastAsia="zh-CN"/>
        </w:rPr>
        <w:t>，造成资金未及时下达，支出进度和预算执行率未达年初设定目标。</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2022年非税工作经费</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自评综述</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val="en-US" w:eastAsia="zh-CN"/>
        </w:rPr>
        <w:t>2022年非税工作经费</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4.75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因财政困难</w:t>
      </w:r>
      <w:r>
        <w:rPr>
          <w:rFonts w:hint="eastAsia" w:ascii="仿宋_GB2312" w:hAnsi="仿宋_GB2312" w:eastAsia="仿宋_GB2312" w:cs="仿宋_GB2312"/>
          <w:sz w:val="32"/>
          <w:szCs w:val="32"/>
          <w:highlight w:val="none"/>
          <w:lang w:val="en-US" w:eastAsia="zh-CN"/>
        </w:rPr>
        <w:t>，造成资金未及时下达，支出进度和预算执行率未达年初设定目标。</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2023年1-9月非税收入工作经费</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自评综述</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val="en-US" w:eastAsia="zh-CN"/>
        </w:rPr>
        <w:t>2023年1-9月非税收入工作经费</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56.2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因财政困难</w:t>
      </w:r>
      <w:r>
        <w:rPr>
          <w:rFonts w:hint="eastAsia" w:ascii="仿宋_GB2312" w:hAnsi="仿宋_GB2312" w:eastAsia="仿宋_GB2312" w:cs="仿宋_GB2312"/>
          <w:sz w:val="32"/>
          <w:szCs w:val="32"/>
          <w:highlight w:val="none"/>
          <w:lang w:val="en-US" w:eastAsia="zh-CN"/>
        </w:rPr>
        <w:t>，造成资金未及时下达，支出进度和预算执行率未达年初设定目标。</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农村综改</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自评综述</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val="en-US" w:eastAsia="zh-CN"/>
        </w:rPr>
        <w:t>农村综改</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因财政困难</w:t>
      </w:r>
      <w:r>
        <w:rPr>
          <w:rFonts w:hint="eastAsia" w:ascii="仿宋_GB2312" w:hAnsi="仿宋_GB2312" w:eastAsia="仿宋_GB2312" w:cs="仿宋_GB2312"/>
          <w:sz w:val="32"/>
          <w:szCs w:val="32"/>
          <w:highlight w:val="none"/>
          <w:lang w:val="en-US" w:eastAsia="zh-CN"/>
        </w:rPr>
        <w:t>，造成资金未及时下达，支出进度和预算执行率未达年初设定目标。</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农村综改资金</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自评综述</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val="en-US" w:eastAsia="zh-CN"/>
        </w:rPr>
        <w:t>农村综改资金</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通过项目实施，较好的完成了</w:t>
      </w:r>
      <w:r>
        <w:rPr>
          <w:rFonts w:hint="eastAsia" w:ascii="仿宋_GB2312" w:hAnsi="仿宋_GB2312" w:eastAsia="仿宋_GB2312" w:cs="仿宋_GB2312"/>
          <w:sz w:val="32"/>
          <w:szCs w:val="32"/>
          <w:highlight w:val="none"/>
          <w:lang w:val="en-US" w:eastAsia="zh-CN"/>
        </w:rPr>
        <w:t>年初设定的各项绩效目标，未发现问题。</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常庄镇一事一议</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自评综述</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val="en-US" w:eastAsia="zh-CN"/>
        </w:rPr>
        <w:t>常庄镇一事一议</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92.5</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通过项目实施，较好的完成了</w:t>
      </w:r>
      <w:r>
        <w:rPr>
          <w:rFonts w:hint="eastAsia" w:ascii="仿宋_GB2312" w:hAnsi="仿宋_GB2312" w:eastAsia="仿宋_GB2312" w:cs="仿宋_GB2312"/>
          <w:sz w:val="32"/>
          <w:szCs w:val="32"/>
          <w:highlight w:val="none"/>
          <w:lang w:val="en-US" w:eastAsia="zh-CN"/>
        </w:rPr>
        <w:t>年初设定的各项绩效目标，未发现问题。</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建设路两侧垃圾清运和永久基本农田流向建设用地整改复耕所需经费</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自评综述</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val="en-US" w:eastAsia="zh-CN"/>
        </w:rPr>
        <w:t>建设路两侧垃圾清运和永久基本农田流向建设用地整改复耕所需经费</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83.81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83.81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通过项目实施，较好的完成了</w:t>
      </w:r>
      <w:r>
        <w:rPr>
          <w:rFonts w:hint="eastAsia" w:ascii="仿宋_GB2312" w:hAnsi="仿宋_GB2312" w:eastAsia="仿宋_GB2312" w:cs="仿宋_GB2312"/>
          <w:sz w:val="32"/>
          <w:szCs w:val="32"/>
          <w:highlight w:val="none"/>
          <w:lang w:val="en-US" w:eastAsia="zh-CN"/>
        </w:rPr>
        <w:t>年初设定的各项绩效目标，未发现问题。</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住建局实施常庄道路老旧网管翻修工程</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自评综述</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val="en-US" w:eastAsia="zh-CN"/>
        </w:rPr>
        <w:t>住建局实施常庄道路老旧网管翻修工程</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127.64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127.64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通过项目实施，较好的完成了</w:t>
      </w:r>
      <w:r>
        <w:rPr>
          <w:rFonts w:hint="eastAsia" w:ascii="仿宋_GB2312" w:hAnsi="仿宋_GB2312" w:eastAsia="仿宋_GB2312" w:cs="仿宋_GB2312"/>
          <w:sz w:val="32"/>
          <w:szCs w:val="32"/>
          <w:highlight w:val="none"/>
          <w:lang w:val="en-US" w:eastAsia="zh-CN"/>
        </w:rPr>
        <w:t>年初设定的各项绩效目标，未发现问题。</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社区人员工资项目资金</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自评综述</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val="en-US" w:eastAsia="zh-CN"/>
        </w:rPr>
        <w:t>社区人员工资</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96.4</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124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101.89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通过项目实施，较好的完成了</w:t>
      </w:r>
      <w:r>
        <w:rPr>
          <w:rFonts w:hint="eastAsia" w:ascii="仿宋_GB2312" w:hAnsi="仿宋_GB2312" w:eastAsia="仿宋_GB2312" w:cs="仿宋_GB2312"/>
          <w:sz w:val="32"/>
          <w:szCs w:val="32"/>
          <w:highlight w:val="none"/>
          <w:lang w:val="en-US" w:eastAsia="zh-CN"/>
        </w:rPr>
        <w:t>年初设定的各项绩效目标，未发现问题。</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补发职业年金</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自评综述</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val="en-US" w:eastAsia="zh-CN"/>
        </w:rPr>
        <w:t>补发职业年金</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20.6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因财政困难</w:t>
      </w:r>
      <w:r>
        <w:rPr>
          <w:rFonts w:hint="eastAsia" w:ascii="仿宋_GB2312" w:hAnsi="仿宋_GB2312" w:eastAsia="仿宋_GB2312" w:cs="仿宋_GB2312"/>
          <w:sz w:val="32"/>
          <w:szCs w:val="32"/>
          <w:highlight w:val="none"/>
          <w:lang w:val="en-US" w:eastAsia="zh-CN"/>
        </w:rPr>
        <w:t>，造成资金未及时下达，支出进度和预算执行率未达年初设定目标。</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left="0"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广电补发职业年金</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自评综述</w:t>
      </w:r>
      <w:r>
        <w:rPr>
          <w:rFonts w:hint="default" w:ascii="Times New Roman" w:hAnsi="Times New Roman" w:eastAsia="仿宋_GB2312" w:cs="Times New Roman"/>
          <w:color w:val="auto"/>
          <w:kern w:val="2"/>
          <w:sz w:val="32"/>
          <w:szCs w:val="32"/>
          <w:lang w:val="zh-CN" w:eastAsia="zh-CN" w:bidi="ar-SA"/>
        </w:rPr>
        <w:t>。</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lang w:eastAsia="zh-CN"/>
        </w:rPr>
        <w:t>广电</w:t>
      </w:r>
      <w:r>
        <w:rPr>
          <w:rFonts w:hint="eastAsia" w:ascii="仿宋_GB2312" w:hAnsi="仿宋_GB2312" w:eastAsia="仿宋_GB2312" w:cs="仿宋_GB2312"/>
          <w:sz w:val="32"/>
          <w:szCs w:val="32"/>
          <w:highlight w:val="none"/>
          <w:lang w:val="en-US" w:eastAsia="zh-CN"/>
        </w:rPr>
        <w:t>补发职业年金</w:t>
      </w:r>
      <w:r>
        <w:rPr>
          <w:rFonts w:hint="default" w:ascii="Times New Roman" w:hAnsi="Times New Roman" w:eastAsia="仿宋_GB2312" w:cs="Times New Roman"/>
          <w:color w:val="auto"/>
          <w:kern w:val="2"/>
          <w:sz w:val="32"/>
          <w:szCs w:val="32"/>
          <w:lang w:val="zh-CN" w:eastAsia="zh-CN" w:bidi="ar-SA"/>
        </w:rPr>
        <w:t>项目</w:t>
      </w:r>
      <w:r>
        <w:rPr>
          <w:rFonts w:hint="eastAsia" w:ascii="仿宋_GB2312" w:hAnsi="仿宋_GB2312" w:eastAsia="仿宋_GB2312" w:cs="仿宋_GB2312"/>
          <w:sz w:val="32"/>
          <w:szCs w:val="32"/>
        </w:rPr>
        <w:t>绩效自评得分为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17.61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因财政困难</w:t>
      </w:r>
      <w:r>
        <w:rPr>
          <w:rFonts w:hint="eastAsia" w:ascii="仿宋_GB2312" w:hAnsi="仿宋_GB2312" w:eastAsia="仿宋_GB2312" w:cs="仿宋_GB2312"/>
          <w:sz w:val="32"/>
          <w:szCs w:val="32"/>
          <w:highlight w:val="none"/>
          <w:lang w:val="en-US" w:eastAsia="zh-CN"/>
        </w:rPr>
        <w:t>，造成资金未及时下达，支出进度和预算执行率未达年初设定目标。</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left"/>
        <w:textAlignment w:val="auto"/>
        <w:rPr>
          <w:rFonts w:hint="eastAsia" w:ascii="仿宋_GB2312" w:hAnsi="仿宋_GB2312" w:eastAsia="仿宋_GB2312" w:cs="仿宋_GB2312"/>
          <w:sz w:val="32"/>
          <w:szCs w:val="32"/>
          <w:highlight w:val="none"/>
          <w:lang w:val="en-US" w:eastAsia="zh-CN"/>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left"/>
        <w:textAlignment w:val="auto"/>
        <w:rPr>
          <w:rFonts w:hint="eastAsia" w:ascii="仿宋_GB2312" w:hAnsi="仿宋_GB2312" w:eastAsia="仿宋_GB2312" w:cs="仿宋_GB2312"/>
          <w:sz w:val="32"/>
          <w:szCs w:val="32"/>
          <w:highlight w:val="none"/>
          <w:lang w:val="en-US" w:eastAsia="zh-CN"/>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left"/>
        <w:textAlignment w:val="auto"/>
        <w:rPr>
          <w:rFonts w:hint="eastAsia" w:ascii="仿宋_GB2312" w:hAnsi="仿宋_GB2312" w:eastAsia="仿宋_GB2312" w:cs="仿宋_GB2312"/>
          <w:sz w:val="32"/>
          <w:szCs w:val="32"/>
          <w:highlight w:val="none"/>
          <w:lang w:val="en-US" w:eastAsia="zh-CN"/>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left"/>
        <w:textAlignment w:val="auto"/>
        <w:rPr>
          <w:rFonts w:hint="eastAsia" w:ascii="仿宋_GB2312" w:hAnsi="仿宋_GB2312" w:eastAsia="仿宋_GB2312" w:cs="仿宋_GB2312"/>
          <w:sz w:val="32"/>
          <w:szCs w:val="32"/>
          <w:highlight w:val="none"/>
          <w:lang w:val="en-US" w:eastAsia="zh-CN"/>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left"/>
        <w:textAlignment w:val="auto"/>
        <w:rPr>
          <w:rFonts w:hint="eastAsia" w:ascii="仿宋_GB2312" w:hAnsi="仿宋_GB2312" w:eastAsia="仿宋_GB2312" w:cs="仿宋_GB2312"/>
          <w:sz w:val="32"/>
          <w:szCs w:val="32"/>
          <w:highlight w:val="none"/>
          <w:lang w:val="en-US" w:eastAsia="zh-CN"/>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left"/>
        <w:textAlignment w:val="auto"/>
        <w:rPr>
          <w:rFonts w:hint="eastAsia" w:ascii="仿宋_GB2312" w:hAnsi="仿宋_GB2312" w:eastAsia="仿宋_GB2312" w:cs="仿宋_GB2312"/>
          <w:sz w:val="32"/>
          <w:szCs w:val="32"/>
          <w:highlight w:val="none"/>
          <w:lang w:val="en-US" w:eastAsia="zh-CN"/>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left"/>
        <w:textAlignment w:val="auto"/>
        <w:rPr>
          <w:rFonts w:hint="eastAsia" w:ascii="仿宋_GB2312" w:hAnsi="仿宋_GB2312" w:eastAsia="仿宋_GB2312" w:cs="仿宋_GB2312"/>
          <w:sz w:val="32"/>
          <w:szCs w:val="32"/>
          <w:highlight w:val="none"/>
          <w:lang w:val="en-US" w:eastAsia="zh-CN"/>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left"/>
        <w:textAlignment w:val="auto"/>
        <w:rPr>
          <w:rFonts w:hint="eastAsia" w:ascii="仿宋_GB2312" w:hAnsi="仿宋_GB2312" w:eastAsia="仿宋_GB2312" w:cs="仿宋_GB2312"/>
          <w:sz w:val="32"/>
          <w:szCs w:val="32"/>
          <w:highlight w:val="none"/>
          <w:lang w:val="en-US" w:eastAsia="zh-CN"/>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left"/>
        <w:textAlignment w:val="auto"/>
        <w:rPr>
          <w:rFonts w:hint="eastAsia" w:ascii="仿宋_GB2312" w:hAnsi="仿宋_GB2312" w:eastAsia="仿宋_GB2312" w:cs="仿宋_GB2312"/>
          <w:sz w:val="32"/>
          <w:szCs w:val="32"/>
          <w:highlight w:val="none"/>
          <w:lang w:val="en-US" w:eastAsia="zh-CN"/>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left"/>
        <w:textAlignment w:val="auto"/>
        <w:rPr>
          <w:rFonts w:hint="eastAsia" w:ascii="仿宋_GB2312" w:hAnsi="仿宋_GB2312" w:eastAsia="仿宋_GB2312" w:cs="仿宋_GB2312"/>
          <w:sz w:val="32"/>
          <w:szCs w:val="32"/>
          <w:highlight w:val="none"/>
          <w:lang w:val="en-US" w:eastAsia="zh-CN"/>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left"/>
        <w:textAlignment w:val="auto"/>
        <w:rPr>
          <w:rFonts w:hint="eastAsia" w:ascii="仿宋_GB2312" w:hAnsi="仿宋_GB2312" w:eastAsia="仿宋_GB2312" w:cs="仿宋_GB2312"/>
          <w:sz w:val="32"/>
          <w:szCs w:val="32"/>
          <w:highlight w:val="none"/>
          <w:lang w:val="en-US" w:eastAsia="zh-CN"/>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left"/>
        <w:textAlignment w:val="auto"/>
        <w:rPr>
          <w:rFonts w:hint="eastAsia" w:ascii="仿宋_GB2312" w:hAnsi="仿宋_GB2312" w:eastAsia="仿宋_GB2312" w:cs="仿宋_GB2312"/>
          <w:sz w:val="32"/>
          <w:szCs w:val="32"/>
          <w:highlight w:val="none"/>
          <w:lang w:val="en-US" w:eastAsia="zh-CN"/>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left"/>
        <w:textAlignment w:val="auto"/>
        <w:rPr>
          <w:rFonts w:hint="eastAsia" w:ascii="仿宋_GB2312" w:hAnsi="仿宋_GB2312" w:eastAsia="仿宋_GB2312" w:cs="仿宋_GB2312"/>
          <w:sz w:val="32"/>
          <w:szCs w:val="32"/>
          <w:highlight w:val="none"/>
          <w:lang w:val="en-US" w:eastAsia="zh-CN"/>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ind w:right="0" w:rightChars="0"/>
        <w:jc w:val="left"/>
        <w:textAlignment w:val="auto"/>
        <w:rPr>
          <w:rFonts w:hint="eastAsia" w:ascii="仿宋_GB2312" w:hAnsi="仿宋_GB2312" w:eastAsia="仿宋_GB2312" w:cs="仿宋_GB2312"/>
          <w:sz w:val="32"/>
          <w:szCs w:val="32"/>
          <w:highlight w:val="none"/>
          <w:lang w:val="en-US" w:eastAsia="zh-CN"/>
        </w:rPr>
      </w:pPr>
    </w:p>
    <w:p>
      <w:pPr>
        <w:rPr>
          <w:rFonts w:hint="eastAsia" w:ascii="仿宋_GB2312" w:hAnsi="仿宋_GB2312" w:eastAsia="仿宋_GB2312" w:cs="仿宋_GB2312"/>
          <w:sz w:val="32"/>
          <w:szCs w:val="32"/>
          <w:highlight w:val="none"/>
          <w:lang w:val="en-US" w:eastAsia="zh-CN"/>
        </w:rPr>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620"/>
        <w:gridCol w:w="955"/>
        <w:gridCol w:w="852"/>
        <w:gridCol w:w="917"/>
        <w:gridCol w:w="430"/>
        <w:gridCol w:w="917"/>
        <w:gridCol w:w="917"/>
        <w:gridCol w:w="430"/>
        <w:gridCol w:w="917"/>
        <w:gridCol w:w="917"/>
        <w:gridCol w:w="430"/>
        <w:gridCol w:w="917"/>
        <w:gridCol w:w="644"/>
        <w:gridCol w:w="644"/>
        <w:gridCol w:w="751"/>
        <w:gridCol w:w="430"/>
        <w:gridCol w:w="430"/>
        <w:gridCol w:w="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附件3</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1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丰润区2024年度财政支出绩效评价情况汇总表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gridSpan w:val="5"/>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部门名称（盖公章）：常庄镇人民政府</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gridSpan w:val="4"/>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单位主要负责人（签字）：</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评价类别（自评/部门重点评价）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预算安排资金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实际到位资金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实际支出资金（不含部门上年结转资金）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预算执行率（实际支出数/预算安排数）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存在问题及改进措施（简要说明）</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评价等次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是否公开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区级资金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区级资金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区级资金</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2024年村级转移支付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21.45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21.45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提出申请，待财政批复后，加快支出进度，确保资金专款专用及时有效拨付。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2023年未拨村级转移支付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10.73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10.73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提出申请，待财政批复后，加快支出进度，确保资金专款专用及时有效拨付。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农村综改项目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提出申请，待财政批复后，加快支出进度，确保资金专款专用及时有效拨付。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统计专项业务经费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提出申请，待财政批复后，加快支出进度，确保资金专款专用及时有效拨付。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社区人员工资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101.89</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2024年体制经费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20.93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20.93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20.93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20.93 </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补发职业年金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20.60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20.60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提出申请，待财政批复后，加快支出进度，确保资金专款专用及时有效拨付。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财政所经费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提出申请，待财政批复后，加快支出进度，确保资金专款专用及时有效拨付。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征兵工作经费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提出申请，待财政批复后，加快支出进度，确保资金专款专用及时有效拨付。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广电补发职业年金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17.61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17.61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提出申请，待财政批复后，加快支出进度，确保资金专款专用及时有效拨付。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2023年1-9月非税收入工作经费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提出申请，待财政批复后，加快支出进度，确保资金专款专用及时有效拨付。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四术并发症费用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2021年超收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66.26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66.26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提出申请，待财政批复后，加快支出进度，确保资金专款专用及时有效拨付。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2024年一社区工作经费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提出申请，待财政批复后，加快支出进度，确保资金专款专用及时有效拨付。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2024年二社区工作经费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提出申请，待财政批复后，加快支出进度，确保资金专款专用及时有效拨付。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2023年未拨一社区工作经费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提出申请，待财政批复后，加快支出进度，确保资金专款专用及时有效拨付。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2023年未拨二社区工作经费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提出申请，待财政批复后，加快支出进度，确保资金专款专用及时有效拨付。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门赵庄村文化广场亮化资金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提出申请，待财政批复后，加快支出进度，确保资金专款专用及时有效拨付。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2022年非税工作经费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提出申请，待财政批复后，加快支出进度，确保资金专款专用及时有效拨付。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建设路两侧垃圾清运和永久基本农田流向建设用地整改复耕所需经费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83.81 </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农村综改资金项目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29.00 </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常庄镇一事一议项目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提出申请，待财政批复后，加快支出进度，确保资金专款专用及时有效拨付。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常庄镇人民政府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住建局实施常庄道路老旧网管翻修工程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127.64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127.64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127.64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127.64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127.64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127.64 </w:t>
            </w: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审核人：</w:t>
            </w:r>
          </w:p>
        </w:tc>
        <w:tc>
          <w:tcPr>
            <w:tcW w:w="0" w:type="auto"/>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部门负责人：</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19"/>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评价总分设置为100分，得分与等级对应关系为：90分及以上为优、80（含）-89分为良、60（含）-79分为中、60分以下为差。</w:t>
            </w:r>
          </w:p>
        </w:tc>
      </w:tr>
    </w:tbl>
    <w:p>
      <w:pPr>
        <w:rPr>
          <w:rFonts w:hint="eastAsia" w:ascii="仿宋_GB2312" w:hAnsi="仿宋_GB2312" w:eastAsia="仿宋_GB2312" w:cs="仿宋_GB2312"/>
          <w:sz w:val="32"/>
          <w:szCs w:val="32"/>
          <w:highlight w:val="none"/>
          <w:lang w:val="en-US" w:eastAsia="zh-CN"/>
        </w:rPr>
        <w:sectPr>
          <w:pgSz w:w="16838" w:h="11906" w:orient="landscape"/>
          <w:pgMar w:top="1417" w:right="2098" w:bottom="1417" w:left="1871" w:header="851" w:footer="992" w:gutter="0"/>
          <w:pgBorders>
            <w:top w:val="none" w:sz="0" w:space="0"/>
            <w:left w:val="none" w:sz="0" w:space="0"/>
            <w:bottom w:val="none" w:sz="0" w:space="0"/>
            <w:right w:val="none" w:sz="0" w:space="0"/>
          </w:pgBorders>
          <w:cols w:space="0" w:num="1"/>
          <w:rtlGutter w:val="0"/>
          <w:docGrid w:type="lines" w:linePitch="329" w:charSpace="0"/>
        </w:sectPr>
      </w:pPr>
    </w:p>
    <w:p>
      <w:pPr>
        <w:rPr>
          <w:rFonts w:hint="eastAsia" w:ascii="仿宋_GB2312" w:hAnsi="仿宋_GB2312" w:eastAsia="仿宋_GB2312" w:cs="仿宋_GB2312"/>
          <w:sz w:val="32"/>
          <w:szCs w:val="32"/>
          <w:highlight w:val="none"/>
          <w:lang w:val="en-US" w:eastAsia="zh-CN"/>
        </w:rPr>
      </w:pP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（三）部门评价项目绩效评价结果（</w:t>
      </w:r>
      <w:r>
        <w:rPr>
          <w:rFonts w:hint="eastAsia" w:ascii="Times New Roman" w:eastAsia="仿宋_GB2312"/>
          <w:b/>
          <w:sz w:val="32"/>
          <w:szCs w:val="32"/>
          <w:lang w:eastAsia="zh-CN"/>
        </w:rPr>
        <w:t>如有</w:t>
      </w:r>
      <w:r>
        <w:rPr>
          <w:rFonts w:ascii="Times New Roman" w:eastAsia="仿宋_GB2312"/>
          <w:b/>
          <w:sz w:val="32"/>
          <w:szCs w:val="32"/>
        </w:rPr>
        <w:t>）</w:t>
      </w:r>
    </w:p>
    <w:p>
      <w:pPr>
        <w:widowControl/>
        <w:spacing w:before="0" w:beforeLines="0" w:beforeAutospacing="0" w:after="0" w:afterLines="0" w:afterAutospacing="0" w:line="360" w:lineRule="auto"/>
        <w:ind w:firstLine="640" w:firstLineChars="200"/>
        <w:jc w:val="left"/>
        <w:rPr>
          <w:rFonts w:hint="eastAsia" w:ascii="Times New Roman" w:eastAsia="仿宋_GB2312"/>
          <w:sz w:val="32"/>
          <w:szCs w:val="32"/>
          <w:lang w:eastAsia="zh-CN"/>
        </w:rPr>
      </w:pPr>
      <w:r>
        <w:rPr>
          <w:rFonts w:hint="eastAsia" w:ascii="Times New Roman" w:eastAsia="仿宋_GB2312"/>
          <w:sz w:val="32"/>
          <w:szCs w:val="32"/>
          <w:lang w:eastAsia="zh-CN"/>
        </w:rPr>
        <w:t>无</w:t>
      </w:r>
    </w:p>
    <w:p>
      <w:pPr>
        <w:widowControl/>
        <w:spacing w:before="0" w:beforeLines="0" w:beforeAutospacing="0" w:after="0" w:afterLines="0" w:afterAutospacing="0" w:line="360" w:lineRule="auto"/>
        <w:ind w:firstLine="640" w:firstLineChars="200"/>
        <w:jc w:val="left"/>
        <w:rPr>
          <w:rFonts w:ascii="Times New Roman" w:eastAsia="黑体"/>
          <w:sz w:val="32"/>
          <w:szCs w:val="32"/>
        </w:rPr>
      </w:pPr>
      <w:r>
        <w:rPr>
          <w:rFonts w:ascii="Times New Roman" w:eastAsia="黑体"/>
          <w:b w:val="0"/>
          <w:sz w:val="32"/>
          <w:szCs w:val="32"/>
        </w:rPr>
        <w:t>十、其他需要说明的情况</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1.本</w:t>
      </w:r>
      <w:r>
        <w:rPr>
          <w:rFonts w:hint="eastAsia" w:ascii="Times New Roman" w:eastAsia="仿宋_GB2312"/>
          <w:b w:val="0"/>
          <w:sz w:val="32"/>
          <w:szCs w:val="32"/>
          <w:lang w:eastAsia="zh-CN"/>
        </w:rPr>
        <w:t>部门</w:t>
      </w:r>
      <w:bookmarkStart w:id="0" w:name="_GoBack"/>
      <w:bookmarkEnd w:id="0"/>
      <w:r>
        <w:rPr>
          <w:rFonts w:ascii="Times New Roman" w:eastAsia="仿宋_GB2312"/>
          <w:b w:val="0"/>
          <w:sz w:val="32"/>
          <w:szCs w:val="32"/>
        </w:rPr>
        <w:t>2024年度国有资本经营预算财政拨款支出决算表（公开08表）无相应收支，故空表列示。</w:t>
      </w:r>
    </w:p>
    <w:p>
      <w:pPr>
        <w:widowControl/>
        <w:spacing w:before="0" w:beforeLines="0" w:beforeAutospacing="0" w:after="0" w:afterLines="0" w:afterAutospacing="0" w:line="360" w:lineRule="auto"/>
        <w:ind w:firstLine="640" w:firstLineChars="200"/>
        <w:jc w:val="left"/>
        <w:rPr>
          <w:rFonts w:ascii="Times New Roman" w:eastAsia="仿宋_GB2312"/>
          <w:sz w:val="32"/>
          <w:szCs w:val="32"/>
        </w:rPr>
      </w:pPr>
      <w:r>
        <w:rPr>
          <w:rFonts w:ascii="Times New Roman" w:eastAsia="仿宋_GB2312"/>
          <w:b w:val="0"/>
          <w:sz w:val="32"/>
          <w:szCs w:val="32"/>
        </w:rPr>
        <w:t>2.由于决算公开表格中金额数值应当保留两位小数，公开数据为四舍五入计算结果，个别数据合计项与分项之和存在小数点后差额，特此说明。</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widowControl/>
        <w:spacing w:before="0" w:beforeLines="0" w:beforeAutospacing="0" w:after="0" w:afterLines="0" w:afterAutospacing="0" w:line="360" w:lineRule="auto"/>
        <w:jc w:val="center"/>
        <w:outlineLvl w:val="0"/>
        <w:rPr>
          <w:rFonts w:ascii="Times New Roman" w:eastAsia="黑体"/>
          <w:sz w:val="44"/>
          <w:szCs w:val="44"/>
        </w:rPr>
      </w:pPr>
      <w:r>
        <w:rPr>
          <w:rFonts w:ascii="Times New Roman" w:eastAsia="黑体"/>
          <w:b w:val="0"/>
          <w:sz w:val="44"/>
          <w:szCs w:val="44"/>
        </w:rPr>
        <w:t>第四部分名词解释</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b w:val="0"/>
          <w:sz w:val="32"/>
          <w:szCs w:val="32"/>
        </w:rPr>
        <w:t>指单位从同级财政部门取得的财政预算资金。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b w:val="0"/>
          <w:sz w:val="32"/>
          <w:szCs w:val="32"/>
        </w:rPr>
        <w:t>指事业单位开展专业业务活动及辅助活动取得的收入。</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b w:val="0"/>
          <w:sz w:val="32"/>
          <w:szCs w:val="32"/>
        </w:rPr>
        <w:t>指事业单位在专业业务活动及其辅助活动之外开展非独立核算经营活动取得的收入。</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b w:val="0"/>
          <w:sz w:val="32"/>
          <w:szCs w:val="32"/>
        </w:rPr>
        <w:t>指单位取得的除上述收入以外的各项收入。主要是事业单位固定资产出租收入、存款利息收入等。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b w:val="0"/>
          <w:sz w:val="32"/>
          <w:szCs w:val="32"/>
        </w:rPr>
        <w:t>指事业单位按照预算管理要求使用非财政拨款结余弥补收支差额的金额，以及使用专用结余安排支出的金额。</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b w:val="0"/>
          <w:sz w:val="32"/>
          <w:szCs w:val="32"/>
        </w:rPr>
        <w:t>指单位以前年度尚未完成、结转到本年仍按原规定用途继续使用的资金，或项目已完成等产生的结余资金。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b w:val="0"/>
          <w:sz w:val="32"/>
          <w:szCs w:val="32"/>
        </w:rPr>
        <w:t>指事业单位按照会计制度规定缴纳的所得税、提取的专用结余以及转入非财政拨款结余的金额等。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b w:val="0"/>
          <w:sz w:val="32"/>
          <w:szCs w:val="32"/>
        </w:rPr>
        <w:t>指单位按有关规定结转到下年或以后年度继续使用的资金，或项目已完成等产生的结余资金。</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九、基本支出：</w:t>
      </w:r>
      <w:r>
        <w:rPr>
          <w:rFonts w:ascii="Times New Roman" w:eastAsia="仿宋_GB2312"/>
          <w:b w:val="0"/>
          <w:sz w:val="32"/>
          <w:szCs w:val="32"/>
        </w:rPr>
        <w:t>指为保障机构正常运转、完成日常工作任务而发生的人员支出和公用支出。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b w:val="0"/>
          <w:sz w:val="32"/>
          <w:szCs w:val="32"/>
        </w:rPr>
        <w:t>指在基本支出之外为完成特定行政任务和事业发展目标所发生的支出。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十一、经营支出：</w:t>
      </w:r>
      <w:r>
        <w:rPr>
          <w:rFonts w:ascii="Times New Roman" w:eastAsia="仿宋_GB2312"/>
          <w:b w:val="0"/>
          <w:sz w:val="32"/>
          <w:szCs w:val="32"/>
        </w:rPr>
        <w:t>指事业单位在专业业务活动及其辅助活动之外开展非独立核算经营活动发生的支出。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b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b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十四、“三公”经费：</w:t>
      </w:r>
      <w:r>
        <w:rPr>
          <w:rFonts w:ascii="Times New Roman" w:eastAsia="仿宋_GB2312"/>
          <w:b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b w:val="0"/>
          <w:sz w:val="32"/>
          <w:szCs w:val="32"/>
        </w:rPr>
        <w:t>填列单位除公务用车运行维护费以外的其他交通费用。如公务交通补贴、租车费用、出租车费用，飞机、船舶等燃料费、维修费、保险费等。</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b w:val="0"/>
          <w:sz w:val="32"/>
          <w:szCs w:val="32"/>
        </w:rPr>
        <w:t>填列单位公务用车车辆购置支出（含车辆购置税、牌照费）。</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b w:val="0"/>
          <w:sz w:val="32"/>
          <w:szCs w:val="32"/>
        </w:rPr>
        <w:t>填列单位除公务用车外的其他各类交通工具（如船舶、飞机等）购置支出（含车辆购置税、牌照费）。</w:t>
      </w:r>
    </w:p>
    <w:p>
      <w:pPr>
        <w:widowControl/>
        <w:spacing w:before="0" w:beforeLines="0" w:beforeAutospacing="0" w:after="0" w:afterLines="0" w:afterAutospacing="0" w:line="360" w:lineRule="auto"/>
        <w:ind w:firstLine="643" w:firstLineChars="200"/>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b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CAD49A8-FFB4-4951-AF2A-25E553211AF2}"/>
  </w:font>
  <w:font w:name="Arial">
    <w:panose1 w:val="020B0604020202020204"/>
    <w:charset w:val="01"/>
    <w:family w:val="swiss"/>
    <w:pitch w:val="default"/>
    <w:sig w:usb0="E0002AFF" w:usb1="C0007843" w:usb2="00000009" w:usb3="00000000" w:csb0="400001FF" w:csb1="FFFF0000"/>
    <w:embedRegular r:id="rId2" w:fontKey="{6E98A2C7-A2CD-4231-AB02-2D213A731DC5}"/>
  </w:font>
  <w:font w:name="黑体">
    <w:panose1 w:val="02010609060101010101"/>
    <w:charset w:val="86"/>
    <w:family w:val="auto"/>
    <w:pitch w:val="default"/>
    <w:sig w:usb0="800002BF" w:usb1="38CF7CFA" w:usb2="00000016" w:usb3="00000000" w:csb0="00040001" w:csb1="00000000"/>
    <w:embedRegular r:id="rId3" w:fontKey="{51DCE739-4D7A-4FA0-B223-0998B427801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4" w:fontKey="{B0DD05ED-CA35-4E83-9FD6-D0F9EDD10EF9}"/>
  </w:font>
  <w:font w:name="仿宋">
    <w:panose1 w:val="02010609060101010101"/>
    <w:charset w:val="86"/>
    <w:family w:val="modern"/>
    <w:pitch w:val="default"/>
    <w:sig w:usb0="800002BF" w:usb1="38CF7CFA" w:usb2="00000016" w:usb3="00000000" w:csb0="00040001" w:csb1="00000000"/>
    <w:embedRegular r:id="rId5" w:fontKey="{4088D319-5242-4F14-BBD6-CEE25458AD62}"/>
  </w:font>
  <w:font w:name="Calibri Light">
    <w:altName w:val="Calibri"/>
    <w:panose1 w:val="020F0302020204030204"/>
    <w:charset w:val="00"/>
    <w:family w:val="auto"/>
    <w:pitch w:val="default"/>
    <w:sig w:usb0="00000000" w:usb1="00000000"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embedRegular r:id="rId6" w:fontKey="{2370FE26-7938-4EB3-B1DF-1D69747FFB59}"/>
  </w:font>
  <w:font w:name="方正小标宋_GBK">
    <w:panose1 w:val="02000000000000000000"/>
    <w:charset w:val="86"/>
    <w:family w:val="script"/>
    <w:pitch w:val="default"/>
    <w:sig w:usb0="A00002BF" w:usb1="38CF7CFA" w:usb2="00082016" w:usb3="00000000" w:csb0="00040001" w:csb1="00000000"/>
    <w:embedRegular r:id="rId7" w:fontKey="{0EF41D3E-6972-4391-B5E9-393D701A01AB}"/>
  </w:font>
  <w:font w:name="仿宋_GB2312">
    <w:panose1 w:val="02010609030101010101"/>
    <w:charset w:val="86"/>
    <w:family w:val="auto"/>
    <w:pitch w:val="default"/>
    <w:sig w:usb0="00000001" w:usb1="080E0000" w:usb2="00000000" w:usb3="00000000" w:csb0="00040000" w:csb1="00000000"/>
    <w:embedRegular r:id="rId8" w:fontKey="{2327257A-0ED2-48C9-BFAA-7CE2F1A663A0}"/>
  </w:font>
  <w:font w:name="ArialUnicodeMS">
    <w:altName w:val="Malgun Gothic"/>
    <w:panose1 w:val="00000000000000000000"/>
    <w:charset w:val="81"/>
    <w:family w:val="auto"/>
    <w:pitch w:val="default"/>
    <w:sig w:usb0="00000000" w:usb1="00000000" w:usb2="00000010" w:usb3="00000000" w:csb0="00080001" w:csb1="00000000"/>
    <w:embedRegular r:id="rId9" w:fontKey="{0BA160A5-7BBD-42DF-9752-42BCC55DE08E}"/>
  </w:font>
  <w:font w:name="Malgun Gothic">
    <w:panose1 w:val="020B0503020000020004"/>
    <w:charset w:val="81"/>
    <w:family w:val="auto"/>
    <w:pitch w:val="default"/>
    <w:sig w:usb0="900002AF" w:usb1="01D77CFB" w:usb2="00000012" w:usb3="00000000" w:csb0="00080001" w:csb1="00000000"/>
  </w:font>
  <w:font w:name="Arial Black">
    <w:panose1 w:val="020B0A04020102020204"/>
    <w:charset w:val="00"/>
    <w:family w:val="swiss"/>
    <w:pitch w:val="default"/>
    <w:sig w:usb0="00000287" w:usb1="00000000" w:usb2="00000000" w:usb3="00000000" w:csb0="2000009F" w:csb1="DFD70000"/>
    <w:embedRegular r:id="rId10" w:fontKey="{60615F87-EDF8-43C1-AEA6-4BF09A5F9FDD}"/>
  </w:font>
  <w:font w:name="方正仿宋_GB2312">
    <w:altName w:val="仿宋"/>
    <w:panose1 w:val="02000000000000000000"/>
    <w:charset w:val="86"/>
    <w:family w:val="auto"/>
    <w:pitch w:val="default"/>
    <w:sig w:usb0="00000000" w:usb1="00000000" w:usb2="00000012" w:usb3="00000000" w:csb0="00040001" w:csb1="00000000"/>
    <w:embedRegular r:id="rId11" w:fontKey="{4E2E06D1-A52C-481A-B3B2-7394BEE7DE11}"/>
  </w:font>
  <w:font w:name="方正仿宋简体">
    <w:panose1 w:val="03000509000000000000"/>
    <w:charset w:val="86"/>
    <w:family w:val="auto"/>
    <w:pitch w:val="default"/>
    <w:sig w:usb0="00000001" w:usb1="080E0000" w:usb2="00000000" w:usb3="00000000" w:csb0="00040000" w:csb1="00000000"/>
    <w:embedRegular r:id="rId12" w:fontKey="{219747FD-503B-45DB-AF58-B791F92C17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A8FA3"/>
    <w:multiLevelType w:val="singleLevel"/>
    <w:tmpl w:val="D3EA8FA3"/>
    <w:lvl w:ilvl="0" w:tentative="0">
      <w:start w:val="2"/>
      <w:numFmt w:val="decimal"/>
      <w:suff w:val="nothing"/>
      <w:lvlText w:val="（%1）"/>
      <w:lvlJc w:val="left"/>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zMsImhkaWQiOiIwYzE4MDk4Y2JlMzMyZWRiNTI2OWYwNDQ5NjcyYmI1MyIsInVzZXJDb3VudCI6NH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105EC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2D042C"/>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370643"/>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416AE"/>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262A45"/>
    <w:rsid w:val="6F3B5912"/>
    <w:rsid w:val="6FA14A81"/>
    <w:rsid w:val="6FA3261F"/>
    <w:rsid w:val="6FB44BAA"/>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9469CE"/>
    <w:rsid w:val="77C875A5"/>
    <w:rsid w:val="78A27DF6"/>
    <w:rsid w:val="79285B3A"/>
    <w:rsid w:val="79490B03"/>
    <w:rsid w:val="79625CA9"/>
    <w:rsid w:val="79A91196"/>
    <w:rsid w:val="7A0B32D3"/>
    <w:rsid w:val="7AC13CD3"/>
    <w:rsid w:val="7AE10264"/>
    <w:rsid w:val="7AE4248E"/>
    <w:rsid w:val="7B4A207F"/>
    <w:rsid w:val="7B936F45"/>
    <w:rsid w:val="7BA47419"/>
    <w:rsid w:val="7BB10D45"/>
    <w:rsid w:val="7BB44151"/>
    <w:rsid w:val="7C656A39"/>
    <w:rsid w:val="7CB93996"/>
    <w:rsid w:val="7CBE0F99"/>
    <w:rsid w:val="7D4E45F1"/>
    <w:rsid w:val="7DFB6D82"/>
    <w:rsid w:val="7E1D71D1"/>
    <w:rsid w:val="7E246254"/>
    <w:rsid w:val="7E553215"/>
    <w:rsid w:val="7E6D090F"/>
    <w:rsid w:val="7ECC66B2"/>
    <w:rsid w:val="7F2914C3"/>
    <w:rsid w:val="7F5F2ED6"/>
    <w:rsid w:val="7FA837EF"/>
    <w:rsid w:val="7FC36955"/>
    <w:rsid w:val="7FE903A0"/>
    <w:rsid w:val="7FF07065"/>
    <w:rsid w:val="7FF97946"/>
    <w:rsid w:val="7FFE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2711.28</c:v>
                </c:pt>
                <c:pt idx="1">
                  <c:v>1487.11</c:v>
                </c:pt>
              </c:numCache>
            </c:numRef>
          </c:val>
        </c:ser>
        <c:dLbls>
          <c:showLegendKey val="0"/>
          <c:showVal val="1"/>
          <c:showCatName val="0"/>
          <c:showSerName val="0"/>
          <c:showPercent val="0"/>
          <c:showBubbleSize val="0"/>
        </c:dLbls>
        <c:gapWidth val="246"/>
        <c:overlap val="-28"/>
        <c:axId val="817088452"/>
        <c:axId val="587069473"/>
      </c:barChart>
      <c:catAx>
        <c:axId val="8170884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069473"/>
        <c:crosses val="autoZero"/>
        <c:auto val="1"/>
        <c:lblAlgn val="ctr"/>
        <c:lblOffset val="100"/>
        <c:noMultiLvlLbl val="0"/>
      </c:catAx>
      <c:valAx>
        <c:axId val="58706947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0884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0125539403024"/>
                  <c:y val="0.72690713982147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8045516407558"/>
                  <c:y val="0.63914683382912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405411836540074"/>
                  <c:y val="0.171855078623054"/>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37059073523162"/>
                    </c:manualLayout>
                  </c15:layout>
                </c:ext>
              </c:extLst>
            </c:dLbl>
            <c:dLbl>
              <c:idx val="3"/>
              <c:layout>
                <c:manualLayout>
                  <c:x val="-0.286905148238858"/>
                  <c:y val="0.27025074373138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709732256694"/>
                    </c:manualLayout>
                  </c15:layout>
                </c:ext>
              </c:extLst>
            </c:dLbl>
            <c:dLbl>
              <c:idx val="4"/>
              <c:layout>
                <c:manualLayout>
                  <c:x val="-0.298985360795255"/>
                  <c:y val="0.4491606459838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
                    </c:manualLayout>
                  </c15:layout>
                </c:ext>
              </c:extLst>
            </c:dLbl>
            <c:dLbl>
              <c:idx val="5"/>
              <c:layout>
                <c:manualLayout>
                  <c:x val="-0.288475575878384"/>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4"/>
                      <c:h val="0.110922226944326"/>
                    </c:manualLayout>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1"/>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14871055.29</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endParaRPr lang="zh-CN" altLang="en-US" b="1"/>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346218893452525"/>
                  <c:y val="0.71546961325966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57095916888137"/>
                  <c:y val="0.097938376540627"/>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92703551582508"/>
                  <c:y val="0.26689332766680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15235684561946"/>
                  <c:y val="0.46831661708461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73558967655045"/>
                  <c:y val="0.7182103697407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10745797.4</c:v>
                </c:pt>
                <c:pt idx="1">
                  <c:v>4125257.89</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2711.28</c:v>
                </c:pt>
                <c:pt idx="1">
                  <c:v>2711.28</c:v>
                </c:pt>
                <c:pt idx="2">
                  <c:v>1455.19</c:v>
                </c:pt>
                <c:pt idx="3">
                  <c:v>1455.19</c:v>
                </c:pt>
                <c:pt idx="4">
                  <c:v>1224.7</c:v>
                </c:pt>
                <c:pt idx="5">
                  <c:v>1224.7</c:v>
                </c:pt>
                <c:pt idx="6">
                  <c:v>31.39</c:v>
                </c:pt>
                <c:pt idx="7">
                  <c:v>31.39</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1487.11</c:v>
                </c:pt>
                <c:pt idx="1">
                  <c:v>1487.11</c:v>
                </c:pt>
                <c:pt idx="2">
                  <c:v>1359.47</c:v>
                </c:pt>
                <c:pt idx="3">
                  <c:v>1359.47</c:v>
                </c:pt>
                <c:pt idx="4">
                  <c:v>127.64</c:v>
                </c:pt>
                <c:pt idx="5">
                  <c:v>127.64</c:v>
                </c:pt>
                <c:pt idx="6">
                  <c:v>0</c:v>
                </c:pt>
                <c:pt idx="7">
                  <c:v>0</c:v>
                </c:pt>
              </c:numCache>
            </c:numRef>
          </c:val>
        </c:ser>
        <c:dLbls>
          <c:showLegendKey val="0"/>
          <c:showVal val="1"/>
          <c:showCatName val="0"/>
          <c:showSerName val="0"/>
          <c:showPercent val="0"/>
          <c:showBubbleSize val="0"/>
        </c:dLbls>
        <c:gapWidth val="246"/>
        <c:overlap val="-28"/>
        <c:axId val="40225855"/>
        <c:axId val="660958640"/>
      </c:barChart>
      <c:catAx>
        <c:axId val="402258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0958640"/>
        <c:crosses val="autoZero"/>
        <c:auto val="1"/>
        <c:lblAlgn val="ctr"/>
        <c:lblOffset val="100"/>
        <c:noMultiLvlLbl val="0"/>
      </c:catAx>
      <c:valAx>
        <c:axId val="660958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258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endParaRPr lang="zh-CN" altLang="en-US"/>
          </a:p>
        </c:rich>
      </c:tx>
      <c:layout/>
      <c:overlay val="0"/>
      <c:spPr>
        <a:noFill/>
        <a:ln>
          <a:noFill/>
        </a:ln>
        <a:effectLst/>
      </c:spPr>
    </c:title>
    <c:autoTitleDeleted val="0"/>
    <c:plotArea>
      <c:layout>
        <c:manualLayout>
          <c:layoutTarget val="inner"/>
          <c:xMode val="edge"/>
          <c:yMode val="edge"/>
          <c:x val="0.17641942498188"/>
          <c:y val="0.160433489162771"/>
          <c:w val="0.795796086011114"/>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1768.9</c:v>
                </c:pt>
                <c:pt idx="1">
                  <c:v>1768.9</c:v>
                </c:pt>
                <c:pt idx="2">
                  <c:v>1768.9</c:v>
                </c:pt>
                <c:pt idx="3">
                  <c:v>1768.9</c:v>
                </c:pt>
                <c:pt idx="4">
                  <c:v>0</c:v>
                </c:pt>
                <c:pt idx="5">
                  <c:v>0</c:v>
                </c:pt>
                <c:pt idx="6">
                  <c:v>0</c:v>
                </c:pt>
                <c:pt idx="7">
                  <c:v>0</c:v>
                </c:pt>
              </c:numCache>
            </c:numRef>
          </c:val>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1487.11</c:v>
                </c:pt>
                <c:pt idx="1">
                  <c:v>1487.11</c:v>
                </c:pt>
                <c:pt idx="2">
                  <c:v>1359.47</c:v>
                </c:pt>
                <c:pt idx="3">
                  <c:v>1359.47</c:v>
                </c:pt>
                <c:pt idx="4">
                  <c:v>127.64</c:v>
                </c:pt>
                <c:pt idx="5">
                  <c:v>127.64</c:v>
                </c:pt>
                <c:pt idx="6">
                  <c:v>0</c:v>
                </c:pt>
                <c:pt idx="7">
                  <c:v>0</c:v>
                </c:pt>
              </c:numCache>
            </c:numRef>
          </c:val>
        </c:ser>
        <c:dLbls>
          <c:showLegendKey val="0"/>
          <c:showVal val="1"/>
          <c:showCatName val="0"/>
          <c:showSerName val="0"/>
          <c:showPercent val="0"/>
          <c:showBubbleSize val="0"/>
        </c:dLbls>
        <c:gapWidth val="150"/>
        <c:axId val="136214206"/>
        <c:axId val="897256872"/>
      </c:barChart>
      <c:catAx>
        <c:axId val="1362142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7256872"/>
        <c:crosses val="autoZero"/>
        <c:auto val="1"/>
        <c:lblAlgn val="ctr"/>
        <c:lblOffset val="100"/>
        <c:noMultiLvlLbl val="0"/>
      </c:catAx>
      <c:valAx>
        <c:axId val="8972568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21420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Pt>
            <c:idx val="16"/>
            <c:bubble3D val="0"/>
            <c:spPr>
              <a:solidFill>
                <a:schemeClr val="accent5">
                  <a:lumMod val="80000"/>
                  <a:lumOff val="20000"/>
                </a:schemeClr>
              </a:solidFill>
              <a:ln>
                <a:solidFill>
                  <a:schemeClr val="bg1"/>
                </a:solidFill>
              </a:ln>
              <a:effectLst/>
            </c:spPr>
          </c:dPt>
          <c:dPt>
            <c:idx val="17"/>
            <c:bubble3D val="0"/>
            <c:spPr>
              <a:solidFill>
                <a:schemeClr val="accent6">
                  <a:lumMod val="80000"/>
                  <a:lumOff val="20000"/>
                </a:schemeClr>
              </a:solidFill>
              <a:ln>
                <a:solidFill>
                  <a:schemeClr val="bg1"/>
                </a:solidFill>
              </a:ln>
              <a:effectLst/>
            </c:spPr>
          </c:dPt>
          <c:dPt>
            <c:idx val="18"/>
            <c:bubble3D val="0"/>
            <c:spPr>
              <a:solidFill>
                <a:schemeClr val="accent1">
                  <a:lumMod val="80000"/>
                </a:schemeClr>
              </a:solidFill>
              <a:ln>
                <a:solidFill>
                  <a:schemeClr val="bg1"/>
                </a:solidFill>
              </a:ln>
              <a:effectLst/>
            </c:spPr>
          </c:dPt>
          <c:dPt>
            <c:idx val="19"/>
            <c:bubble3D val="0"/>
            <c:spPr>
              <a:solidFill>
                <a:schemeClr val="accent2">
                  <a:lumMod val="80000"/>
                </a:schemeClr>
              </a:solidFill>
              <a:ln>
                <a:solidFill>
                  <a:schemeClr val="bg1"/>
                </a:solidFill>
              </a:ln>
              <a:effectLst/>
            </c:spPr>
          </c:dPt>
          <c:dPt>
            <c:idx val="20"/>
            <c:bubble3D val="0"/>
            <c:spPr>
              <a:solidFill>
                <a:schemeClr val="accent3">
                  <a:lumMod val="80000"/>
                </a:schemeClr>
              </a:solidFill>
              <a:ln>
                <a:solidFill>
                  <a:schemeClr val="bg1"/>
                </a:solidFill>
              </a:ln>
              <a:effectLst/>
            </c:spPr>
          </c:dPt>
          <c:dPt>
            <c:idx val="21"/>
            <c:bubble3D val="0"/>
            <c:spPr>
              <a:solidFill>
                <a:schemeClr val="accent4">
                  <a:lumMod val="80000"/>
                </a:schemeClr>
              </a:solidFill>
              <a:ln>
                <a:solidFill>
                  <a:schemeClr val="bg1"/>
                </a:solidFill>
              </a:ln>
              <a:effectLst/>
            </c:spPr>
          </c:dPt>
          <c:dPt>
            <c:idx val="22"/>
            <c:bubble3D val="0"/>
            <c:spPr>
              <a:solidFill>
                <a:schemeClr val="accent5">
                  <a:lumMod val="80000"/>
                </a:schemeClr>
              </a:solidFill>
              <a:ln>
                <a:solidFill>
                  <a:schemeClr val="bg1"/>
                </a:solidFill>
              </a:ln>
              <a:effectLst/>
            </c:spPr>
          </c:dPt>
          <c:dPt>
            <c:idx val="23"/>
            <c:bubble3D val="0"/>
            <c:spPr>
              <a:solidFill>
                <a:schemeClr val="accent6">
                  <a:lumMod val="80000"/>
                </a:schemeClr>
              </a:solidFill>
              <a:ln>
                <a:solidFill>
                  <a:schemeClr val="bg1"/>
                </a:solidFill>
              </a:ln>
              <a:effectLst/>
            </c:spPr>
          </c:dPt>
          <c:dPt>
            <c:idx val="24"/>
            <c:bubble3D val="0"/>
            <c:spPr>
              <a:solidFill>
                <a:schemeClr val="accent1">
                  <a:lumMod val="60000"/>
                  <a:lumOff val="40000"/>
                </a:schemeClr>
              </a:solidFill>
              <a:ln>
                <a:solidFill>
                  <a:schemeClr val="bg1"/>
                </a:solidFill>
              </a:ln>
              <a:effectLst/>
            </c:spPr>
          </c:dPt>
          <c:dPt>
            <c:idx val="25"/>
            <c:bubble3D val="0"/>
            <c:spPr>
              <a:solidFill>
                <a:schemeClr val="accent2">
                  <a:lumMod val="60000"/>
                  <a:lumOff val="40000"/>
                </a:schemeClr>
              </a:solidFill>
              <a:ln>
                <a:solidFill>
                  <a:schemeClr val="bg1"/>
                </a:solidFill>
              </a:ln>
              <a:effectLst/>
            </c:spPr>
          </c:dPt>
          <c:dLbls>
            <c:delete val="1"/>
          </c:dLbls>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1039.88</c:v>
                </c:pt>
                <c:pt idx="1">
                  <c:v>0</c:v>
                </c:pt>
                <c:pt idx="2">
                  <c:v>0</c:v>
                </c:pt>
                <c:pt idx="3">
                  <c:v>0</c:v>
                </c:pt>
                <c:pt idx="4">
                  <c:v>0</c:v>
                </c:pt>
                <c:pt idx="5">
                  <c:v>0</c:v>
                </c:pt>
                <c:pt idx="6">
                  <c:v>0</c:v>
                </c:pt>
                <c:pt idx="7">
                  <c:v>86.47</c:v>
                </c:pt>
                <c:pt idx="8">
                  <c:v>91.54</c:v>
                </c:pt>
                <c:pt idx="9">
                  <c:v>0</c:v>
                </c:pt>
                <c:pt idx="10">
                  <c:v>127.64</c:v>
                </c:pt>
                <c:pt idx="11">
                  <c:v>74</c:v>
                </c:pt>
                <c:pt idx="12">
                  <c:v>0</c:v>
                </c:pt>
                <c:pt idx="13">
                  <c:v>0</c:v>
                </c:pt>
                <c:pt idx="14">
                  <c:v>0</c:v>
                </c:pt>
                <c:pt idx="15">
                  <c:v>0</c:v>
                </c:pt>
                <c:pt idx="16">
                  <c:v>0</c:v>
                </c:pt>
                <c:pt idx="17">
                  <c:v>0</c:v>
                </c:pt>
                <c:pt idx="18">
                  <c:v>67.58</c:v>
                </c:pt>
                <c:pt idx="19">
                  <c:v>0</c:v>
                </c:pt>
                <c:pt idx="20">
                  <c:v>0</c:v>
                </c:pt>
                <c:pt idx="21">
                  <c:v>0</c:v>
                </c:pt>
                <c:pt idx="22">
                  <c:v>0</c:v>
                </c:pt>
                <c:pt idx="23">
                  <c:v>0</c:v>
                </c:pt>
                <c:pt idx="24">
                  <c:v>0</c:v>
                </c:pt>
                <c:pt idx="25">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tags>
    <s:tag s:spid="_x0000_s1026">
      <s:item s:name="KSO_DOCER_RESOURCE_TRACE_INFO" s:val="{&quot;id&quot;:&quot;&quot;,&quot;origin&quot;:0,&quot;type&quot;:&quot;wordart&quot;,&quot;user&quot;:&quot;2922162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63</Pages>
  <Words>16213</Words>
  <Characters>19876</Characters>
  <Lines>86</Lines>
  <Paragraphs>24</Paragraphs>
  <TotalTime>0</TotalTime>
  <ScaleCrop>false</ScaleCrop>
  <LinksUpToDate>false</LinksUpToDate>
  <CharactersWithSpaces>20442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Administrator</cp:lastModifiedBy>
  <cp:lastPrinted>2023-08-04T01:00:00Z</cp:lastPrinted>
  <dcterms:modified xsi:type="dcterms:W3CDTF">2025-09-10T08:47:53Z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9C07807D4ADD4B0FBD6181405C40FF79</vt:lpwstr>
  </property>
  <property fmtid="{D5CDD505-2E9C-101B-9397-08002B2CF9AE}" pid="4" name="KSOTemplateUUID">
    <vt:lpwstr>v1.0_mb_S7ajbG3IpAnL1wSthNCxfw==</vt:lpwstr>
  </property>
  <property fmtid="{D5CDD505-2E9C-101B-9397-08002B2CF9AE}" pid="5" name="KSOTemplateDocerSaveRecord">
    <vt:lpwstr>eyJoZGlkIjoiYjA3YzVjY2RhYzM1OWI4MmYzZjdlYWUzZWM2YTQyNTYiLCJ1c2VySWQiOiIxNTIwMzY1OTkzIn0=</vt:lpwstr>
  </property>
</Properties>
</file>