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800" w:firstLineChars="200"/>
        <w:jc w:val="center"/>
        <w:rPr>
          <w:rStyle w:val="15"/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800"/>
        <w:jc w:val="both"/>
        <w:textAlignment w:val="baseline"/>
        <w:rPr>
          <w:rStyle w:val="15"/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/>
        </w:rPr>
      </w:pPr>
      <w:r>
        <w:rPr>
          <w:rStyle w:val="15"/>
          <w:rFonts w:ascii="方正小标宋简体" w:hAnsi="方正小标宋简体" w:eastAsia="方正小标宋简体" w:cs="方正小标宋简体"/>
          <w:b w:val="0"/>
          <w:bCs/>
          <w:sz w:val="40"/>
          <w:szCs w:val="40"/>
        </w:rPr>
        <w:t>丰润区</w:t>
      </w:r>
      <w:r>
        <w:rPr>
          <w:rStyle w:val="15"/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/>
        </w:rPr>
        <w:t>教育局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300"/>
        <w:jc w:val="both"/>
        <w:textAlignment w:val="baseline"/>
        <w:rPr>
          <w:rStyle w:val="15"/>
          <w:rFonts w:ascii="黑体" w:hAnsi="黑体" w:eastAsia="黑体"/>
          <w:b w:val="0"/>
          <w:bCs/>
          <w:sz w:val="40"/>
          <w:szCs w:val="40"/>
        </w:rPr>
      </w:pPr>
      <w:r>
        <w:rPr>
          <w:rStyle w:val="15"/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/>
        </w:rPr>
        <w:t>关于2024年度法治政府建设情况</w:t>
      </w:r>
      <w:r>
        <w:rPr>
          <w:rStyle w:val="15"/>
          <w:rFonts w:ascii="方正小标宋简体" w:hAnsi="方正小标宋简体" w:eastAsia="方正小标宋简体" w:cs="方正小标宋简体"/>
          <w:b w:val="0"/>
          <w:bCs/>
          <w:sz w:val="40"/>
          <w:szCs w:val="40"/>
        </w:rPr>
        <w:t>报告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2024年度，区教育局充分依据部门职责和行业特点，努力打造法治机关、法治校园，积极为我区法治政府建设贡献教育力量。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一、年度工作开展情况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一是牢固夯实法治政府建设组织机制保障。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结合国家和省、市、区法治政府建设工作要求，充分发挥由局主要负责同志任组长、主管负责同志为副组长，安法股、教育股、信访办、后勤股等股室负责人为成员的工作领导小组作用，依据各自工作职能，确保法治建设重点工作任务稳步推进。在年内下发的《教育工作要点》和《教育工作意见》中，将教育系统法治建设工作的切入点——安全和信访稳定工作作为重点内容，纳入工作计划和办学质量评价之中。  </w:t>
      </w:r>
    </w:p>
    <w:p>
      <w:pPr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 w:bidi="ar-SA"/>
        </w:rPr>
      </w:pPr>
      <w:bookmarkStart w:id="0" w:name="_GoBack"/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二是筑牢法治政府建设的校园安全根基。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sz w:val="32"/>
          <w:szCs w:val="32"/>
        </w:rPr>
        <w:t>持续推进双控机制</w:t>
      </w:r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sz w:val="32"/>
          <w:szCs w:val="32"/>
        </w:rPr>
        <w:t>建设工作。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bidi="ar-SA"/>
        </w:rPr>
        <w:t>全区学校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 w:bidi="ar-SA"/>
        </w:rPr>
        <w:t>进一步完善本单位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bidi="ar-SA"/>
        </w:rPr>
        <w:t>安全“双控”机制建设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 w:bidi="ar-SA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bidi="ar-SA"/>
        </w:rPr>
        <w:t>全区中小学幼儿园共划分12948个网格，平均每校网格34个，网格员人数 6621人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 w:bidi="ar-SA"/>
        </w:rPr>
        <w:t>。</w:t>
      </w:r>
      <w:r>
        <w:rPr>
          <w:rStyle w:val="20"/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积极开展安全隐患排查整治工作。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bidi="ar-SA"/>
        </w:rPr>
        <w:t>按照国家、省市区部署，在全系统先后开展了重大事故安全隐患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专项排查整治行动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bidi="ar-SA"/>
        </w:rPr>
        <w:t>和校园消防、校车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 w:bidi="ar-SA"/>
        </w:rPr>
        <w:t>、防溺水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bidi="ar-SA"/>
        </w:rPr>
        <w:t>等安全专项整顿等整治行动，在学校自查的基础上，教育局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 w:bidi="ar-SA"/>
        </w:rPr>
        <w:t>又成立22个督导检查组，定期深入到分包乡镇和学校，对学校幼儿园安全工作进行全面督导检查，对查出的安全隐患逐一落实整改措施，并限期整改，确保学校安全工作万无一失。全年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检查学校、幼儿园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1745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余所（次），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排查整改各类安全隐患123处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bidi="ar-SA"/>
        </w:rPr>
        <w:t>，整改完成率100%，实现了“存量隐患整改到位、增量隐患动态清零”的目标。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bidi="ar-SA"/>
        </w:rPr>
        <w:t>通过线上、线下等多种方式积极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bidi="ar-SA"/>
        </w:rPr>
        <w:t>开展防灾减灾日、安全教育日、安全生产月、消防安全、交通安全、学生防溺水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 w:bidi="ar-SA"/>
        </w:rPr>
        <w:t>、法治教育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bidi="ar-SA"/>
        </w:rPr>
        <w:t>等主题教育活动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 w:bidi="ar-SA"/>
        </w:rPr>
        <w:t>，有效提升各类校内外学生安全事故防范水平。</w:t>
      </w:r>
    </w:p>
    <w:p>
      <w:pPr>
        <w:numPr>
          <w:ilvl w:val="0"/>
          <w:numId w:val="0"/>
        </w:numPr>
        <w:spacing w:line="600" w:lineRule="exact"/>
        <w:ind w:leftChars="0" w:firstLine="640" w:firstLineChars="2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校园食品安全方面，</w:t>
      </w:r>
      <w:r>
        <w:rPr>
          <w:rFonts w:hint="eastAsia" w:ascii="仿宋" w:hAnsi="仿宋" w:eastAsia="仿宋" w:cs="仿宋"/>
          <w:sz w:val="32"/>
          <w:szCs w:val="32"/>
        </w:rPr>
        <w:t>会同市场监管部门，定期分析研究校园食品安全的风险点，有针对性地制定责任明确、操作性强的防控要求，加强对学校食品安全的监督检查，并下达书面整改落实清单。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聚焦食品生产、加工等环节，强化监管，压实主体责任、落实食品原料采购进货查验、保持食品加工场所环境卫生、加工过程严格执行操作规范、规范食品留样、消毒个环节。严守食品安全底线和食品安全领域廉政风险，切实守护群众“舌尖上的安全”，努力解决群众急难愁盼食品安全问题。</w:t>
      </w:r>
    </w:p>
    <w:p>
      <w:pPr>
        <w:spacing w:line="590" w:lineRule="exact"/>
        <w:ind w:firstLine="640" w:firstLineChars="200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三是用好法治教育的校园和课堂主阵地。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bidi="ar-SA"/>
        </w:rPr>
        <w:t>先后组织开展了“习近平法治思想进课堂”主题征文、“法护未来 家校共育”法治公益课展播、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val="en-US" w:eastAsia="zh-CN" w:bidi="ar-SA"/>
        </w:rPr>
        <w:t>民法典宣传月、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bidi="ar-SA"/>
        </w:rPr>
        <w:t>第九届全国学生“学宪法 讲宪法”等活动，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val="en-US" w:eastAsia="zh-CN" w:bidi="ar-SA"/>
        </w:rPr>
        <w:t>使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bidi="ar-SA"/>
        </w:rPr>
        <w:t>全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val="en-US" w:eastAsia="zh-CN" w:bidi="ar-SA"/>
        </w:rPr>
        <w:t>区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bidi="ar-SA"/>
        </w:rPr>
        <w:t>师生进一步加深了对有关法律法规的认识和理解，全系统广大师生员工依法治校、依法施教、依法办事、依法维护自身合法权益的自觉性明显提高，树立了法治意识，取得了良好的效果。</w:t>
      </w:r>
      <w:r>
        <w:rPr>
          <w:rFonts w:hint="eastAsia" w:ascii="宋体" w:hAnsi="宋体" w:eastAsia="方正仿宋简体" w:cs="方正仿宋简体"/>
          <w:kern w:val="2"/>
          <w:sz w:val="32"/>
          <w:szCs w:val="32"/>
          <w:lang w:val="en-US" w:eastAsia="zh-CN" w:bidi="ar-SA"/>
        </w:rPr>
        <w:t>以学习宣传和贯彻落实《中小学法治副校长聘任与管理办法》为抓手，全区各中小学</w:t>
      </w:r>
      <w:r>
        <w:rPr>
          <w:rFonts w:hint="eastAsia" w:hAnsi="宋体" w:eastAsia="方正仿宋简体" w:cs="方正仿宋简体"/>
          <w:kern w:val="2"/>
          <w:sz w:val="32"/>
          <w:szCs w:val="32"/>
          <w:lang w:val="en-US" w:eastAsia="zh-CN" w:bidi="ar-SA"/>
        </w:rPr>
        <w:t>、幼儿园</w:t>
      </w:r>
      <w:r>
        <w:rPr>
          <w:rFonts w:hint="eastAsia" w:ascii="宋体" w:hAnsi="宋体" w:eastAsia="方正仿宋简体" w:cs="方正仿宋简体"/>
          <w:kern w:val="2"/>
          <w:sz w:val="32"/>
          <w:szCs w:val="32"/>
          <w:lang w:val="en-US" w:eastAsia="zh-CN" w:bidi="ar-SA"/>
        </w:rPr>
        <w:t>积极邀请聘任</w:t>
      </w:r>
      <w:r>
        <w:rPr>
          <w:rFonts w:hint="eastAsia" w:hAnsi="宋体" w:eastAsia="方正仿宋简体" w:cs="方正仿宋简体"/>
          <w:kern w:val="2"/>
          <w:sz w:val="32"/>
          <w:szCs w:val="32"/>
          <w:lang w:val="en-US" w:eastAsia="zh-CN" w:bidi="ar-SA"/>
        </w:rPr>
        <w:t>经公安机关、人民检察院、人民法院、司法等部门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委派</w:t>
      </w:r>
      <w:r>
        <w:rPr>
          <w:rFonts w:hint="eastAsia" w:hAnsi="宋体" w:eastAsia="方正仿宋简体" w:cs="方正仿宋简体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宋体" w:hAnsi="宋体" w:eastAsia="方正仿宋简体" w:cs="方正仿宋简体"/>
          <w:kern w:val="2"/>
          <w:sz w:val="32"/>
          <w:szCs w:val="32"/>
          <w:lang w:val="en-US" w:eastAsia="zh-CN" w:bidi="ar-SA"/>
        </w:rPr>
        <w:t>政治素质好、品德优秀、</w:t>
      </w:r>
      <w:r>
        <w:rPr>
          <w:rFonts w:hint="eastAsia" w:hAnsi="宋体" w:eastAsia="方正仿宋简体" w:cs="方正仿宋简体"/>
          <w:kern w:val="2"/>
          <w:sz w:val="32"/>
          <w:szCs w:val="32"/>
          <w:lang w:val="en-US" w:eastAsia="zh-CN" w:bidi="ar-SA"/>
        </w:rPr>
        <w:t>演讲能力强</w:t>
      </w:r>
      <w:r>
        <w:rPr>
          <w:rFonts w:hint="eastAsia" w:ascii="宋体" w:hAnsi="宋体" w:eastAsia="方正仿宋简体" w:cs="方正仿宋简体"/>
          <w:kern w:val="2"/>
          <w:sz w:val="32"/>
          <w:szCs w:val="32"/>
          <w:lang w:val="en-US" w:eastAsia="zh-CN" w:bidi="ar-SA"/>
        </w:rPr>
        <w:t>的法治副校长</w:t>
      </w:r>
      <w:r>
        <w:rPr>
          <w:rFonts w:hint="eastAsia" w:hAnsi="宋体" w:eastAsia="方正仿宋简体" w:cs="方正仿宋简体"/>
          <w:kern w:val="2"/>
          <w:sz w:val="32"/>
          <w:szCs w:val="32"/>
          <w:lang w:val="en-US" w:eastAsia="zh-CN" w:bidi="ar-SA"/>
        </w:rPr>
        <w:t>110余名，全区中小学、幼儿园100%覆盖。</w:t>
      </w:r>
      <w:r>
        <w:rPr>
          <w:rFonts w:hint="eastAsia" w:hAnsi="宋体" w:eastAsia="方正仿宋简体"/>
          <w:sz w:val="32"/>
          <w:szCs w:val="32"/>
          <w:lang w:val="en-US" w:eastAsia="zh-CN"/>
        </w:rPr>
        <w:t>2024年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eastAsia="zh-CN" w:bidi="ar-SA"/>
        </w:rPr>
        <w:t>暑假放假前对全区中学生集中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val="en-US" w:eastAsia="zh-CN" w:bidi="ar-SA"/>
        </w:rPr>
        <w:t>开展了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eastAsia="zh-CN" w:bidi="ar-SA"/>
        </w:rPr>
        <w:t>法治教育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val="en-US" w:eastAsia="zh-CN" w:bidi="ar-SA"/>
        </w:rPr>
        <w:t>活动</w:t>
      </w:r>
      <w:r>
        <w:rPr>
          <w:rFonts w:hint="eastAsia" w:ascii="宋体" w:hAnsi="宋体" w:eastAsia="方正仿宋简体"/>
          <w:sz w:val="32"/>
          <w:szCs w:val="32"/>
        </w:rPr>
        <w:t>，</w:t>
      </w:r>
      <w:r>
        <w:rPr>
          <w:rFonts w:hint="eastAsia" w:ascii="宋体" w:hAnsi="宋体" w:eastAsia="方正仿宋简体" w:cs="方正仿宋简体"/>
          <w:sz w:val="32"/>
          <w:szCs w:val="32"/>
        </w:rPr>
        <w:t>全区35所中学（含中等职业学校）全部开展了集中法治教育活动，接受法治教育学生人数35693，学校、学生覆盖率100%。各中学（含中等职业学校）开展法治教育宣讲52场次，发放宣传资料17129册，播放主题宣传片42条；通过官方主流媒体刊发宣传稿件10条。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2024年秋季开学后，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组织全区中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小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学（含中等职业学校）对全体学生开展了一次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讲授一节法治公开课和法治副校长‘开学法治第一课’活动”，</w:t>
      </w:r>
      <w:r>
        <w:rPr>
          <w:rFonts w:hint="eastAsia" w:ascii="宋体" w:hAnsi="宋体" w:eastAsia="方正仿宋简体" w:cs="方正仿宋简体"/>
          <w:sz w:val="32"/>
          <w:szCs w:val="32"/>
        </w:rPr>
        <w:t>全区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176</w:t>
      </w:r>
      <w:r>
        <w:rPr>
          <w:rFonts w:hint="eastAsia" w:ascii="宋体" w:hAnsi="宋体" w:eastAsia="方正仿宋简体" w:cs="方正仿宋简体"/>
          <w:sz w:val="32"/>
          <w:szCs w:val="32"/>
        </w:rPr>
        <w:t>所中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小</w:t>
      </w:r>
      <w:r>
        <w:rPr>
          <w:rFonts w:hint="eastAsia" w:ascii="宋体" w:hAnsi="宋体" w:eastAsia="方正仿宋简体" w:cs="方正仿宋简体"/>
          <w:sz w:val="32"/>
          <w:szCs w:val="32"/>
        </w:rPr>
        <w:t>学（含中等职业学校）全部开展了法治教育活动，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邀请法治副校长入校开展活动200余人次，</w:t>
      </w:r>
      <w:r>
        <w:rPr>
          <w:rFonts w:hint="eastAsia" w:ascii="宋体" w:hAnsi="宋体" w:eastAsia="方正仿宋简体" w:cs="方正仿宋简体"/>
          <w:sz w:val="32"/>
          <w:szCs w:val="32"/>
        </w:rPr>
        <w:t>接受法治教育学生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101595人</w:t>
      </w:r>
      <w:r>
        <w:rPr>
          <w:rFonts w:hint="eastAsia" w:ascii="宋体" w:hAnsi="宋体" w:eastAsia="方正仿宋简体" w:cs="方正仿宋简体"/>
          <w:sz w:val="32"/>
          <w:szCs w:val="32"/>
        </w:rPr>
        <w:t>，学校、学生覆盖率100%。各中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小</w:t>
      </w:r>
      <w:r>
        <w:rPr>
          <w:rFonts w:hint="eastAsia" w:ascii="宋体" w:hAnsi="宋体" w:eastAsia="方正仿宋简体" w:cs="方正仿宋简体"/>
          <w:sz w:val="32"/>
          <w:szCs w:val="32"/>
        </w:rPr>
        <w:t>学（含中等职业学校）开展法治教育宣讲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190余</w:t>
      </w:r>
      <w:r>
        <w:rPr>
          <w:rFonts w:hint="eastAsia" w:ascii="宋体" w:hAnsi="宋体" w:eastAsia="方正仿宋简体" w:cs="方正仿宋简体"/>
          <w:sz w:val="32"/>
          <w:szCs w:val="32"/>
        </w:rPr>
        <w:t>场次，发放宣传资料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5700余</w:t>
      </w:r>
      <w:r>
        <w:rPr>
          <w:rFonts w:hint="eastAsia" w:ascii="宋体" w:hAnsi="宋体" w:eastAsia="方正仿宋简体" w:cs="方正仿宋简体"/>
          <w:sz w:val="32"/>
          <w:szCs w:val="32"/>
        </w:rPr>
        <w:t>册，播放主题宣传片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247</w:t>
      </w:r>
      <w:r>
        <w:rPr>
          <w:rFonts w:hint="eastAsia" w:ascii="宋体" w:hAnsi="宋体" w:eastAsia="方正仿宋简体" w:cs="方正仿宋简体"/>
          <w:sz w:val="32"/>
          <w:szCs w:val="32"/>
        </w:rPr>
        <w:t>条；通过官方主流媒体刊发宣传稿件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方正仿宋简体" w:cs="方正仿宋简体"/>
          <w:sz w:val="32"/>
          <w:szCs w:val="32"/>
        </w:rPr>
        <w:t>条。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全区各中小学、幼儿园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围绕全市统筹教育高质量发展高水平安全工作要求，邀请各部门法治副校长入校常态化开展“五进”校园活动，</w:t>
      </w:r>
      <w:r>
        <w:rPr>
          <w:rFonts w:hint="eastAsia" w:ascii="宋体" w:hAnsi="宋体" w:eastAsia="方正仿宋简体" w:cs="方正仿宋简体"/>
          <w:kern w:val="2"/>
          <w:sz w:val="32"/>
          <w:szCs w:val="32"/>
          <w:lang w:val="en-US" w:eastAsia="zh-CN" w:bidi="ar-SA"/>
        </w:rPr>
        <w:t>对学校师生法治素养的提升起到了十分重要的作用。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bidi="ar-SA"/>
        </w:rPr>
        <w:t>积极依托丰润区检察院“润苗小院”等未检活动阵地，开展青少年模拟法庭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eastAsia="zh-CN" w:bidi="ar-SA"/>
        </w:rPr>
        <w:t>、开放日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bidi="ar-SA"/>
        </w:rPr>
        <w:t>等实践活动，提高学生守法、用法能力和自我防范意识。</w:t>
      </w:r>
      <w:r>
        <w:rPr>
          <w:rFonts w:hint="eastAsia" w:ascii="宋体" w:hAnsi="宋体" w:eastAsia="方正仿宋简体" w:cs="方正仿宋简体"/>
          <w:sz w:val="32"/>
          <w:szCs w:val="32"/>
        </w:rPr>
        <w:t>严格按照教育部课程</w:t>
      </w:r>
      <w:r>
        <w:rPr>
          <w:rFonts w:hint="eastAsia" w:eastAsia="方正仿宋简体" w:cs="方正仿宋简体"/>
          <w:sz w:val="32"/>
          <w:szCs w:val="32"/>
          <w:lang w:eastAsia="zh-CN"/>
        </w:rPr>
        <w:t>方案</w:t>
      </w:r>
      <w:r>
        <w:rPr>
          <w:rFonts w:hint="eastAsia" w:ascii="宋体" w:hAnsi="宋体" w:eastAsia="方正仿宋简体" w:cs="方正仿宋简体"/>
          <w:sz w:val="32"/>
          <w:szCs w:val="32"/>
        </w:rPr>
        <w:t>要求，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持续推进法治教育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课时、教材、师资、经费“四落实”，各</w:t>
      </w:r>
      <w:r>
        <w:rPr>
          <w:rFonts w:hint="eastAsia" w:ascii="宋体" w:hAnsi="宋体" w:eastAsia="方正仿宋简体" w:cs="方正仿宋简体"/>
          <w:sz w:val="32"/>
          <w:szCs w:val="32"/>
        </w:rPr>
        <w:t>中小学结合《道德与法治》等教材选配法治知识丰富、教学水平较高的教师任课，开展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《</w:t>
      </w:r>
      <w:r>
        <w:rPr>
          <w:rFonts w:hint="eastAsia" w:ascii="宋体" w:hAnsi="宋体" w:eastAsia="方正仿宋简体" w:cs="方正仿宋简体"/>
          <w:sz w:val="32"/>
          <w:szCs w:val="32"/>
        </w:rPr>
        <w:t>宪法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》</w:t>
      </w:r>
      <w:r>
        <w:rPr>
          <w:rFonts w:hint="eastAsia" w:ascii="宋体" w:hAnsi="宋体" w:eastAsia="方正仿宋简体" w:cs="方正仿宋简体"/>
          <w:sz w:val="32"/>
          <w:szCs w:val="32"/>
        </w:rPr>
        <w:t>《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中华人民共和国</w:t>
      </w:r>
      <w:r>
        <w:rPr>
          <w:rFonts w:hint="eastAsia" w:ascii="宋体" w:hAnsi="宋体" w:eastAsia="方正仿宋简体" w:cs="方正仿宋简体"/>
          <w:sz w:val="32"/>
          <w:szCs w:val="32"/>
        </w:rPr>
        <w:t>未成年人保护法》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《</w:t>
      </w:r>
      <w:r>
        <w:rPr>
          <w:rFonts w:hint="eastAsia" w:ascii="宋体" w:hAnsi="宋体" w:eastAsia="方正仿宋简体" w:cs="方正仿宋简体"/>
          <w:sz w:val="32"/>
          <w:szCs w:val="32"/>
        </w:rPr>
        <w:t>预防未成年人犯罪法》等</w:t>
      </w:r>
      <w:r>
        <w:rPr>
          <w:rFonts w:hint="eastAsia" w:eastAsia="方正仿宋简体" w:cs="方正仿宋简体"/>
          <w:sz w:val="32"/>
          <w:szCs w:val="32"/>
          <w:lang w:eastAsia="zh-CN"/>
        </w:rPr>
        <w:t>普法宣传</w:t>
      </w:r>
      <w:r>
        <w:rPr>
          <w:rFonts w:hint="eastAsia" w:ascii="宋体" w:hAnsi="宋体" w:eastAsia="方正仿宋简体" w:cs="方正仿宋简体"/>
          <w:sz w:val="32"/>
          <w:szCs w:val="32"/>
        </w:rPr>
        <w:t>教育，结合未成年人违法犯罪案例，有针对性地开展法治教育，教育面达100﹪。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baseline"/>
        <w:rPr>
          <w:rFonts w:hint="eastAsia" w:ascii="方正黑体简体" w:hAnsi="方正黑体简体" w:eastAsia="方正黑体简体" w:cs="方正黑体简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napToGrid w:val="0"/>
          <w:kern w:val="0"/>
          <w:sz w:val="32"/>
          <w:szCs w:val="32"/>
          <w:lang w:val="en-US" w:eastAsia="zh-CN"/>
        </w:rPr>
        <w:t>二、存在问题和不足</w:t>
      </w:r>
    </w:p>
    <w:p>
      <w:pPr>
        <w:pStyle w:val="6"/>
        <w:numPr>
          <w:ilvl w:val="0"/>
          <w:numId w:val="0"/>
        </w:numPr>
        <w:rPr>
          <w:rFonts w:hint="default" w:ascii="方正仿宋简体" w:hAnsi="方正仿宋简体" w:eastAsia="方正仿宋简体" w:cs="方正仿宋简体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  <w:lang w:val="en-US" w:eastAsia="zh-CN" w:bidi="ar-SA"/>
        </w:rPr>
        <w:t>法治政府建设需要多部门的共同努力，诸如校园食品安全、校园周边安全管理以及未成年人家校共育等工作，我们还需进一步加大与公安、市场、属地、街道等部门的工作协作，还需进一步健全完善高效的联络和沟通机制，不断加强教育与相关部门共同构建法治校园的工作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baseline"/>
        <w:rPr>
          <w:rFonts w:hint="eastAsia" w:ascii="方正黑体简体" w:hAnsi="方正黑体简体" w:eastAsia="方正黑体简体" w:cs="方正黑体简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napToGrid w:val="0"/>
          <w:kern w:val="0"/>
          <w:sz w:val="32"/>
          <w:szCs w:val="32"/>
          <w:lang w:val="en-US" w:eastAsia="zh-CN"/>
        </w:rPr>
        <w:t>三、2025年工作思路</w:t>
      </w:r>
    </w:p>
    <w:p>
      <w:pPr>
        <w:spacing w:line="590" w:lineRule="exact"/>
        <w:ind w:firstLine="640" w:firstLineChars="200"/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  <w:lang w:val="en-US" w:eastAsia="zh-CN"/>
        </w:rPr>
        <w:t>来年，我局将继续按照全区法治政府建设的总体部署，以青少年法治教育为主要内容，争取在工作上取得新的进展和突破。一是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全面强化法治课堂教学，大力推进青少年法治教育阵地建设，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eastAsia="zh-CN"/>
        </w:rPr>
        <w:t>浓厚法治宣传教育氛围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。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eastAsia="zh-CN"/>
        </w:rPr>
        <w:t>二是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组织各校进一步做好法治副校长聘任工作，充分发挥其专业引领作用，协助学校开展好法治宣教活动。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eastAsia="zh-CN"/>
        </w:rPr>
        <w:t>三是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结合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eastAsia="zh-CN"/>
        </w:rPr>
        <w:t>检察院、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司法部门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eastAsia="zh-CN"/>
        </w:rPr>
        <w:t>等有关职能部门大力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开展“法治进校园”巡讲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“学宪法 讲宪法”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法治讲座、普法征文、法律知识竞赛、观摩模拟法庭等法治教育活动，进一步提升法治教育效果。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eastAsia="zh-CN"/>
        </w:rPr>
        <w:t>四是</w:t>
      </w:r>
      <w:r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  <w:lang w:val="en-US" w:eastAsia="zh-CN"/>
        </w:rPr>
        <w:t>加大信访稳定和矛盾化解力度，积极为全区法治政府建设贡献教育力量。</w:t>
      </w: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  <w:lang w:val="en-US" w:eastAsia="zh-CN"/>
        </w:rPr>
        <w:t xml:space="preserve">                                 唐山市丰润区教育局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baseline"/>
        <w:rPr>
          <w:rFonts w:hint="default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  <w:lang w:val="en-US" w:eastAsia="zh-CN"/>
        </w:rPr>
        <w:t xml:space="preserve">                                   2024年11月30日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baseline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default" w:ascii="方正仿宋简体" w:hAnsi="方正仿宋简体" w:eastAsia="方正仿宋简体" w:cs="方正仿宋简体"/>
          <w:b w:val="0"/>
          <w:bCs w:val="0"/>
          <w:kern w:val="21"/>
          <w:sz w:val="32"/>
          <w:szCs w:val="32"/>
          <w:lang w:val="en-US" w:eastAsia="zh-CN"/>
        </w:rPr>
      </w:pP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baseline"/>
        <w:rPr>
          <w:rFonts w:hint="eastAsia" w:asci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3780" w:firstLineChars="1800"/>
        <w:jc w:val="both"/>
        <w:textAlignment w:val="baseline"/>
        <w:rPr>
          <w:rFonts w:hint="default" w:eastAsia="方正仿宋简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</w:t>
      </w:r>
    </w:p>
    <w:sectPr>
      <w:footerReference r:id="rId3" w:type="default"/>
      <w:pgSz w:w="11906" w:h="16838"/>
      <w:pgMar w:top="1928" w:right="1474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N2I3ZjYxNjMyOTQ3YjJmZWRkYzFkNTIxY2Y3ODMifQ=="/>
    <w:docVar w:name="KSO_WPS_MARK_KEY" w:val="4b737b08-3e14-47b8-a88b-a099e35cb6c2"/>
  </w:docVars>
  <w:rsids>
    <w:rsidRoot w:val="5CFD6A2F"/>
    <w:rsid w:val="0003161B"/>
    <w:rsid w:val="00283CAE"/>
    <w:rsid w:val="002D51F1"/>
    <w:rsid w:val="002E0C85"/>
    <w:rsid w:val="00343DB2"/>
    <w:rsid w:val="003532FE"/>
    <w:rsid w:val="003F06B9"/>
    <w:rsid w:val="00433FC8"/>
    <w:rsid w:val="004A1AE9"/>
    <w:rsid w:val="004B579E"/>
    <w:rsid w:val="004E18AB"/>
    <w:rsid w:val="00507342"/>
    <w:rsid w:val="00573C14"/>
    <w:rsid w:val="005D5035"/>
    <w:rsid w:val="00632964"/>
    <w:rsid w:val="00640ACF"/>
    <w:rsid w:val="006F3EE2"/>
    <w:rsid w:val="0071527A"/>
    <w:rsid w:val="0081085B"/>
    <w:rsid w:val="008348CB"/>
    <w:rsid w:val="009B7767"/>
    <w:rsid w:val="009E7AB9"/>
    <w:rsid w:val="00A9663B"/>
    <w:rsid w:val="00AC7341"/>
    <w:rsid w:val="00B05575"/>
    <w:rsid w:val="00C96CD6"/>
    <w:rsid w:val="00CC0386"/>
    <w:rsid w:val="00D33380"/>
    <w:rsid w:val="00DA0CF8"/>
    <w:rsid w:val="00EE7430"/>
    <w:rsid w:val="00F50C14"/>
    <w:rsid w:val="00FA17F9"/>
    <w:rsid w:val="00FA6E0E"/>
    <w:rsid w:val="013D4B60"/>
    <w:rsid w:val="017B11E4"/>
    <w:rsid w:val="01AD6A43"/>
    <w:rsid w:val="01BD1C43"/>
    <w:rsid w:val="0274114F"/>
    <w:rsid w:val="02E8214E"/>
    <w:rsid w:val="03323B24"/>
    <w:rsid w:val="03F139E0"/>
    <w:rsid w:val="045E1BAB"/>
    <w:rsid w:val="04A40A52"/>
    <w:rsid w:val="053B7608"/>
    <w:rsid w:val="0591416A"/>
    <w:rsid w:val="05C375FE"/>
    <w:rsid w:val="06D25D4A"/>
    <w:rsid w:val="07A8703B"/>
    <w:rsid w:val="08910388"/>
    <w:rsid w:val="08C12DDB"/>
    <w:rsid w:val="0B633415"/>
    <w:rsid w:val="0BED0F30"/>
    <w:rsid w:val="0C5A6F30"/>
    <w:rsid w:val="0F503CB0"/>
    <w:rsid w:val="10F1661C"/>
    <w:rsid w:val="11CC783A"/>
    <w:rsid w:val="12B02CB8"/>
    <w:rsid w:val="12C329EB"/>
    <w:rsid w:val="13064106"/>
    <w:rsid w:val="13830281"/>
    <w:rsid w:val="138F79DF"/>
    <w:rsid w:val="143A4F2F"/>
    <w:rsid w:val="14575AE1"/>
    <w:rsid w:val="14676C87"/>
    <w:rsid w:val="15190FE8"/>
    <w:rsid w:val="15DD3DC4"/>
    <w:rsid w:val="15E95B62"/>
    <w:rsid w:val="167E0C84"/>
    <w:rsid w:val="17C926F3"/>
    <w:rsid w:val="18831EE5"/>
    <w:rsid w:val="18ED2570"/>
    <w:rsid w:val="1BC8769B"/>
    <w:rsid w:val="1C2066AA"/>
    <w:rsid w:val="1C4E1577"/>
    <w:rsid w:val="1C5B7A53"/>
    <w:rsid w:val="1D414B0A"/>
    <w:rsid w:val="1D7437B7"/>
    <w:rsid w:val="1D7C2114"/>
    <w:rsid w:val="1E4703F1"/>
    <w:rsid w:val="1E9D46FE"/>
    <w:rsid w:val="1F737B0B"/>
    <w:rsid w:val="20596C85"/>
    <w:rsid w:val="20AD0189"/>
    <w:rsid w:val="211D3C0E"/>
    <w:rsid w:val="2134412D"/>
    <w:rsid w:val="21B47A9C"/>
    <w:rsid w:val="228F6446"/>
    <w:rsid w:val="22C45DA1"/>
    <w:rsid w:val="22FA2CED"/>
    <w:rsid w:val="26A370E2"/>
    <w:rsid w:val="27505721"/>
    <w:rsid w:val="28B07F21"/>
    <w:rsid w:val="2B79744B"/>
    <w:rsid w:val="2BA70F21"/>
    <w:rsid w:val="2BCF3D57"/>
    <w:rsid w:val="2BD0767E"/>
    <w:rsid w:val="2BEB4521"/>
    <w:rsid w:val="2BF437BD"/>
    <w:rsid w:val="2D6F75A0"/>
    <w:rsid w:val="2E5D389C"/>
    <w:rsid w:val="2F25085E"/>
    <w:rsid w:val="2F275D0F"/>
    <w:rsid w:val="2F5E40A8"/>
    <w:rsid w:val="2F9037FD"/>
    <w:rsid w:val="2FA358B5"/>
    <w:rsid w:val="301601A6"/>
    <w:rsid w:val="31355E4D"/>
    <w:rsid w:val="3240150B"/>
    <w:rsid w:val="32FA73EC"/>
    <w:rsid w:val="33193EEF"/>
    <w:rsid w:val="35FC7E3E"/>
    <w:rsid w:val="360B5E7C"/>
    <w:rsid w:val="385E093C"/>
    <w:rsid w:val="38FF7281"/>
    <w:rsid w:val="39916AF0"/>
    <w:rsid w:val="3A7A6A77"/>
    <w:rsid w:val="3B8406BA"/>
    <w:rsid w:val="3BDE0A12"/>
    <w:rsid w:val="3CAC13A9"/>
    <w:rsid w:val="3DB82C92"/>
    <w:rsid w:val="40AA129E"/>
    <w:rsid w:val="40FD6BF9"/>
    <w:rsid w:val="441D16AC"/>
    <w:rsid w:val="44BC6603"/>
    <w:rsid w:val="44CF599D"/>
    <w:rsid w:val="450E71B1"/>
    <w:rsid w:val="457E261E"/>
    <w:rsid w:val="4647278D"/>
    <w:rsid w:val="46601CC7"/>
    <w:rsid w:val="475C2918"/>
    <w:rsid w:val="47D022FE"/>
    <w:rsid w:val="485A7005"/>
    <w:rsid w:val="48A2278B"/>
    <w:rsid w:val="48BF0F83"/>
    <w:rsid w:val="4907311F"/>
    <w:rsid w:val="4A2C69CF"/>
    <w:rsid w:val="4A870C45"/>
    <w:rsid w:val="4B613C1A"/>
    <w:rsid w:val="4B700C5B"/>
    <w:rsid w:val="4D5B7F23"/>
    <w:rsid w:val="4E0336C0"/>
    <w:rsid w:val="4E1B4BBC"/>
    <w:rsid w:val="4E6E155E"/>
    <w:rsid w:val="4EF15C0F"/>
    <w:rsid w:val="513E4F39"/>
    <w:rsid w:val="51DF0D5C"/>
    <w:rsid w:val="52643C20"/>
    <w:rsid w:val="535F0B8C"/>
    <w:rsid w:val="5481389E"/>
    <w:rsid w:val="54871B9A"/>
    <w:rsid w:val="550208F0"/>
    <w:rsid w:val="550F028D"/>
    <w:rsid w:val="556F5185"/>
    <w:rsid w:val="56682C5A"/>
    <w:rsid w:val="568A7075"/>
    <w:rsid w:val="56C27EA5"/>
    <w:rsid w:val="58166EA7"/>
    <w:rsid w:val="58296419"/>
    <w:rsid w:val="582A2C35"/>
    <w:rsid w:val="589F5C08"/>
    <w:rsid w:val="58FF717A"/>
    <w:rsid w:val="5A6D6E55"/>
    <w:rsid w:val="5A7D79E3"/>
    <w:rsid w:val="5B2B79B5"/>
    <w:rsid w:val="5C9507AC"/>
    <w:rsid w:val="5CA133B0"/>
    <w:rsid w:val="5CB4181A"/>
    <w:rsid w:val="5CFD6A2F"/>
    <w:rsid w:val="5D3A23D0"/>
    <w:rsid w:val="5EA848D6"/>
    <w:rsid w:val="5FB962D5"/>
    <w:rsid w:val="63DA0DFF"/>
    <w:rsid w:val="646D1D84"/>
    <w:rsid w:val="66125584"/>
    <w:rsid w:val="668C1F2D"/>
    <w:rsid w:val="668D5888"/>
    <w:rsid w:val="6796514D"/>
    <w:rsid w:val="68A64CFE"/>
    <w:rsid w:val="68CE2E16"/>
    <w:rsid w:val="69AC69A8"/>
    <w:rsid w:val="6AB37DC4"/>
    <w:rsid w:val="6DFB5D0A"/>
    <w:rsid w:val="6E076DA5"/>
    <w:rsid w:val="6E9F713F"/>
    <w:rsid w:val="6EDC71AD"/>
    <w:rsid w:val="700C4974"/>
    <w:rsid w:val="70AE52B6"/>
    <w:rsid w:val="70B91BF2"/>
    <w:rsid w:val="718C5D71"/>
    <w:rsid w:val="71A719FD"/>
    <w:rsid w:val="71BE0A10"/>
    <w:rsid w:val="720125A6"/>
    <w:rsid w:val="720A70BC"/>
    <w:rsid w:val="72AE5170"/>
    <w:rsid w:val="72BB0665"/>
    <w:rsid w:val="733F48EB"/>
    <w:rsid w:val="757941AE"/>
    <w:rsid w:val="75BF2DCB"/>
    <w:rsid w:val="77A72F9A"/>
    <w:rsid w:val="78DB6E64"/>
    <w:rsid w:val="78F97A5A"/>
    <w:rsid w:val="79062DFF"/>
    <w:rsid w:val="7AB31A34"/>
    <w:rsid w:val="7CA25BDA"/>
    <w:rsid w:val="7ED76E50"/>
    <w:rsid w:val="7F6129B8"/>
    <w:rsid w:val="7F9519D2"/>
    <w:rsid w:val="7FBA7F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uiPriority w:val="0"/>
    <w:rPr>
      <w:rFonts w:ascii="宋体" w:hAnsi="宋体" w:eastAsia="仿宋" w:cs="Courier New"/>
      <w:snapToGrid w:val="0"/>
      <w:kern w:val="36"/>
      <w:sz w:val="34"/>
      <w:szCs w:val="21"/>
      <w:lang w:bidi="ar-SA"/>
    </w:rPr>
  </w:style>
  <w:style w:type="paragraph" w:styleId="3">
    <w:name w:val="Body Text"/>
    <w:basedOn w:val="1"/>
    <w:next w:val="4"/>
    <w:qFormat/>
    <w:uiPriority w:val="0"/>
    <w:pPr>
      <w:spacing w:line="400" w:lineRule="atLeast"/>
      <w:ind w:right="330" w:rightChars="157"/>
    </w:pPr>
    <w:rPr>
      <w:rFonts w:ascii="仿宋_GB2312" w:eastAsia="黑体"/>
    </w:rPr>
  </w:style>
  <w:style w:type="paragraph" w:styleId="4">
    <w:name w:val="header"/>
    <w:basedOn w:val="1"/>
    <w:next w:val="5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_Style 3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i/>
      <w:color w:val="404040"/>
    </w:rPr>
  </w:style>
  <w:style w:type="paragraph" w:styleId="6">
    <w:name w:val="Plain Text"/>
    <w:basedOn w:val="1"/>
    <w:next w:val="1"/>
    <w:qFormat/>
    <w:uiPriority w:val="0"/>
    <w:rPr>
      <w:rFonts w:ascii="宋体" w:hAnsi="Courier New"/>
    </w:rPr>
  </w:style>
  <w:style w:type="paragraph" w:styleId="7">
    <w:name w:val="endnote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13">
    <w:name w:val="UserStyle_7"/>
    <w:basedOn w:val="1"/>
    <w:next w:val="1"/>
    <w:qFormat/>
    <w:uiPriority w:val="0"/>
    <w:pPr>
      <w:spacing w:before="200" w:after="160"/>
      <w:ind w:left="864" w:right="864"/>
      <w:jc w:val="center"/>
    </w:pPr>
    <w:rPr>
      <w:i/>
      <w:color w:val="404040"/>
    </w:rPr>
  </w:style>
  <w:style w:type="paragraph" w:customStyle="1" w:styleId="14">
    <w:name w:val="BodyText"/>
    <w:basedOn w:val="1"/>
    <w:next w:val="4"/>
    <w:qFormat/>
    <w:uiPriority w:val="0"/>
    <w:rPr>
      <w:rFonts w:ascii="宋体" w:hAnsi="宋体"/>
      <w:sz w:val="32"/>
      <w:szCs w:val="32"/>
      <w:lang w:val="zh-CN"/>
    </w:rPr>
  </w:style>
  <w:style w:type="character" w:customStyle="1" w:styleId="15">
    <w:name w:val="NormalCharacter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正文首行缩进 21"/>
    <w:basedOn w:val="18"/>
    <w:qFormat/>
    <w:uiPriority w:val="0"/>
    <w:pPr>
      <w:spacing w:beforeAutospacing="1"/>
      <w:ind w:firstLine="420" w:firstLineChars="200"/>
    </w:pPr>
  </w:style>
  <w:style w:type="paragraph" w:customStyle="1" w:styleId="18">
    <w:name w:val="正文文本缩进1"/>
    <w:basedOn w:val="1"/>
    <w:qFormat/>
    <w:uiPriority w:val="0"/>
    <w:pPr>
      <w:ind w:left="420" w:leftChars="200"/>
    </w:pPr>
    <w:rPr>
      <w:rFonts w:eastAsia="仿宋_GB2312"/>
      <w:sz w:val="32"/>
      <w:szCs w:val="32"/>
    </w:rPr>
  </w:style>
  <w:style w:type="paragraph" w:customStyle="1" w:styleId="19">
    <w:name w:val="PlainText"/>
    <w:basedOn w:val="1"/>
    <w:next w:val="1"/>
    <w:qFormat/>
    <w:uiPriority w:val="99"/>
    <w:pPr>
      <w:textAlignment w:val="baseline"/>
    </w:pPr>
    <w:rPr>
      <w:rFonts w:hAnsi="Courier New"/>
      <w:szCs w:val="21"/>
    </w:rPr>
  </w:style>
  <w:style w:type="character" w:customStyle="1" w:styleId="20">
    <w:name w:val="zhenwen141"/>
    <w:basedOn w:val="12"/>
    <w:qFormat/>
    <w:uiPriority w:val="0"/>
    <w:rPr>
      <w:rFonts w:ascii="??" w:hAnsi="??" w:cs="Times New Roman"/>
      <w:sz w:val="21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2375</Words>
  <Characters>2424</Characters>
  <Lines>71</Lines>
  <Paragraphs>20</Paragraphs>
  <TotalTime>4</TotalTime>
  <ScaleCrop>false</ScaleCrop>
  <LinksUpToDate>false</LinksUpToDate>
  <CharactersWithSpaces>2532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2023-03-27T06:07:00Z</dcterms:created>
  <dc:creator>骄阳似我</dc:creator>
  <cp:lastModifiedBy>静水流深 (Still water runs deep)</cp:lastModifiedBy>
  <cp:lastPrinted>2023-07-31T02:55:00Z</cp:lastPrinted>
  <dcterms:modified xsi:type="dcterms:W3CDTF">2025-04-23T02:12:58Z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F3DB23191A2042D6871781A3E7F51A16_13</vt:lpwstr>
  </property>
</Properties>
</file>