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27DEB">
      <w:pPr>
        <w:jc w:val="distribute"/>
        <w:rPr>
          <w:rFonts w:eastAsia="方正小标宋简体"/>
          <w:sz w:val="12"/>
        </w:rPr>
      </w:pPr>
      <w:r>
        <w:rPr>
          <w:rFonts w:asciiTheme="majorEastAsia" w:hAnsiTheme="majorEastAsia" w:eastAsiaTheme="majorEastAsia"/>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687070</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4.1pt;height:0pt;width:442.2pt;z-index:251661312;mso-width-relative:page;mso-height-relative:page;" filled="f" stroked="t" coordsize="21600,21600" o:gfxdata="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jHdWtUAAAAIAQAADwAAAAAAAAABACAAAAAiAAAAZHJzL2Rvd25yZXYueG1s&#10;UEsBAhQAFAAAAAgAh07iQFVX/7D7AQAA8gMAAA4AAAAAAAAAAQAgAAAAJAEAAGRycy9lMm9Eb2Mu&#10;eG1sUEsFBgAAAAAGAAYAWQEAAJEFAAAAAA==&#10;">
                <v:fill on="f" focussize="0,0"/>
                <v:stroke weight="0.5pt" color="#FF0000" joinstyle="round"/>
                <v:imagedata o:title=""/>
                <o:lock v:ext="edit" aspectratio="f"/>
              </v:line>
            </w:pict>
          </mc:Fallback>
        </mc:AlternateContent>
      </w:r>
      <w:r>
        <w:rPr>
          <w:rFonts w:asciiTheme="majorEastAsia" w:hAnsiTheme="majorEastAsia" w:eastAsiaTheme="majorEastAsia"/>
          <w:sz w:val="44"/>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648970</wp:posOffset>
                </wp:positionV>
                <wp:extent cx="5615940" cy="0"/>
                <wp:effectExtent l="0" t="9525" r="7620" b="1333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1.1pt;height:0pt;width:442.2pt;z-index:251660288;mso-width-relative:page;mso-height-relative:page;" filled="f" stroked="t" coordsize="21600,21600" o:gfxdata="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PCJM1gAAAAgBAAAPAAAAAAAAAAEAIAAAACIAAABkcnMvZG93bnJldi54&#10;bWxQSwECFAAUAAAACACHTuJA+ea99PwBAADzAwAADgAAAAAAAAABACAAAAAlAQAAZHJzL2Uyb0Rv&#10;Yy54bWxQSwUGAAAAAAYABgBZAQAAkwUAAAAA&#10;">
                <v:fill on="f" focussize="0,0"/>
                <v:stroke weight="1.5pt" color="#FF0000" joinstyle="round"/>
                <v:imagedata o:title=""/>
                <o:lock v:ext="edit" aspectratio="f"/>
              </v:line>
            </w:pict>
          </mc:Fallback>
        </mc:AlternateContent>
      </w:r>
      <w:r>
        <w:rPr>
          <w:rFonts w:hint="eastAsia" w:ascii="方正小标宋简体" w:eastAsia="方正小标宋简体"/>
          <w:color w:val="FF0000"/>
          <w:sz w:val="62"/>
          <w:szCs w:val="82"/>
        </w:rPr>
        <w:t>唐山市丰润区水利局</w:t>
      </w:r>
    </w:p>
    <w:p w14:paraId="183F5A81">
      <w:pPr>
        <w:spacing w:line="560" w:lineRule="exact"/>
        <w:jc w:val="center"/>
        <w:rPr>
          <w:rFonts w:ascii="仿宋" w:hAnsi="仿宋" w:eastAsia="仿宋"/>
          <w:position w:val="-6"/>
          <w:sz w:val="32"/>
          <w:szCs w:val="32"/>
        </w:rPr>
      </w:pPr>
      <w:r>
        <w:rPr>
          <w:rFonts w:hint="eastAsia" w:eastAsia="方正仿宋简体"/>
          <w:b/>
          <w:position w:val="-6"/>
          <w:sz w:val="44"/>
          <w:szCs w:val="44"/>
        </w:rPr>
        <w:t xml:space="preserve">                              </w:t>
      </w:r>
    </w:p>
    <w:p w14:paraId="7B2E9C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800" w:firstLineChars="200"/>
        <w:jc w:val="center"/>
        <w:textAlignment w:val="baseline"/>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pPr>
      <w:r>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t>唐山市丰润区水利局</w:t>
      </w:r>
    </w:p>
    <w:p w14:paraId="57360F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800" w:firstLineChars="200"/>
        <w:jc w:val="center"/>
        <w:textAlignment w:val="baseline"/>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pPr>
      <w:r>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t>“双随机、一公开”抽查工作细则</w:t>
      </w:r>
    </w:p>
    <w:p w14:paraId="61AEA3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800" w:firstLineChars="200"/>
        <w:jc w:val="center"/>
        <w:textAlignment w:val="baseline"/>
        <w:rPr>
          <w:rStyle w:val="9"/>
          <w:rFonts w:hint="eastAsia" w:ascii="方正小标宋_GBK" w:hAnsi="方正小标宋_GBK" w:eastAsia="方正小标宋_GBK" w:cs="方正小标宋_GBK"/>
          <w:b w:val="0"/>
          <w:bCs w:val="0"/>
          <w:i w:val="0"/>
          <w:iCs w:val="0"/>
          <w:caps w:val="0"/>
          <w:color w:val="222222"/>
          <w:spacing w:val="0"/>
          <w:sz w:val="40"/>
          <w:szCs w:val="40"/>
          <w:shd w:val="clear" w:fill="FFFFFF"/>
          <w:vertAlign w:val="baseline"/>
          <w:lang w:eastAsia="zh-CN"/>
        </w:rPr>
      </w:pPr>
    </w:p>
    <w:p w14:paraId="72A07E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640" w:firstLineChars="200"/>
        <w:jc w:val="center"/>
        <w:textAlignment w:val="baseline"/>
        <w:rPr>
          <w:rStyle w:val="9"/>
          <w:rFonts w:hint="eastAsia" w:ascii="方正黑体_GBK" w:hAnsi="方正黑体_GBK" w:eastAsia="方正黑体_GBK" w:cs="方正黑体_GBK"/>
          <w:b w:val="0"/>
          <w:bCs w:val="0"/>
          <w:i w:val="0"/>
          <w:iCs w:val="0"/>
          <w:caps w:val="0"/>
          <w:color w:val="222222"/>
          <w:spacing w:val="0"/>
          <w:sz w:val="32"/>
          <w:szCs w:val="32"/>
          <w:shd w:val="clear" w:fill="FFFFFF"/>
          <w:vertAlign w:val="baseline"/>
          <w:lang w:eastAsia="zh-CN"/>
        </w:rPr>
      </w:pPr>
      <w:r>
        <w:rPr>
          <w:rStyle w:val="9"/>
          <w:rFonts w:hint="eastAsia" w:ascii="方正黑体_GBK" w:hAnsi="方正黑体_GBK" w:eastAsia="方正黑体_GBK" w:cs="方正黑体_GBK"/>
          <w:b w:val="0"/>
          <w:bCs w:val="0"/>
          <w:i w:val="0"/>
          <w:caps w:val="0"/>
          <w:color w:val="333333"/>
          <w:spacing w:val="0"/>
          <w:sz w:val="32"/>
          <w:szCs w:val="32"/>
          <w:shd w:val="clear" w:color="auto" w:fill="FFFFFF"/>
        </w:rPr>
        <w:t>第一章  总  则</w:t>
      </w:r>
    </w:p>
    <w:p w14:paraId="702D074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_GBK" w:hAnsi="方正仿宋_GBK" w:eastAsia="方正仿宋_GBK" w:cs="方正仿宋_GBK"/>
          <w:sz w:val="32"/>
          <w:szCs w:val="32"/>
          <w:lang w:val="en-US" w:eastAsia="zh-CN"/>
        </w:rPr>
      </w:pPr>
    </w:p>
    <w:p w14:paraId="716F45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第一条</w:t>
      </w:r>
      <w:r>
        <w:rPr>
          <w:rFonts w:hint="eastAsia" w:ascii="方正仿宋简体" w:hAnsi="方正仿宋简体" w:eastAsia="方正仿宋简体" w:cs="方正仿宋简体"/>
          <w:i w:val="0"/>
          <w:caps w:val="0"/>
          <w:color w:val="333333"/>
          <w:spacing w:val="0"/>
          <w:sz w:val="32"/>
          <w:szCs w:val="32"/>
          <w:shd w:val="clear" w:color="auto" w:fill="FFFFFF"/>
        </w:rPr>
        <w:t>  为创新市场监管方式，规范市场执法行为，保障检查对象合法权益，营造公平竞争发展环境，推动大众创业、万众创新，根据《国务院办公厅关于推广随机抽查规范事中事后监管的通知》(国办发</w:t>
      </w:r>
      <w:r>
        <w:rPr>
          <w:rFonts w:hint="eastAsia" w:ascii="宋体" w:hAnsi="宋体" w:eastAsia="宋体" w:cs="宋体"/>
          <w:i w:val="0"/>
          <w:caps w:val="0"/>
          <w:color w:val="333333"/>
          <w:spacing w:val="0"/>
          <w:sz w:val="32"/>
          <w:szCs w:val="32"/>
          <w:shd w:val="clear" w:color="auto" w:fill="FFFFFF"/>
        </w:rPr>
        <w:t>〔2015〕58</w:t>
      </w:r>
      <w:r>
        <w:rPr>
          <w:rFonts w:hint="eastAsia" w:ascii="方正仿宋简体" w:hAnsi="方正仿宋简体" w:eastAsia="方正仿宋简体" w:cs="方正仿宋简体"/>
          <w:i w:val="0"/>
          <w:caps w:val="0"/>
          <w:color w:val="333333"/>
          <w:spacing w:val="0"/>
          <w:sz w:val="32"/>
          <w:szCs w:val="32"/>
          <w:shd w:val="clear" w:color="auto" w:fill="FFFFFF"/>
        </w:rPr>
        <w:t>号)</w:t>
      </w:r>
      <w:r>
        <w:rPr>
          <w:rFonts w:hint="eastAsia" w:ascii="方正仿宋简体" w:hAnsi="方正仿宋简体" w:eastAsia="方正仿宋简体" w:cs="方正仿宋简体"/>
          <w:i w:val="0"/>
          <w:caps w:val="0"/>
          <w:color w:val="333333"/>
          <w:spacing w:val="0"/>
          <w:sz w:val="32"/>
          <w:szCs w:val="32"/>
          <w:shd w:val="clear" w:color="auto" w:fill="FFFFFF"/>
          <w:lang w:eastAsia="zh-CN"/>
        </w:rPr>
        <w:t>、</w:t>
      </w:r>
      <w:r>
        <w:rPr>
          <w:rFonts w:hint="eastAsia" w:ascii="方正仿宋简体" w:hAnsi="方正仿宋简体" w:eastAsia="方正仿宋简体" w:cs="方正仿宋简体"/>
          <w:i w:val="0"/>
          <w:caps w:val="0"/>
          <w:color w:val="333333"/>
          <w:spacing w:val="0"/>
          <w:sz w:val="32"/>
          <w:szCs w:val="32"/>
          <w:shd w:val="clear" w:color="auto" w:fill="FFFFFF"/>
        </w:rPr>
        <w:t>《市场监管总局关于全面推进“双随机、一公开”监管工作的通知》(国市监信</w:t>
      </w:r>
      <w:r>
        <w:rPr>
          <w:rFonts w:hint="eastAsia" w:ascii="宋体" w:hAnsi="宋体" w:eastAsia="宋体" w:cs="宋体"/>
          <w:i w:val="0"/>
          <w:caps w:val="0"/>
          <w:color w:val="333333"/>
          <w:spacing w:val="0"/>
          <w:sz w:val="32"/>
          <w:szCs w:val="32"/>
          <w:shd w:val="clear" w:color="auto" w:fill="FFFFFF"/>
        </w:rPr>
        <w:t>〔2019〕38</w:t>
      </w:r>
      <w:r>
        <w:rPr>
          <w:rFonts w:hint="eastAsia" w:ascii="方正仿宋简体" w:hAnsi="方正仿宋简体" w:eastAsia="方正仿宋简体" w:cs="方正仿宋简体"/>
          <w:i w:val="0"/>
          <w:caps w:val="0"/>
          <w:color w:val="333333"/>
          <w:spacing w:val="0"/>
          <w:sz w:val="32"/>
          <w:szCs w:val="32"/>
          <w:shd w:val="clear" w:color="auto" w:fill="FFFFFF"/>
        </w:rPr>
        <w:t>号)等有关文件精神，结合</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我局水利</w:t>
      </w:r>
      <w:r>
        <w:rPr>
          <w:rFonts w:hint="eastAsia" w:ascii="方正仿宋简体" w:hAnsi="方正仿宋简体" w:eastAsia="方正仿宋简体" w:cs="方正仿宋简体"/>
          <w:i w:val="0"/>
          <w:caps w:val="0"/>
          <w:color w:val="333333"/>
          <w:spacing w:val="0"/>
          <w:sz w:val="32"/>
          <w:szCs w:val="32"/>
          <w:shd w:val="clear" w:color="auto" w:fill="FFFFFF"/>
        </w:rPr>
        <w:t>监管工作实际，制定本细则。</w:t>
      </w:r>
    </w:p>
    <w:p w14:paraId="6CE712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楷体_GBK" w:hAnsi="方正楷体_GBK" w:eastAsia="方正楷体_GBK" w:cs="方正楷体_GBK"/>
          <w:i w:val="0"/>
          <w:caps w:val="0"/>
          <w:color w:val="333333"/>
          <w:spacing w:val="0"/>
          <w:sz w:val="32"/>
          <w:szCs w:val="32"/>
          <w:shd w:val="clear" w:color="auto" w:fill="FFFFFF"/>
        </w:rPr>
        <w:t>第二条</w:t>
      </w:r>
      <w:r>
        <w:rPr>
          <w:rFonts w:hint="eastAsia" w:ascii="方正仿宋简体" w:hAnsi="方正仿宋简体" w:eastAsia="方正仿宋简体" w:cs="方正仿宋简体"/>
          <w:i w:val="0"/>
          <w:caps w:val="0"/>
          <w:color w:val="333333"/>
          <w:spacing w:val="0"/>
          <w:sz w:val="32"/>
          <w:szCs w:val="32"/>
          <w:shd w:val="clear" w:color="auto" w:fill="FFFFFF"/>
        </w:rPr>
        <w:t>  本细则所称检查对象</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为</w:t>
      </w:r>
      <w:r>
        <w:rPr>
          <w:rFonts w:hint="eastAsia" w:ascii="方正仿宋简体" w:hAnsi="方正仿宋简体" w:eastAsia="方正仿宋简体" w:cs="方正仿宋简体"/>
          <w:i w:val="0"/>
          <w:caps w:val="0"/>
          <w:color w:val="333333"/>
          <w:spacing w:val="0"/>
          <w:sz w:val="32"/>
          <w:szCs w:val="32"/>
          <w:shd w:val="clear" w:color="auto" w:fill="FFFFFF"/>
        </w:rPr>
        <w:t>市场主体</w:t>
      </w:r>
      <w:r>
        <w:rPr>
          <w:rFonts w:hint="eastAsia" w:ascii="方正仿宋简体" w:hAnsi="方正仿宋简体" w:eastAsia="方正仿宋简体" w:cs="方正仿宋简体"/>
          <w:i w:val="0"/>
          <w:caps w:val="0"/>
          <w:color w:val="333333"/>
          <w:spacing w:val="0"/>
          <w:sz w:val="32"/>
          <w:szCs w:val="32"/>
          <w:shd w:val="clear" w:color="auto" w:fill="FFFFFF"/>
          <w:lang w:eastAsia="zh-CN"/>
        </w:rPr>
        <w:t>，</w:t>
      </w:r>
      <w:r>
        <w:rPr>
          <w:rFonts w:hint="eastAsia" w:ascii="方正仿宋简体" w:hAnsi="方正仿宋简体" w:eastAsia="方正仿宋简体" w:cs="方正仿宋简体"/>
          <w:i w:val="0"/>
          <w:caps w:val="0"/>
          <w:color w:val="333333"/>
          <w:spacing w:val="0"/>
          <w:sz w:val="32"/>
          <w:szCs w:val="32"/>
          <w:shd w:val="clear" w:color="auto" w:fill="FFFFFF"/>
        </w:rPr>
        <w:t>包括</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我局监管对象</w:t>
      </w:r>
      <w:r>
        <w:rPr>
          <w:rFonts w:hint="eastAsia" w:ascii="方正仿宋简体" w:hAnsi="方正仿宋简体" w:eastAsia="方正仿宋简体" w:cs="方正仿宋简体"/>
          <w:i w:val="0"/>
          <w:caps w:val="0"/>
          <w:color w:val="333333"/>
          <w:spacing w:val="0"/>
          <w:sz w:val="32"/>
          <w:szCs w:val="32"/>
          <w:shd w:val="clear" w:color="auto" w:fill="FFFFFF"/>
        </w:rPr>
        <w:t>名录库中的所有企业</w:t>
      </w:r>
      <w:r>
        <w:rPr>
          <w:rFonts w:hint="eastAsia" w:ascii="方正仿宋简体" w:hAnsi="方正仿宋简体" w:eastAsia="方正仿宋简体" w:cs="方正仿宋简体"/>
          <w:i w:val="0"/>
          <w:caps w:val="0"/>
          <w:color w:val="333333"/>
          <w:spacing w:val="0"/>
          <w:sz w:val="32"/>
          <w:szCs w:val="32"/>
          <w:shd w:val="clear" w:color="auto" w:fill="FFFFFF"/>
          <w:lang w:eastAsia="zh-CN"/>
        </w:rPr>
        <w:t>。</w:t>
      </w:r>
      <w:r>
        <w:rPr>
          <w:rFonts w:hint="eastAsia" w:ascii="方正仿宋简体" w:hAnsi="方正仿宋简体" w:eastAsia="方正仿宋简体" w:cs="方正仿宋简体"/>
          <w:i w:val="0"/>
          <w:caps w:val="0"/>
          <w:color w:val="333333"/>
          <w:spacing w:val="0"/>
          <w:sz w:val="32"/>
          <w:szCs w:val="32"/>
          <w:shd w:val="clear" w:color="auto" w:fill="FFFFFF"/>
        </w:rPr>
        <w:t>市场主体是指经行政审批部门、市场监管部门登记注册的有限责任公司、股份有限公司、非公司企业法人、合伙企业、个人独资企业、农民专业合作社及其分支机构，个体工商户，在中国境内从事生产经营活动的外国(地区)企业。</w:t>
      </w:r>
    </w:p>
    <w:p w14:paraId="109FDA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第三条</w:t>
      </w:r>
      <w:r>
        <w:rPr>
          <w:rFonts w:hint="eastAsia" w:ascii="方正楷体简体" w:hAnsi="方正楷体简体" w:eastAsia="方正楷体简体" w:cs="方正楷体简体"/>
          <w:i w:val="0"/>
          <w:caps w:val="0"/>
          <w:color w:val="333333"/>
          <w:spacing w:val="0"/>
          <w:sz w:val="32"/>
          <w:szCs w:val="32"/>
          <w:shd w:val="clear" w:color="auto" w:fill="FFFFFF"/>
        </w:rPr>
        <w:t> </w:t>
      </w:r>
      <w:r>
        <w:rPr>
          <w:rFonts w:hint="eastAsia" w:ascii="方正仿宋简体" w:hAnsi="方正仿宋简体" w:eastAsia="方正仿宋简体" w:cs="方正仿宋简体"/>
          <w:i w:val="0"/>
          <w:caps w:val="0"/>
          <w:color w:val="333333"/>
          <w:spacing w:val="0"/>
          <w:sz w:val="32"/>
          <w:szCs w:val="32"/>
          <w:shd w:val="clear" w:color="auto" w:fill="FFFFFF"/>
        </w:rPr>
        <w:t xml:space="preserve"> 本细则所称“双随机、一公开”抽查，是指</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w:t>
      </w:r>
      <w:r>
        <w:rPr>
          <w:rFonts w:hint="eastAsia" w:ascii="方正仿宋简体" w:hAnsi="方正仿宋简体" w:eastAsia="方正仿宋简体" w:cs="方正仿宋简体"/>
          <w:i w:val="0"/>
          <w:caps w:val="0"/>
          <w:color w:val="333333"/>
          <w:spacing w:val="0"/>
          <w:sz w:val="32"/>
          <w:szCs w:val="32"/>
          <w:shd w:val="clear" w:color="auto" w:fill="FFFFFF"/>
        </w:rPr>
        <w:t>部门根据抽查计划随机抽取检查对象、随机选派执法检查人员，依据</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w:t>
      </w:r>
      <w:r>
        <w:rPr>
          <w:rFonts w:hint="eastAsia" w:ascii="方正仿宋简体" w:hAnsi="方正仿宋简体" w:eastAsia="方正仿宋简体" w:cs="方正仿宋简体"/>
          <w:i w:val="0"/>
          <w:caps w:val="0"/>
          <w:color w:val="333333"/>
          <w:spacing w:val="0"/>
          <w:sz w:val="32"/>
          <w:szCs w:val="32"/>
          <w:shd w:val="clear" w:color="auto" w:fill="FFFFFF"/>
        </w:rPr>
        <w:t>部门随机抽查事项清单对检查对象进行检查，并公开检查结果的监督检查活动。</w:t>
      </w:r>
    </w:p>
    <w:p w14:paraId="74D67E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第四条</w:t>
      </w:r>
      <w:r>
        <w:rPr>
          <w:rFonts w:hint="eastAsia" w:ascii="方正仿宋简体" w:hAnsi="方正仿宋简体" w:eastAsia="方正仿宋简体" w:cs="方正仿宋简体"/>
          <w:i w:val="0"/>
          <w:caps w:val="0"/>
          <w:color w:val="333333"/>
          <w:spacing w:val="0"/>
          <w:sz w:val="32"/>
          <w:szCs w:val="32"/>
          <w:shd w:val="clear" w:color="auto" w:fill="FFFFFF"/>
        </w:rPr>
        <w:t>  “双随机、一公开”工作应当坚持全面覆盖、依法实施、规范透明、注重实效的原则，确保抽查工作依法有序开展。</w:t>
      </w:r>
    </w:p>
    <w:p w14:paraId="3C2678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坚持依法实施。随机抽查应当严格依法进行，法律法规规章没有规定的，一律不得擅自开展。</w:t>
      </w:r>
    </w:p>
    <w:p w14:paraId="1C6E0B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坚持规范透明。严格依法依规开展抽查，确保检查程序规范，检查过程公正、透明。除法律法规明确规定外，抽查计划、抽查事项、抽查结果都要及时、准确、规范向社会公开。</w:t>
      </w:r>
    </w:p>
    <w:p w14:paraId="78E8C8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坚持注重实效。严格制度设计，注重协同配合，突出问题导向、分类监管，避免重复执法，减轻企业负担，降低行政执法成本，提高执法效能。</w:t>
      </w:r>
    </w:p>
    <w:p w14:paraId="48009A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第五条</w:t>
      </w:r>
      <w:r>
        <w:rPr>
          <w:rFonts w:hint="eastAsia" w:ascii="方正仿宋简体" w:hAnsi="方正仿宋简体" w:eastAsia="方正仿宋简体" w:cs="方正仿宋简体"/>
          <w:i w:val="0"/>
          <w:caps w:val="0"/>
          <w:color w:val="333333"/>
          <w:spacing w:val="0"/>
          <w:sz w:val="32"/>
          <w:szCs w:val="32"/>
          <w:shd w:val="clear" w:color="auto" w:fill="FFFFFF"/>
        </w:rPr>
        <w:t xml:space="preserve">  </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水利监管</w:t>
      </w:r>
      <w:r>
        <w:rPr>
          <w:rFonts w:hint="eastAsia" w:ascii="方正仿宋简体" w:hAnsi="方正仿宋简体" w:eastAsia="方正仿宋简体" w:cs="方正仿宋简体"/>
          <w:i w:val="0"/>
          <w:caps w:val="0"/>
          <w:color w:val="333333"/>
          <w:spacing w:val="0"/>
          <w:sz w:val="32"/>
          <w:szCs w:val="32"/>
          <w:shd w:val="clear" w:color="auto" w:fill="FFFFFF"/>
        </w:rPr>
        <w:t>部门应当建立以“双随机、一公开”为基本手段、以重点监管为补充、以信用监管为基础的新型监管机制。</w:t>
      </w:r>
    </w:p>
    <w:p w14:paraId="14AB46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第六条</w:t>
      </w:r>
      <w:r>
        <w:rPr>
          <w:rFonts w:hint="eastAsia" w:ascii="方正仿宋简体" w:hAnsi="方正仿宋简体" w:eastAsia="方正仿宋简体" w:cs="方正仿宋简体"/>
          <w:i w:val="0"/>
          <w:caps w:val="0"/>
          <w:color w:val="333333"/>
          <w:spacing w:val="0"/>
          <w:sz w:val="32"/>
          <w:szCs w:val="32"/>
          <w:shd w:val="clear" w:color="auto" w:fill="FFFFFF"/>
        </w:rPr>
        <w:t>  “双随机、一公开”监管与其它监管的衔接。</w:t>
      </w:r>
    </w:p>
    <w:p w14:paraId="437FA6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（一）凡纳入国家</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水利部</w:t>
      </w:r>
      <w:r>
        <w:rPr>
          <w:rFonts w:hint="eastAsia" w:ascii="方正仿宋简体" w:hAnsi="方正仿宋简体" w:eastAsia="方正仿宋简体" w:cs="方正仿宋简体"/>
          <w:i w:val="0"/>
          <w:caps w:val="0"/>
          <w:color w:val="333333"/>
          <w:spacing w:val="0"/>
          <w:sz w:val="32"/>
          <w:szCs w:val="32"/>
          <w:shd w:val="clear" w:color="auto" w:fill="FFFFFF"/>
        </w:rPr>
        <w:t>、省</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水利厅</w:t>
      </w:r>
      <w:r>
        <w:rPr>
          <w:rFonts w:hint="eastAsia" w:ascii="方正仿宋简体" w:hAnsi="方正仿宋简体" w:eastAsia="方正仿宋简体" w:cs="方正仿宋简体"/>
          <w:i w:val="0"/>
          <w:caps w:val="0"/>
          <w:color w:val="333333"/>
          <w:spacing w:val="0"/>
          <w:sz w:val="32"/>
          <w:szCs w:val="32"/>
          <w:shd w:val="clear" w:color="auto" w:fill="FFFFFF"/>
        </w:rPr>
        <w:t>抽查清单的事项，适用“双随机、一公开”抽查。</w:t>
      </w:r>
    </w:p>
    <w:p w14:paraId="40416A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二</w:t>
      </w:r>
      <w:r>
        <w:rPr>
          <w:rFonts w:hint="eastAsia" w:ascii="方正仿宋简体" w:hAnsi="方正仿宋简体" w:eastAsia="方正仿宋简体" w:cs="方正仿宋简体"/>
          <w:i w:val="0"/>
          <w:caps w:val="0"/>
          <w:color w:val="333333"/>
          <w:spacing w:val="0"/>
          <w:sz w:val="32"/>
          <w:szCs w:val="32"/>
          <w:shd w:val="clear" w:color="auto" w:fill="FFFFFF"/>
        </w:rPr>
        <w:t>）通过被投诉举报、转办交办、大数据监测等发现的具体问题应及时进行检查、处置。</w:t>
      </w:r>
    </w:p>
    <w:p w14:paraId="31D5CB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仿宋简体" w:hAnsi="方正仿宋简体" w:eastAsia="方正仿宋简体" w:cs="方正仿宋简体"/>
          <w:i w:val="0"/>
          <w:caps w:val="0"/>
          <w:color w:val="333333"/>
          <w:spacing w:val="0"/>
          <w:sz w:val="32"/>
          <w:szCs w:val="32"/>
          <w:shd w:val="clear" w:color="auto" w:fill="FFFFFF"/>
        </w:rPr>
        <w:t>（</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三</w:t>
      </w:r>
      <w:r>
        <w:rPr>
          <w:rFonts w:hint="eastAsia" w:ascii="方正仿宋简体" w:hAnsi="方正仿宋简体" w:eastAsia="方正仿宋简体" w:cs="方正仿宋简体"/>
          <w:i w:val="0"/>
          <w:caps w:val="0"/>
          <w:color w:val="333333"/>
          <w:spacing w:val="0"/>
          <w:sz w:val="32"/>
          <w:szCs w:val="32"/>
          <w:shd w:val="clear" w:color="auto" w:fill="FFFFFF"/>
        </w:rPr>
        <w:t>）对随机抽查事项涉及的监管领域，原则上不再部署专项检查和“全覆盖”式巡查。</w:t>
      </w:r>
    </w:p>
    <w:p w14:paraId="4E218A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p>
    <w:p w14:paraId="64EF8A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640" w:firstLineChars="200"/>
        <w:jc w:val="center"/>
        <w:textAlignment w:val="baseline"/>
        <w:rPr>
          <w:rStyle w:val="9"/>
          <w:rFonts w:hint="eastAsia" w:ascii="方正黑体_GBK" w:hAnsi="方正黑体_GBK" w:eastAsia="方正黑体_GBK" w:cs="方正黑体_GBK"/>
          <w:b w:val="0"/>
          <w:bCs w:val="0"/>
          <w:i w:val="0"/>
          <w:caps w:val="0"/>
          <w:color w:val="333333"/>
          <w:spacing w:val="0"/>
          <w:sz w:val="32"/>
          <w:szCs w:val="32"/>
          <w:shd w:val="clear" w:color="auto" w:fill="FFFFFF"/>
        </w:rPr>
      </w:pPr>
      <w:r>
        <w:rPr>
          <w:rStyle w:val="9"/>
          <w:rFonts w:hint="eastAsia" w:ascii="方正黑体_GBK" w:hAnsi="方正黑体_GBK" w:eastAsia="方正黑体_GBK" w:cs="方正黑体_GBK"/>
          <w:b w:val="0"/>
          <w:bCs w:val="0"/>
          <w:i w:val="0"/>
          <w:caps w:val="0"/>
          <w:color w:val="333333"/>
          <w:spacing w:val="0"/>
          <w:sz w:val="32"/>
          <w:szCs w:val="32"/>
          <w:shd w:val="clear" w:color="auto" w:fill="FFFFFF"/>
        </w:rPr>
        <w:t>第二章  职责分工</w:t>
      </w:r>
    </w:p>
    <w:p w14:paraId="60B103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480" w:firstLineChars="200"/>
        <w:jc w:val="left"/>
        <w:rPr>
          <w:rFonts w:hint="eastAsia" w:ascii="微软雅黑" w:hAnsi="微软雅黑" w:eastAsia="微软雅黑" w:cs="微软雅黑"/>
          <w:i w:val="0"/>
          <w:caps w:val="0"/>
          <w:color w:val="333333"/>
          <w:spacing w:val="0"/>
          <w:sz w:val="24"/>
          <w:szCs w:val="24"/>
        </w:rPr>
      </w:pPr>
    </w:p>
    <w:p w14:paraId="3F9E5C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第七条</w:t>
      </w:r>
      <w:r>
        <w:rPr>
          <w:rFonts w:hint="eastAsia" w:ascii="方正仿宋简体" w:hAnsi="方正仿宋简体" w:eastAsia="方正仿宋简体" w:cs="方正仿宋简体"/>
          <w:i w:val="0"/>
          <w:caps w:val="0"/>
          <w:color w:val="333333"/>
          <w:spacing w:val="0"/>
          <w:sz w:val="32"/>
          <w:szCs w:val="32"/>
          <w:shd w:val="clear" w:color="auto" w:fill="FFFFFF"/>
        </w:rPr>
        <w:t xml:space="preserve">  </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区水利局按照上级要求合理制定本级抽查工作计划，并组织实施本领域“双随机、一公开”抽查</w:t>
      </w:r>
      <w:r>
        <w:rPr>
          <w:rFonts w:hint="eastAsia" w:ascii="方正仿宋简体" w:hAnsi="方正仿宋简体" w:eastAsia="方正仿宋简体" w:cs="方正仿宋简体"/>
          <w:i w:val="0"/>
          <w:caps w:val="0"/>
          <w:color w:val="333333"/>
          <w:spacing w:val="0"/>
          <w:sz w:val="32"/>
          <w:szCs w:val="32"/>
          <w:shd w:val="clear" w:color="auto" w:fill="FFFFFF"/>
        </w:rPr>
        <w:t>工作，</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我局水政水资源</w:t>
      </w:r>
      <w:r>
        <w:rPr>
          <w:rFonts w:hint="eastAsia" w:ascii="方正仿宋简体" w:hAnsi="方正仿宋简体" w:eastAsia="方正仿宋简体" w:cs="方正仿宋简体"/>
          <w:i w:val="0"/>
          <w:caps w:val="0"/>
          <w:color w:val="333333"/>
          <w:spacing w:val="0"/>
          <w:sz w:val="32"/>
          <w:szCs w:val="32"/>
          <w:shd w:val="clear" w:color="auto" w:fill="FFFFFF"/>
          <w:lang w:eastAsia="zh-CN"/>
        </w:rPr>
        <w:t>科</w:t>
      </w:r>
      <w:r>
        <w:rPr>
          <w:rFonts w:hint="eastAsia" w:ascii="方正仿宋简体" w:hAnsi="方正仿宋简体" w:eastAsia="方正仿宋简体" w:cs="方正仿宋简体"/>
          <w:i w:val="0"/>
          <w:caps w:val="0"/>
          <w:color w:val="333333"/>
          <w:spacing w:val="0"/>
          <w:sz w:val="32"/>
          <w:szCs w:val="32"/>
          <w:shd w:val="clear" w:color="auto" w:fill="FFFFFF"/>
        </w:rPr>
        <w:t>负责牵头本级“双随机、一公开”监管工作，组织、指导、协调相关工作落实，统筹协调双随机抽查工作的制度机制建设和年度抽查工作计划的制定，</w:t>
      </w:r>
      <w:r>
        <w:rPr>
          <w:rFonts w:hint="eastAsia" w:ascii="方正仿宋简体" w:hAnsi="方正仿宋简体" w:eastAsia="方正仿宋简体" w:cs="方正仿宋简体"/>
          <w:i w:val="0"/>
          <w:caps w:val="0"/>
          <w:color w:val="333333"/>
          <w:spacing w:val="0"/>
          <w:sz w:val="32"/>
          <w:szCs w:val="32"/>
          <w:shd w:val="clear" w:color="auto" w:fill="FFFFFF"/>
          <w:lang w:eastAsia="zh-CN"/>
        </w:rPr>
        <w:t>及时</w:t>
      </w:r>
      <w:r>
        <w:rPr>
          <w:rFonts w:hint="eastAsia" w:ascii="方正仿宋简体" w:hAnsi="方正仿宋简体" w:eastAsia="方正仿宋简体" w:cs="方正仿宋简体"/>
          <w:i w:val="0"/>
          <w:caps w:val="0"/>
          <w:color w:val="333333"/>
          <w:spacing w:val="0"/>
          <w:sz w:val="32"/>
          <w:szCs w:val="32"/>
          <w:shd w:val="clear" w:color="auto" w:fill="FFFFFF"/>
        </w:rPr>
        <w:t>社会公示，并根据工作实际进行动态调整；</w:t>
      </w:r>
      <w:r>
        <w:rPr>
          <w:rFonts w:hint="eastAsia" w:ascii="方正仿宋简体" w:hAnsi="方正仿宋简体" w:eastAsia="方正仿宋简体" w:cs="方正仿宋简体"/>
          <w:i w:val="0"/>
          <w:caps w:val="0"/>
          <w:color w:val="333333"/>
          <w:spacing w:val="0"/>
          <w:sz w:val="32"/>
          <w:szCs w:val="32"/>
          <w:shd w:val="clear" w:color="auto" w:fill="FFFFFF"/>
          <w:lang w:eastAsia="zh-CN"/>
        </w:rPr>
        <w:t>各相关业务科室</w:t>
      </w:r>
      <w:r>
        <w:rPr>
          <w:rFonts w:hint="eastAsia" w:ascii="方正仿宋简体" w:hAnsi="方正仿宋简体" w:eastAsia="方正仿宋简体" w:cs="方正仿宋简体"/>
          <w:i w:val="0"/>
          <w:caps w:val="0"/>
          <w:color w:val="333333"/>
          <w:spacing w:val="0"/>
          <w:sz w:val="32"/>
          <w:szCs w:val="32"/>
          <w:shd w:val="clear" w:color="auto" w:fill="FFFFFF"/>
        </w:rPr>
        <w:t>按照年度抽查工作计划的安排，负责牵头组织、参与双随机抽查工作，并对本业务领域双随机抽查工作进行业务指导。</w:t>
      </w:r>
    </w:p>
    <w:p w14:paraId="311D23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第八条</w:t>
      </w:r>
      <w:r>
        <w:rPr>
          <w:rFonts w:hint="eastAsia" w:ascii="方正仿宋简体" w:hAnsi="方正仿宋简体" w:eastAsia="方正仿宋简体" w:cs="方正仿宋简体"/>
          <w:i w:val="0"/>
          <w:caps w:val="0"/>
          <w:color w:val="333333"/>
          <w:spacing w:val="0"/>
          <w:sz w:val="32"/>
          <w:szCs w:val="32"/>
          <w:shd w:val="clear" w:color="auto" w:fill="FFFFFF"/>
        </w:rPr>
        <w:t xml:space="preserve">  </w:t>
      </w:r>
      <w:r>
        <w:rPr>
          <w:rFonts w:hint="eastAsia" w:ascii="方正仿宋简体" w:hAnsi="方正仿宋简体" w:eastAsia="方正仿宋简体" w:cs="方正仿宋简体"/>
          <w:i w:val="0"/>
          <w:caps w:val="0"/>
          <w:color w:val="333333"/>
          <w:spacing w:val="0"/>
          <w:sz w:val="32"/>
          <w:szCs w:val="32"/>
          <w:shd w:val="clear" w:color="auto" w:fill="FFFFFF"/>
          <w:lang w:eastAsia="zh-CN"/>
        </w:rPr>
        <w:t>区</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水利局</w:t>
      </w:r>
      <w:r>
        <w:rPr>
          <w:rFonts w:hint="eastAsia" w:ascii="方正仿宋简体" w:hAnsi="方正仿宋简体" w:eastAsia="方正仿宋简体" w:cs="方正仿宋简体"/>
          <w:i w:val="0"/>
          <w:caps w:val="0"/>
          <w:color w:val="333333"/>
          <w:spacing w:val="0"/>
          <w:sz w:val="32"/>
          <w:szCs w:val="32"/>
          <w:shd w:val="clear" w:color="auto" w:fill="FFFFFF"/>
          <w:lang w:eastAsia="zh-CN"/>
        </w:rPr>
        <w:t>根据自身职能认领</w:t>
      </w:r>
      <w:r>
        <w:rPr>
          <w:rFonts w:hint="eastAsia" w:ascii="方正仿宋简体" w:hAnsi="方正仿宋简体" w:eastAsia="方正仿宋简体" w:cs="方正仿宋简体"/>
          <w:i w:val="0"/>
          <w:caps w:val="0"/>
          <w:color w:val="333333"/>
          <w:spacing w:val="0"/>
          <w:sz w:val="32"/>
          <w:szCs w:val="32"/>
          <w:shd w:val="clear" w:color="auto" w:fill="FFFFFF"/>
        </w:rPr>
        <w:t>省</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水利厅</w:t>
      </w:r>
      <w:r>
        <w:rPr>
          <w:rFonts w:hint="eastAsia" w:ascii="方正仿宋简体" w:hAnsi="方正仿宋简体" w:eastAsia="方正仿宋简体" w:cs="方正仿宋简体"/>
          <w:i w:val="0"/>
          <w:caps w:val="0"/>
          <w:color w:val="333333"/>
          <w:spacing w:val="0"/>
          <w:sz w:val="32"/>
          <w:szCs w:val="32"/>
          <w:shd w:val="clear" w:color="auto" w:fill="FFFFFF"/>
        </w:rPr>
        <w:t>清单</w:t>
      </w:r>
      <w:r>
        <w:rPr>
          <w:rFonts w:hint="eastAsia" w:ascii="方正仿宋简体" w:hAnsi="方正仿宋简体" w:eastAsia="方正仿宋简体" w:cs="方正仿宋简体"/>
          <w:i w:val="0"/>
          <w:caps w:val="0"/>
          <w:color w:val="333333"/>
          <w:spacing w:val="0"/>
          <w:sz w:val="32"/>
          <w:szCs w:val="32"/>
          <w:shd w:val="clear" w:color="auto" w:fill="FFFFFF"/>
          <w:lang w:eastAsia="zh-CN"/>
        </w:rPr>
        <w:t>，</w:t>
      </w:r>
      <w:r>
        <w:rPr>
          <w:rFonts w:hint="eastAsia" w:ascii="方正仿宋简体" w:hAnsi="方正仿宋简体" w:eastAsia="方正仿宋简体" w:cs="方正仿宋简体"/>
          <w:i w:val="0"/>
          <w:caps w:val="0"/>
          <w:color w:val="333333"/>
          <w:spacing w:val="0"/>
          <w:sz w:val="32"/>
          <w:szCs w:val="32"/>
          <w:shd w:val="clear" w:color="auto" w:fill="FFFFFF"/>
        </w:rPr>
        <w:t>对</w:t>
      </w:r>
      <w:r>
        <w:rPr>
          <w:rFonts w:hint="eastAsia" w:ascii="方正仿宋简体" w:hAnsi="方正仿宋简体" w:eastAsia="方正仿宋简体" w:cs="方正仿宋简体"/>
          <w:i w:val="0"/>
          <w:caps w:val="0"/>
          <w:color w:val="333333"/>
          <w:spacing w:val="0"/>
          <w:sz w:val="32"/>
          <w:szCs w:val="32"/>
          <w:shd w:val="clear" w:color="auto" w:fill="FFFFFF"/>
          <w:lang w:eastAsia="zh-CN"/>
        </w:rPr>
        <w:t>本级</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w:t>
      </w:r>
      <w:r>
        <w:rPr>
          <w:rFonts w:hint="eastAsia" w:ascii="方正仿宋简体" w:hAnsi="方正仿宋简体" w:eastAsia="方正仿宋简体" w:cs="方正仿宋简体"/>
          <w:i w:val="0"/>
          <w:caps w:val="0"/>
          <w:color w:val="333333"/>
          <w:spacing w:val="0"/>
          <w:sz w:val="32"/>
          <w:szCs w:val="32"/>
          <w:shd w:val="clear" w:color="auto" w:fill="FFFFFF"/>
        </w:rPr>
        <w:t>监管系统随机抽查事项清单实行动态管理。</w:t>
      </w:r>
    </w:p>
    <w:p w14:paraId="65B329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第九条</w:t>
      </w:r>
      <w:r>
        <w:rPr>
          <w:rFonts w:hint="eastAsia" w:ascii="方正仿宋简体" w:hAnsi="方正仿宋简体" w:eastAsia="方正仿宋简体" w:cs="方正仿宋简体"/>
          <w:i w:val="0"/>
          <w:caps w:val="0"/>
          <w:color w:val="333333"/>
          <w:spacing w:val="0"/>
          <w:sz w:val="32"/>
          <w:szCs w:val="32"/>
          <w:shd w:val="clear" w:color="auto" w:fill="FFFFFF"/>
        </w:rPr>
        <w:t>  依托河北省</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水资源与节水平</w:t>
      </w:r>
      <w:bookmarkStart w:id="0" w:name="_GoBack"/>
      <w:bookmarkEnd w:id="0"/>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台</w:t>
      </w:r>
      <w:r>
        <w:rPr>
          <w:rFonts w:hint="eastAsia" w:ascii="方正仿宋简体" w:hAnsi="方正仿宋简体" w:eastAsia="方正仿宋简体" w:cs="方正仿宋简体"/>
          <w:i w:val="0"/>
          <w:caps w:val="0"/>
          <w:color w:val="333333"/>
          <w:spacing w:val="0"/>
          <w:sz w:val="32"/>
          <w:szCs w:val="32"/>
          <w:shd w:val="clear" w:color="auto" w:fill="FFFFFF"/>
        </w:rPr>
        <w:t>建立相关业务领域涉及市场主体的检查对象名录库。依托河北省双随机监管工作平台建立本级执法检查人员名录库。</w:t>
      </w:r>
    </w:p>
    <w:p w14:paraId="57762E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应将具有执法资格并从事相关监管和执法的工作人员纳入执法检查人员名录库，在录入执法检查人员基本信息的基础上，按照执法资质、业务专长等进行分类标注</w:t>
      </w:r>
      <w:r>
        <w:rPr>
          <w:rFonts w:hint="eastAsia" w:ascii="方正仿宋简体" w:hAnsi="方正仿宋简体" w:eastAsia="方正仿宋简体" w:cs="方正仿宋简体"/>
          <w:i w:val="0"/>
          <w:caps w:val="0"/>
          <w:color w:val="333333"/>
          <w:spacing w:val="0"/>
          <w:sz w:val="32"/>
          <w:szCs w:val="32"/>
          <w:shd w:val="clear" w:color="auto" w:fill="FFFFFF"/>
          <w:lang w:eastAsia="zh-CN"/>
        </w:rPr>
        <w:t>，</w:t>
      </w:r>
      <w:r>
        <w:rPr>
          <w:rFonts w:hint="eastAsia" w:ascii="方正仿宋简体" w:hAnsi="方正仿宋简体" w:eastAsia="方正仿宋简体" w:cs="方正仿宋简体"/>
          <w:i w:val="0"/>
          <w:caps w:val="0"/>
          <w:color w:val="333333"/>
          <w:spacing w:val="0"/>
          <w:sz w:val="32"/>
          <w:szCs w:val="32"/>
          <w:shd w:val="clear" w:color="auto" w:fill="FFFFFF"/>
        </w:rPr>
        <w:t>对本级的检查对象名录库和执法检查人员名录库实施动态管理。</w:t>
      </w:r>
    </w:p>
    <w:p w14:paraId="0DB05F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i w:val="0"/>
          <w:caps w:val="0"/>
          <w:color w:val="333333"/>
          <w:spacing w:val="0"/>
          <w:sz w:val="32"/>
          <w:szCs w:val="32"/>
        </w:rPr>
      </w:pPr>
    </w:p>
    <w:p w14:paraId="256408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640" w:firstLineChars="200"/>
        <w:jc w:val="center"/>
        <w:textAlignment w:val="baseline"/>
        <w:rPr>
          <w:rStyle w:val="9"/>
          <w:rFonts w:hint="eastAsia" w:ascii="方正黑体_GBK" w:hAnsi="方正黑体_GBK" w:eastAsia="方正黑体_GBK" w:cs="方正黑体_GBK"/>
          <w:b w:val="0"/>
          <w:bCs w:val="0"/>
          <w:i w:val="0"/>
          <w:caps w:val="0"/>
          <w:color w:val="333333"/>
          <w:spacing w:val="0"/>
          <w:sz w:val="32"/>
          <w:szCs w:val="32"/>
          <w:shd w:val="clear" w:color="auto" w:fill="FFFFFF"/>
        </w:rPr>
      </w:pPr>
      <w:r>
        <w:rPr>
          <w:rStyle w:val="9"/>
          <w:rFonts w:hint="eastAsia" w:ascii="方正黑体_GBK" w:hAnsi="方正黑体_GBK" w:eastAsia="方正黑体_GBK" w:cs="方正黑体_GBK"/>
          <w:b w:val="0"/>
          <w:bCs w:val="0"/>
          <w:i w:val="0"/>
          <w:caps w:val="0"/>
          <w:color w:val="333333"/>
          <w:spacing w:val="0"/>
          <w:sz w:val="32"/>
          <w:szCs w:val="32"/>
          <w:shd w:val="clear" w:color="auto" w:fill="FFFFFF"/>
        </w:rPr>
        <w:t>第三章  抽取实施</w:t>
      </w:r>
    </w:p>
    <w:p w14:paraId="0CDAA9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i w:val="0"/>
          <w:caps w:val="0"/>
          <w:color w:val="333333"/>
          <w:spacing w:val="0"/>
          <w:sz w:val="32"/>
          <w:szCs w:val="32"/>
        </w:rPr>
      </w:pPr>
    </w:p>
    <w:p w14:paraId="5E900C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第十条 </w:t>
      </w:r>
      <w:r>
        <w:rPr>
          <w:rFonts w:hint="eastAsia" w:ascii="方正仿宋简体" w:hAnsi="方正仿宋简体" w:eastAsia="方正仿宋简体" w:cs="方正仿宋简体"/>
          <w:i w:val="0"/>
          <w:caps w:val="0"/>
          <w:color w:val="333333"/>
          <w:spacing w:val="0"/>
          <w:sz w:val="32"/>
          <w:szCs w:val="32"/>
          <w:shd w:val="clear" w:color="auto" w:fill="FFFFFF"/>
        </w:rPr>
        <w:t xml:space="preserve"> 随机抽查分为不定向抽查和定向抽查。</w:t>
      </w:r>
    </w:p>
    <w:p w14:paraId="52BF96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不定向抽查是指对抽取对象不设定条件，采取随机抽取方式，确定被检查对象，并对其实施的监督检查。</w:t>
      </w:r>
    </w:p>
    <w:p w14:paraId="10FD20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定向抽查是指根据本级人民政府和上级部门检查的要求、消费者投诉集中的行业、社会关注的热点、焦点、大数据分析的风险点等情况，按照所属行业、地理区域等特定条件，随机抽取检查对象，对其实施的监督检查。</w:t>
      </w:r>
    </w:p>
    <w:p w14:paraId="5896E7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我</w:t>
      </w:r>
      <w:r>
        <w:rPr>
          <w:rFonts w:hint="eastAsia" w:ascii="方正仿宋简体" w:hAnsi="方正仿宋简体" w:eastAsia="方正仿宋简体" w:cs="方正仿宋简体"/>
          <w:i w:val="0"/>
          <w:caps w:val="0"/>
          <w:color w:val="333333"/>
          <w:spacing w:val="0"/>
          <w:sz w:val="32"/>
          <w:szCs w:val="32"/>
          <w:shd w:val="clear" w:color="auto" w:fill="FFFFFF"/>
          <w:lang w:eastAsia="zh-CN"/>
        </w:rPr>
        <w:t>局</w:t>
      </w:r>
      <w:r>
        <w:rPr>
          <w:rFonts w:hint="eastAsia" w:ascii="方正仿宋简体" w:hAnsi="方正仿宋简体" w:eastAsia="方正仿宋简体" w:cs="方正仿宋简体"/>
          <w:i w:val="0"/>
          <w:caps w:val="0"/>
          <w:color w:val="333333"/>
          <w:spacing w:val="0"/>
          <w:sz w:val="32"/>
          <w:szCs w:val="32"/>
          <w:shd w:val="clear" w:color="auto" w:fill="FFFFFF"/>
        </w:rPr>
        <w:t>在一次抽查中可以整合定向和不定向抽查开展综合性抽查。</w:t>
      </w:r>
    </w:p>
    <w:p w14:paraId="5C4F81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第十一条 </w:t>
      </w:r>
      <w:r>
        <w:rPr>
          <w:rFonts w:hint="eastAsia" w:ascii="方正仿宋简体" w:hAnsi="方正仿宋简体" w:eastAsia="方正仿宋简体" w:cs="方正仿宋简体"/>
          <w:i w:val="0"/>
          <w:caps w:val="0"/>
          <w:color w:val="333333"/>
          <w:spacing w:val="0"/>
          <w:sz w:val="32"/>
          <w:szCs w:val="32"/>
          <w:shd w:val="clear" w:color="auto" w:fill="FFFFFF"/>
        </w:rPr>
        <w:t xml:space="preserve"> 年度抽查工作计划中计划抽取的检查对象数量应不低于国家市场监督管理总局要求的比例。年度抽查工作计划应向社会公开，包括抽查计划名称、抽查类型、抽查事项、抽查对象范围、计划开展时间等内容。</w:t>
      </w:r>
    </w:p>
    <w:p w14:paraId="0D0562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lang w:eastAsia="zh-CN"/>
        </w:rPr>
        <w:t>区</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水利局</w:t>
      </w:r>
      <w:r>
        <w:rPr>
          <w:rFonts w:hint="eastAsia" w:ascii="方正仿宋简体" w:hAnsi="方正仿宋简体" w:eastAsia="方正仿宋简体" w:cs="方正仿宋简体"/>
          <w:i w:val="0"/>
          <w:caps w:val="0"/>
          <w:color w:val="333333"/>
          <w:spacing w:val="0"/>
          <w:sz w:val="32"/>
          <w:szCs w:val="32"/>
          <w:shd w:val="clear" w:color="auto" w:fill="FFFFFF"/>
        </w:rPr>
        <w:t>于每年1月底前，将本年度随机抽查工作计划报送</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区双随机监管工作领导小组办公室</w:t>
      </w:r>
      <w:r>
        <w:rPr>
          <w:rFonts w:hint="eastAsia" w:ascii="方正仿宋简体" w:hAnsi="方正仿宋简体" w:eastAsia="方正仿宋简体" w:cs="方正仿宋简体"/>
          <w:i w:val="0"/>
          <w:caps w:val="0"/>
          <w:color w:val="333333"/>
          <w:spacing w:val="0"/>
          <w:sz w:val="32"/>
          <w:szCs w:val="32"/>
          <w:shd w:val="clear" w:color="auto" w:fill="FFFFFF"/>
        </w:rPr>
        <w:t>。年度抽查工作计划有调整的，应在作出调整七个工作日内及时报送并公示更新后的工作计划。</w:t>
      </w:r>
    </w:p>
    <w:p w14:paraId="4E1628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应当根据当地经济社会发展和</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w:t>
      </w:r>
      <w:r>
        <w:rPr>
          <w:rFonts w:hint="eastAsia" w:ascii="方正仿宋简体" w:hAnsi="方正仿宋简体" w:eastAsia="方正仿宋简体" w:cs="方正仿宋简体"/>
          <w:i w:val="0"/>
          <w:caps w:val="0"/>
          <w:color w:val="333333"/>
          <w:spacing w:val="0"/>
          <w:sz w:val="32"/>
          <w:szCs w:val="32"/>
          <w:shd w:val="clear" w:color="auto" w:fill="FFFFFF"/>
        </w:rPr>
        <w:t>监管实际情况，合理确定随机抽查的比例和频次，既保证必要的抽查覆盖面和工作力度，又防止检查过多和执法扰民。对投诉举报多、列入经营异常名录或者有严重违法违规记录，以及涉及人民群众生命财产安全的重点区域、重点领域、重点行业的检查对象，应当增加抽查比例和频次。</w:t>
      </w:r>
    </w:p>
    <w:p w14:paraId="7F8B7D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第十二条</w:t>
      </w:r>
      <w:r>
        <w:rPr>
          <w:rFonts w:hint="eastAsia" w:ascii="方正仿宋简体" w:hAnsi="方正仿宋简体" w:eastAsia="方正仿宋简体" w:cs="方正仿宋简体"/>
          <w:i w:val="0"/>
          <w:caps w:val="0"/>
          <w:color w:val="333333"/>
          <w:spacing w:val="0"/>
          <w:sz w:val="32"/>
          <w:szCs w:val="32"/>
          <w:shd w:val="clear" w:color="auto" w:fill="FFFFFF"/>
        </w:rPr>
        <w:t>  在具体实施抽查前，应将抽查方案向社会公开。</w:t>
      </w:r>
    </w:p>
    <w:p w14:paraId="5E7DD6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抽查检查对象名单，应当按照抽查比例等条件从检查对象名录库中随机抽取，并从本级执法检查人员名录库中随机匹配执法检查人员。应综合考虑所辖区域地理环境、人员配备、业务专长、保障水平等客观因素，因地制宜确定大随机、小随机、编组随机、交叉随机等选派方式。随机抽取的执法人员无法独立完成抽查事项的，由执法检查人员所在部门选派专业人员协助指导完成抽查检查工作。    </w:t>
      </w:r>
    </w:p>
    <w:p w14:paraId="3AAAC7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被随机选派的执法检查人员与被检查的检查对象有利害关系的，应当按照回避原则予以调整。</w:t>
      </w:r>
    </w:p>
    <w:p w14:paraId="246160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第十三条</w:t>
      </w:r>
      <w:r>
        <w:rPr>
          <w:rFonts w:hint="eastAsia" w:ascii="方正仿宋简体" w:hAnsi="方正仿宋简体" w:eastAsia="方正仿宋简体" w:cs="方正仿宋简体"/>
          <w:i w:val="0"/>
          <w:caps w:val="0"/>
          <w:color w:val="333333"/>
          <w:spacing w:val="0"/>
          <w:sz w:val="32"/>
          <w:szCs w:val="32"/>
          <w:shd w:val="clear" w:color="auto" w:fill="FFFFFF"/>
        </w:rPr>
        <w:t>  实施内部联合抽查，对同一检查对象的多个检查事项，应当一次性完成，提高执法效能，减轻检查对象负担。</w:t>
      </w:r>
    </w:p>
    <w:p w14:paraId="03C2D2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第十四条</w:t>
      </w:r>
      <w:r>
        <w:rPr>
          <w:rFonts w:hint="eastAsia" w:ascii="方正仿宋简体" w:hAnsi="方正仿宋简体" w:eastAsia="方正仿宋简体" w:cs="方正仿宋简体"/>
          <w:i w:val="0"/>
          <w:caps w:val="0"/>
          <w:color w:val="333333"/>
          <w:spacing w:val="0"/>
          <w:sz w:val="32"/>
          <w:szCs w:val="32"/>
          <w:shd w:val="clear" w:color="auto" w:fill="FFFFFF"/>
        </w:rPr>
        <w:t>  可以邀请纪检监察机构监督抽查名单的抽取过程，并根据实际情况邀请人大代表、政协委员、新闻媒体记者和检查对象代表现场监督。</w:t>
      </w:r>
    </w:p>
    <w:p w14:paraId="4F632E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i w:val="0"/>
          <w:caps w:val="0"/>
          <w:color w:val="333333"/>
          <w:spacing w:val="0"/>
          <w:sz w:val="32"/>
          <w:szCs w:val="32"/>
        </w:rPr>
      </w:pPr>
    </w:p>
    <w:p w14:paraId="457DDC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640" w:firstLineChars="200"/>
        <w:jc w:val="center"/>
        <w:textAlignment w:val="baseline"/>
        <w:rPr>
          <w:rStyle w:val="9"/>
          <w:rFonts w:hint="eastAsia" w:ascii="方正黑体_GBK" w:hAnsi="方正黑体_GBK" w:eastAsia="方正黑体_GBK" w:cs="方正黑体_GBK"/>
          <w:b w:val="0"/>
          <w:bCs w:val="0"/>
          <w:i w:val="0"/>
          <w:caps w:val="0"/>
          <w:color w:val="333333"/>
          <w:spacing w:val="0"/>
          <w:sz w:val="32"/>
          <w:szCs w:val="32"/>
          <w:shd w:val="clear" w:color="auto" w:fill="FFFFFF"/>
        </w:rPr>
      </w:pPr>
      <w:r>
        <w:rPr>
          <w:rStyle w:val="9"/>
          <w:rFonts w:hint="eastAsia" w:ascii="方正黑体_GBK" w:hAnsi="方正黑体_GBK" w:eastAsia="方正黑体_GBK" w:cs="方正黑体_GBK"/>
          <w:b w:val="0"/>
          <w:bCs w:val="0"/>
          <w:i w:val="0"/>
          <w:caps w:val="0"/>
          <w:color w:val="333333"/>
          <w:spacing w:val="0"/>
          <w:sz w:val="32"/>
          <w:szCs w:val="32"/>
          <w:shd w:val="clear" w:color="auto" w:fill="FFFFFF"/>
        </w:rPr>
        <w:t>第四章  检查程序</w:t>
      </w:r>
    </w:p>
    <w:p w14:paraId="17A751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i w:val="0"/>
          <w:caps w:val="0"/>
          <w:color w:val="333333"/>
          <w:spacing w:val="0"/>
          <w:sz w:val="32"/>
          <w:szCs w:val="32"/>
        </w:rPr>
      </w:pPr>
    </w:p>
    <w:p w14:paraId="106BC5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第十五条 </w:t>
      </w:r>
      <w:r>
        <w:rPr>
          <w:rFonts w:hint="eastAsia" w:ascii="方正仿宋简体" w:hAnsi="方正仿宋简体" w:eastAsia="方正仿宋简体" w:cs="方正仿宋简体"/>
          <w:i w:val="0"/>
          <w:caps w:val="0"/>
          <w:color w:val="333333"/>
          <w:spacing w:val="0"/>
          <w:sz w:val="32"/>
          <w:szCs w:val="32"/>
          <w:shd w:val="clear" w:color="auto" w:fill="FFFFFF"/>
        </w:rPr>
        <w:t xml:space="preserve"> 实施检查时，应当严格依照抽查事项清单进行。执法检查人员不得少于两人，并出示执法证件。</w:t>
      </w:r>
    </w:p>
    <w:p w14:paraId="150EBB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第十六条</w:t>
      </w:r>
      <w:r>
        <w:rPr>
          <w:rFonts w:hint="eastAsia" w:ascii="方正仿宋简体" w:hAnsi="方正仿宋简体" w:eastAsia="方正仿宋简体" w:cs="方正仿宋简体"/>
          <w:i w:val="0"/>
          <w:caps w:val="0"/>
          <w:color w:val="333333"/>
          <w:spacing w:val="0"/>
          <w:sz w:val="32"/>
          <w:szCs w:val="32"/>
          <w:shd w:val="clear" w:color="auto" w:fill="FFFFFF"/>
        </w:rPr>
        <w:t>  开展抽查时，可以依法采取书面检查、实地核查、网络监测等方式。</w:t>
      </w:r>
    </w:p>
    <w:p w14:paraId="0855BA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第十七条 </w:t>
      </w:r>
      <w:r>
        <w:rPr>
          <w:rFonts w:hint="eastAsia" w:ascii="方正仿宋简体" w:hAnsi="方正仿宋简体" w:eastAsia="方正仿宋简体" w:cs="方正仿宋简体"/>
          <w:i w:val="0"/>
          <w:caps w:val="0"/>
          <w:color w:val="333333"/>
          <w:spacing w:val="0"/>
          <w:sz w:val="32"/>
          <w:szCs w:val="32"/>
          <w:shd w:val="clear" w:color="auto" w:fill="FFFFFF"/>
        </w:rPr>
        <w:t xml:space="preserve"> 执法检查人员对检查对象实地检查时，应当依据法律法规的规定行使职权。</w:t>
      </w:r>
    </w:p>
    <w:p w14:paraId="39086D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第十八条 </w:t>
      </w:r>
      <w:r>
        <w:rPr>
          <w:rFonts w:hint="eastAsia" w:ascii="方正仿宋简体" w:hAnsi="方正仿宋简体" w:eastAsia="方正仿宋简体" w:cs="方正仿宋简体"/>
          <w:i w:val="0"/>
          <w:caps w:val="0"/>
          <w:color w:val="333333"/>
          <w:spacing w:val="0"/>
          <w:sz w:val="32"/>
          <w:szCs w:val="32"/>
          <w:shd w:val="clear" w:color="auto" w:fill="FFFFFF"/>
        </w:rPr>
        <w:t xml:space="preserve"> 执法检查人员对检查对象检查结束后，应当及时填写实地检查记录表等表格。实地检查记录表应当由检查对象法定代表人(负责人)签字或者盖章确认。无法取得签字或者盖章的，应当注明原因，必要时可以邀请有关人员做见证记录。</w:t>
      </w:r>
    </w:p>
    <w:p w14:paraId="2D4F80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执法检查人员应根据实际情况中可能存在的执法风险，采取拍照、录像等方式记录现场检查情况。探索通过手机App、执法记录设备等，实现监管数据可保留，监管痕迹可查询，最大限度提高监管执法效率、降低执法风险、增强执法公正性。</w:t>
      </w:r>
    </w:p>
    <w:p w14:paraId="4B17BA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第十九条</w:t>
      </w:r>
      <w:r>
        <w:rPr>
          <w:rFonts w:hint="eastAsia" w:ascii="方正仿宋简体" w:hAnsi="方正仿宋简体" w:eastAsia="方正仿宋简体" w:cs="方正仿宋简体"/>
          <w:i w:val="0"/>
          <w:caps w:val="0"/>
          <w:color w:val="333333"/>
          <w:spacing w:val="0"/>
          <w:sz w:val="32"/>
          <w:szCs w:val="32"/>
          <w:shd w:val="clear" w:color="auto" w:fill="FFFFFF"/>
        </w:rPr>
        <w:t>  对检查对象实施检查时，应当切实履行法定监管职责，不得妨碍检查对象正常的生产经营活动，不得索取或者收受检查对象的财物，不得谋取其他利益，不得收取或变相收取费用。</w:t>
      </w:r>
    </w:p>
    <w:p w14:paraId="1F4FC6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对抽查工作中失职渎职和违纪的，依法依纪严肃处理。</w:t>
      </w:r>
    </w:p>
    <w:p w14:paraId="6B1D72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left"/>
        <w:rPr>
          <w:rFonts w:hint="eastAsia" w:ascii="方正黑体简体" w:hAnsi="方正黑体简体" w:eastAsia="方正黑体简体" w:cs="方正黑体简体"/>
          <w:i w:val="0"/>
          <w:caps w:val="0"/>
          <w:color w:val="333333"/>
          <w:spacing w:val="0"/>
          <w:sz w:val="32"/>
          <w:szCs w:val="32"/>
        </w:rPr>
      </w:pPr>
    </w:p>
    <w:p w14:paraId="69FA34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640" w:firstLineChars="200"/>
        <w:jc w:val="center"/>
        <w:textAlignment w:val="baseline"/>
        <w:rPr>
          <w:rStyle w:val="9"/>
          <w:rFonts w:hint="eastAsia" w:ascii="方正黑体_GBK" w:hAnsi="方正黑体_GBK" w:eastAsia="方正黑体_GBK" w:cs="方正黑体_GBK"/>
          <w:b w:val="0"/>
          <w:bCs w:val="0"/>
          <w:i w:val="0"/>
          <w:caps w:val="0"/>
          <w:color w:val="333333"/>
          <w:spacing w:val="0"/>
          <w:sz w:val="32"/>
          <w:szCs w:val="32"/>
          <w:shd w:val="clear" w:color="auto" w:fill="FFFFFF"/>
        </w:rPr>
      </w:pPr>
      <w:r>
        <w:rPr>
          <w:rStyle w:val="9"/>
          <w:rFonts w:hint="eastAsia" w:ascii="方正黑体_GBK" w:hAnsi="方正黑体_GBK" w:eastAsia="方正黑体_GBK" w:cs="方正黑体_GBK"/>
          <w:b w:val="0"/>
          <w:bCs w:val="0"/>
          <w:i w:val="0"/>
          <w:caps w:val="0"/>
          <w:color w:val="333333"/>
          <w:spacing w:val="0"/>
          <w:sz w:val="32"/>
          <w:szCs w:val="32"/>
          <w:shd w:val="clear" w:color="auto" w:fill="FFFFFF"/>
        </w:rPr>
        <w:t>第五章  抽查结果处理</w:t>
      </w:r>
    </w:p>
    <w:p w14:paraId="567FA7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i w:val="0"/>
          <w:caps w:val="0"/>
          <w:color w:val="333333"/>
          <w:spacing w:val="0"/>
          <w:sz w:val="32"/>
          <w:szCs w:val="32"/>
        </w:rPr>
      </w:pPr>
    </w:p>
    <w:p w14:paraId="25156D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 xml:space="preserve">第二十条  </w:t>
      </w:r>
      <w:r>
        <w:rPr>
          <w:rFonts w:hint="eastAsia" w:ascii="方正仿宋简体" w:hAnsi="方正仿宋简体" w:eastAsia="方正仿宋简体" w:cs="方正仿宋简体"/>
          <w:i w:val="0"/>
          <w:caps w:val="0"/>
          <w:color w:val="333333"/>
          <w:spacing w:val="0"/>
          <w:sz w:val="32"/>
          <w:szCs w:val="32"/>
          <w:shd w:val="clear" w:color="auto" w:fill="FFFFFF"/>
        </w:rPr>
        <w:t>按照“谁管辖、谁负责”的原则，对随机抽查中发现的问题实施后续监管，防止监管脱节。做好抽查检查与后续监管工作的衔接，建立健全</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w:t>
      </w:r>
      <w:r>
        <w:rPr>
          <w:rFonts w:hint="eastAsia" w:ascii="方正仿宋简体" w:hAnsi="方正仿宋简体" w:eastAsia="方正仿宋简体" w:cs="方正仿宋简体"/>
          <w:i w:val="0"/>
          <w:caps w:val="0"/>
          <w:color w:val="333333"/>
          <w:spacing w:val="0"/>
          <w:sz w:val="32"/>
          <w:szCs w:val="32"/>
          <w:shd w:val="clear" w:color="auto" w:fill="FFFFFF"/>
        </w:rPr>
        <w:t>监管部门内部的问题线索移送机制，将发现的违法线索及时交由相关业务职责的机构处理。抽查检查中发现检查对象存在应列入经营异常名录、标记为经营异常状态情形的，不得用责令改正、行政指导代替列入经营异常名录；发现违法行为符合立案条件的，坚决立案查处，维护双随机抽查的严肃性。</w:t>
      </w:r>
    </w:p>
    <w:p w14:paraId="2808C3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应予立案查处的，按照法律、法规规定的程序进行。</w:t>
      </w:r>
    </w:p>
    <w:p w14:paraId="0FFFF5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属于其他行政机关管辖的，应当依法移送其他具有管辖权的机关处理。</w:t>
      </w:r>
    </w:p>
    <w:p w14:paraId="4AB60C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涉嫌犯罪的，依法移送司法机关。</w:t>
      </w:r>
    </w:p>
    <w:p w14:paraId="15C571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第二十一条 </w:t>
      </w:r>
      <w:r>
        <w:rPr>
          <w:rFonts w:hint="eastAsia" w:ascii="方正仿宋简体" w:hAnsi="方正仿宋简体" w:eastAsia="方正仿宋简体" w:cs="方正仿宋简体"/>
          <w:i w:val="0"/>
          <w:caps w:val="0"/>
          <w:color w:val="333333"/>
          <w:spacing w:val="0"/>
          <w:sz w:val="32"/>
          <w:szCs w:val="32"/>
          <w:shd w:val="clear" w:color="auto" w:fill="FFFFFF"/>
        </w:rPr>
        <w:t xml:space="preserve"> 在抽查中检查对象有下列不予配合情形的，应当将检查对象名称以及不予配合检查次数、时间、情形等信息，通过国家企业信用信息公示系统(河北)予以公示。情节严重的，依据法律法规进行处罚。</w:t>
      </w:r>
    </w:p>
    <w:p w14:paraId="0650F1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（一）拒绝检查人员或者其委托的专业机构进入被检查场所的；</w:t>
      </w:r>
    </w:p>
    <w:p w14:paraId="63E828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（二）拒绝向检查人员或者其委托的专业机构提供相关材料的；</w:t>
      </w:r>
    </w:p>
    <w:p w14:paraId="5AD956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（三）不如实或者不按要求提供情况或者相关材料的；</w:t>
      </w:r>
    </w:p>
    <w:p w14:paraId="210EA3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（四）其他阻挠、妨碍检查工作的行为，致使检查工作无法正常进行的。</w:t>
      </w:r>
    </w:p>
    <w:p w14:paraId="5E0E4B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第二十二条</w:t>
      </w:r>
      <w:r>
        <w:rPr>
          <w:rFonts w:hint="eastAsia" w:ascii="方正仿宋简体" w:hAnsi="方正仿宋简体" w:eastAsia="方正仿宋简体" w:cs="方正仿宋简体"/>
          <w:i w:val="0"/>
          <w:caps w:val="0"/>
          <w:color w:val="333333"/>
          <w:spacing w:val="0"/>
          <w:sz w:val="32"/>
          <w:szCs w:val="32"/>
          <w:shd w:val="clear" w:color="auto" w:fill="FFFFFF"/>
        </w:rPr>
        <w:t>  执法检查人员应当将检查结果录入河北省</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双随机监管平台</w:t>
      </w:r>
      <w:r>
        <w:rPr>
          <w:rFonts w:hint="eastAsia" w:ascii="方正仿宋简体" w:hAnsi="方正仿宋简体" w:eastAsia="方正仿宋简体" w:cs="方正仿宋简体"/>
          <w:i w:val="0"/>
          <w:caps w:val="0"/>
          <w:color w:val="333333"/>
          <w:spacing w:val="0"/>
          <w:sz w:val="32"/>
          <w:szCs w:val="32"/>
          <w:shd w:val="clear" w:color="auto" w:fill="FFFFFF"/>
        </w:rPr>
        <w:t>，抽查检查结果信息包括未发现问题、未按规定公示应当公示的信息、公示信息隐瞒真实情况弄虚作假、通过登记的住所(经营场所)无法联系、发现问题已责令改正、不配合检查情节严重、未发现开展本次抽查涉及的经营活动、发现问题待后续处理等</w:t>
      </w:r>
      <w:r>
        <w:rPr>
          <w:rFonts w:hint="eastAsia" w:ascii="宋体" w:hAnsi="宋体" w:eastAsia="宋体" w:cs="宋体"/>
          <w:i w:val="0"/>
          <w:caps w:val="0"/>
          <w:color w:val="333333"/>
          <w:spacing w:val="0"/>
          <w:sz w:val="32"/>
          <w:szCs w:val="32"/>
          <w:shd w:val="clear" w:color="auto" w:fill="FFFFFF"/>
        </w:rPr>
        <w:t>8</w:t>
      </w:r>
      <w:r>
        <w:rPr>
          <w:rFonts w:hint="eastAsia" w:ascii="方正仿宋简体" w:hAnsi="方正仿宋简体" w:eastAsia="方正仿宋简体" w:cs="方正仿宋简体"/>
          <w:i w:val="0"/>
          <w:caps w:val="0"/>
          <w:color w:val="333333"/>
          <w:spacing w:val="0"/>
          <w:sz w:val="32"/>
          <w:szCs w:val="32"/>
          <w:shd w:val="clear" w:color="auto" w:fill="FFFFFF"/>
        </w:rPr>
        <w:t>类。</w:t>
      </w:r>
    </w:p>
    <w:p w14:paraId="62A726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在抽查检查完成之日起</w:t>
      </w:r>
      <w:r>
        <w:rPr>
          <w:rFonts w:hint="eastAsia" w:ascii="宋体" w:hAnsi="宋体" w:eastAsia="宋体" w:cs="宋体"/>
          <w:i w:val="0"/>
          <w:caps w:val="0"/>
          <w:color w:val="333333"/>
          <w:spacing w:val="0"/>
          <w:sz w:val="32"/>
          <w:szCs w:val="32"/>
          <w:shd w:val="clear" w:color="auto" w:fill="FFFFFF"/>
        </w:rPr>
        <w:t>20</w:t>
      </w:r>
      <w:r>
        <w:rPr>
          <w:rFonts w:hint="eastAsia" w:ascii="方正仿宋简体" w:hAnsi="方正仿宋简体" w:eastAsia="方正仿宋简体" w:cs="方正仿宋简体"/>
          <w:i w:val="0"/>
          <w:caps w:val="0"/>
          <w:color w:val="333333"/>
          <w:spacing w:val="0"/>
          <w:sz w:val="32"/>
          <w:szCs w:val="32"/>
          <w:shd w:val="clear" w:color="auto" w:fill="FFFFFF"/>
        </w:rPr>
        <w:t>个工作日内，按照“谁检查、谁录入”的原则，履行审批程序后，将抽查检查结果录入并归集到检查对象名下，通过公示系统向社会公示，接受社会监督。</w:t>
      </w:r>
    </w:p>
    <w:p w14:paraId="102070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已实施检查但未进行公示的，视为未完成抽查检查。</w:t>
      </w:r>
    </w:p>
    <w:p w14:paraId="625B12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抽查检查结果的公示只针对检查行为本身，后续对检查对象作出的列入经营异常名录、行政处罚等监管执法结果信息应按照规定的程序作出处理后另行依法向社会公示。</w:t>
      </w:r>
    </w:p>
    <w:p w14:paraId="4D5BFF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color="auto" w:fill="FFFFFF"/>
        </w:rPr>
        <w:t> </w:t>
      </w:r>
    </w:p>
    <w:p w14:paraId="7CDABD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640" w:firstLineChars="200"/>
        <w:jc w:val="center"/>
        <w:textAlignment w:val="baseline"/>
        <w:rPr>
          <w:rStyle w:val="9"/>
          <w:rFonts w:hint="eastAsia" w:ascii="方正黑体_GBK" w:hAnsi="方正黑体_GBK" w:eastAsia="方正黑体_GBK" w:cs="方正黑体_GBK"/>
          <w:b w:val="0"/>
          <w:bCs w:val="0"/>
          <w:i w:val="0"/>
          <w:caps w:val="0"/>
          <w:color w:val="333333"/>
          <w:spacing w:val="0"/>
          <w:sz w:val="32"/>
          <w:szCs w:val="32"/>
          <w:shd w:val="clear" w:color="auto" w:fill="FFFFFF"/>
        </w:rPr>
      </w:pPr>
      <w:r>
        <w:rPr>
          <w:rStyle w:val="9"/>
          <w:rFonts w:hint="eastAsia" w:ascii="方正黑体_GBK" w:hAnsi="方正黑体_GBK" w:eastAsia="方正黑体_GBK" w:cs="方正黑体_GBK"/>
          <w:b w:val="0"/>
          <w:bCs w:val="0"/>
          <w:i w:val="0"/>
          <w:caps w:val="0"/>
          <w:color w:val="333333"/>
          <w:spacing w:val="0"/>
          <w:sz w:val="32"/>
          <w:szCs w:val="32"/>
          <w:shd w:val="clear" w:color="auto" w:fill="FFFFFF"/>
        </w:rPr>
        <w:t>第六章  抽查结果运用</w:t>
      </w:r>
    </w:p>
    <w:p w14:paraId="788923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i w:val="0"/>
          <w:caps w:val="0"/>
          <w:color w:val="333333"/>
          <w:spacing w:val="0"/>
          <w:sz w:val="32"/>
          <w:szCs w:val="32"/>
        </w:rPr>
      </w:pPr>
    </w:p>
    <w:p w14:paraId="47E177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第二十三条</w:t>
      </w:r>
      <w:r>
        <w:rPr>
          <w:rFonts w:hint="eastAsia" w:ascii="方正仿宋简体" w:hAnsi="方正仿宋简体" w:eastAsia="方正仿宋简体" w:cs="方正仿宋简体"/>
          <w:i w:val="0"/>
          <w:caps w:val="0"/>
          <w:color w:val="333333"/>
          <w:spacing w:val="0"/>
          <w:sz w:val="32"/>
          <w:szCs w:val="32"/>
          <w:shd w:val="clear" w:color="auto" w:fill="FFFFFF"/>
        </w:rPr>
        <w:t>  随机抽查结果纳入检查对象信用记录,对根据抽查结果被列入企业经营异常名录、严重违法失信企业名单的检查对象，严格依法落实内部联合惩戒。</w:t>
      </w:r>
    </w:p>
    <w:p w14:paraId="520E36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rPr>
      </w:pPr>
      <w:r>
        <w:rPr>
          <w:rFonts w:hint="eastAsia" w:ascii="方正楷体简体" w:hAnsi="方正楷体简体" w:eastAsia="方正楷体简体" w:cs="方正楷体简体"/>
          <w:i w:val="0"/>
          <w:caps w:val="0"/>
          <w:color w:val="333333"/>
          <w:spacing w:val="0"/>
          <w:sz w:val="32"/>
          <w:szCs w:val="32"/>
          <w:shd w:val="clear" w:color="auto" w:fill="FFFFFF"/>
        </w:rPr>
        <w:t>第二十四条</w:t>
      </w:r>
      <w:r>
        <w:rPr>
          <w:rFonts w:hint="eastAsia" w:ascii="方正仿宋简体" w:hAnsi="方正仿宋简体" w:eastAsia="方正仿宋简体" w:cs="方正仿宋简体"/>
          <w:i w:val="0"/>
          <w:caps w:val="0"/>
          <w:color w:val="333333"/>
          <w:spacing w:val="0"/>
          <w:sz w:val="32"/>
          <w:szCs w:val="32"/>
          <w:shd w:val="clear" w:color="auto" w:fill="FFFFFF"/>
        </w:rPr>
        <w:t>  建立健全跨部门联动响应机制。对在抽查中发现违法行为被列入企业经营异常名录、严重违法失信企业名单的检查对象，及时将其信息推送至国家企业信用信息公示系统(部门协同监管平台—河北)，供相关部门在经营、投融资、取得政府供应土地、进出口、出入境、注册新公司、招投标、政府采购、获得荣誉、安全许可、生产经营许可、从业任职资格、资质审核等工作中，作为重要考量因素，依法予以限制或禁入，形成“一处违法，处处受限”的失信联合惩戒机制。</w:t>
      </w:r>
    </w:p>
    <w:p w14:paraId="116619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i w:val="0"/>
          <w:caps w:val="0"/>
          <w:color w:val="333333"/>
          <w:spacing w:val="0"/>
          <w:sz w:val="32"/>
          <w:szCs w:val="32"/>
        </w:rPr>
      </w:pPr>
    </w:p>
    <w:p w14:paraId="4B1B0E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70" w:lineRule="exact"/>
        <w:ind w:left="0" w:right="0" w:firstLine="640" w:firstLineChars="200"/>
        <w:jc w:val="center"/>
        <w:textAlignment w:val="baseline"/>
        <w:rPr>
          <w:rStyle w:val="9"/>
          <w:rFonts w:hint="eastAsia" w:ascii="方正黑体_GBK" w:hAnsi="方正黑体_GBK" w:eastAsia="方正黑体_GBK" w:cs="方正黑体_GBK"/>
          <w:b w:val="0"/>
          <w:bCs w:val="0"/>
          <w:i w:val="0"/>
          <w:caps w:val="0"/>
          <w:color w:val="333333"/>
          <w:spacing w:val="0"/>
          <w:sz w:val="32"/>
          <w:szCs w:val="32"/>
          <w:shd w:val="clear" w:color="auto" w:fill="FFFFFF"/>
        </w:rPr>
      </w:pPr>
      <w:r>
        <w:rPr>
          <w:rStyle w:val="9"/>
          <w:rFonts w:hint="eastAsia" w:ascii="方正黑体_GBK" w:hAnsi="方正黑体_GBK" w:eastAsia="方正黑体_GBK" w:cs="方正黑体_GBK"/>
          <w:b w:val="0"/>
          <w:bCs w:val="0"/>
          <w:i w:val="0"/>
          <w:caps w:val="0"/>
          <w:color w:val="333333"/>
          <w:spacing w:val="0"/>
          <w:sz w:val="32"/>
          <w:szCs w:val="32"/>
          <w:shd w:val="clear" w:color="auto" w:fill="FFFFFF"/>
        </w:rPr>
        <w:t>第</w:t>
      </w:r>
      <w:r>
        <w:rPr>
          <w:rStyle w:val="9"/>
          <w:rFonts w:hint="eastAsia" w:ascii="方正黑体_GBK" w:hAnsi="方正黑体_GBK" w:eastAsia="方正黑体_GBK" w:cs="方正黑体_GBK"/>
          <w:b w:val="0"/>
          <w:bCs w:val="0"/>
          <w:i w:val="0"/>
          <w:caps w:val="0"/>
          <w:color w:val="333333"/>
          <w:spacing w:val="0"/>
          <w:sz w:val="32"/>
          <w:szCs w:val="32"/>
          <w:shd w:val="clear" w:color="auto" w:fill="FFFFFF"/>
          <w:lang w:val="en-US" w:eastAsia="zh-CN"/>
        </w:rPr>
        <w:t>七</w:t>
      </w:r>
      <w:r>
        <w:rPr>
          <w:rStyle w:val="9"/>
          <w:rFonts w:hint="eastAsia" w:ascii="方正黑体_GBK" w:hAnsi="方正黑体_GBK" w:eastAsia="方正黑体_GBK" w:cs="方正黑体_GBK"/>
          <w:b w:val="0"/>
          <w:bCs w:val="0"/>
          <w:i w:val="0"/>
          <w:caps w:val="0"/>
          <w:color w:val="333333"/>
          <w:spacing w:val="0"/>
          <w:sz w:val="32"/>
          <w:szCs w:val="32"/>
          <w:shd w:val="clear" w:color="auto" w:fill="FFFFFF"/>
        </w:rPr>
        <w:t>章  附  则</w:t>
      </w:r>
    </w:p>
    <w:p w14:paraId="329413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i w:val="0"/>
          <w:caps w:val="0"/>
          <w:color w:val="333333"/>
          <w:spacing w:val="0"/>
          <w:sz w:val="32"/>
          <w:szCs w:val="32"/>
        </w:rPr>
      </w:pPr>
    </w:p>
    <w:p w14:paraId="28AE9D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snapToGrid/>
        <w:spacing w:before="0" w:beforeAutospacing="0" w:after="0" w:afterAutospacing="0" w:line="570" w:lineRule="exact"/>
        <w:ind w:left="0" w:right="0" w:firstLine="640" w:firstLineChars="200"/>
        <w:jc w:val="both"/>
        <w:rPr>
          <w:rFonts w:hint="eastAsia" w:ascii="方正仿宋简体" w:hAnsi="方正仿宋简体" w:eastAsia="方正仿宋简体" w:cs="方正仿宋简体"/>
          <w:i w:val="0"/>
          <w:caps w:val="0"/>
          <w:color w:val="333333"/>
          <w:spacing w:val="0"/>
          <w:sz w:val="32"/>
          <w:szCs w:val="32"/>
          <w:shd w:val="clear" w:color="auto" w:fill="FFFFFF"/>
          <w:lang w:eastAsia="zh-CN"/>
        </w:rPr>
      </w:pPr>
      <w:r>
        <w:rPr>
          <w:rFonts w:hint="eastAsia" w:ascii="方正楷体简体" w:hAnsi="方正楷体简体" w:eastAsia="方正楷体简体" w:cs="方正楷体简体"/>
          <w:i w:val="0"/>
          <w:caps w:val="0"/>
          <w:color w:val="333333"/>
          <w:spacing w:val="0"/>
          <w:sz w:val="32"/>
          <w:szCs w:val="32"/>
          <w:shd w:val="clear" w:color="auto" w:fill="FFFFFF"/>
        </w:rPr>
        <w:t>第二十</w:t>
      </w:r>
      <w:r>
        <w:rPr>
          <w:rFonts w:hint="eastAsia" w:ascii="方正楷体简体" w:hAnsi="方正楷体简体" w:eastAsia="方正楷体简体" w:cs="方正楷体简体"/>
          <w:i w:val="0"/>
          <w:caps w:val="0"/>
          <w:color w:val="333333"/>
          <w:spacing w:val="0"/>
          <w:sz w:val="32"/>
          <w:szCs w:val="32"/>
          <w:shd w:val="clear" w:color="auto" w:fill="FFFFFF"/>
          <w:lang w:val="en-US" w:eastAsia="zh-CN"/>
        </w:rPr>
        <w:t>五</w:t>
      </w:r>
      <w:r>
        <w:rPr>
          <w:rFonts w:hint="eastAsia" w:ascii="方正楷体简体" w:hAnsi="方正楷体简体" w:eastAsia="方正楷体简体" w:cs="方正楷体简体"/>
          <w:i w:val="0"/>
          <w:caps w:val="0"/>
          <w:color w:val="333333"/>
          <w:spacing w:val="0"/>
          <w:sz w:val="32"/>
          <w:szCs w:val="32"/>
          <w:shd w:val="clear" w:color="auto" w:fill="FFFFFF"/>
        </w:rPr>
        <w:t>条 </w:t>
      </w:r>
      <w:r>
        <w:rPr>
          <w:rFonts w:hint="eastAsia" w:ascii="方正仿宋简体" w:hAnsi="方正仿宋简体" w:eastAsia="方正仿宋简体" w:cs="方正仿宋简体"/>
          <w:i w:val="0"/>
          <w:caps w:val="0"/>
          <w:color w:val="333333"/>
          <w:spacing w:val="0"/>
          <w:sz w:val="32"/>
          <w:szCs w:val="32"/>
          <w:shd w:val="clear" w:color="auto" w:fill="FFFFFF"/>
        </w:rPr>
        <w:t xml:space="preserve"> 本细则具体解释工作由</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丰润</w:t>
      </w:r>
      <w:r>
        <w:rPr>
          <w:rFonts w:hint="eastAsia" w:ascii="方正仿宋简体" w:hAnsi="方正仿宋简体" w:eastAsia="方正仿宋简体" w:cs="方正仿宋简体"/>
          <w:i w:val="0"/>
          <w:caps w:val="0"/>
          <w:color w:val="333333"/>
          <w:spacing w:val="0"/>
          <w:sz w:val="32"/>
          <w:szCs w:val="32"/>
          <w:shd w:val="clear" w:color="auto" w:fill="FFFFFF"/>
          <w:lang w:eastAsia="zh-CN"/>
        </w:rPr>
        <w:t>区</w:t>
      </w: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水利</w:t>
      </w:r>
      <w:r>
        <w:rPr>
          <w:rFonts w:hint="eastAsia" w:ascii="方正仿宋简体" w:hAnsi="方正仿宋简体" w:eastAsia="方正仿宋简体" w:cs="方正仿宋简体"/>
          <w:i w:val="0"/>
          <w:caps w:val="0"/>
          <w:color w:val="333333"/>
          <w:spacing w:val="0"/>
          <w:sz w:val="32"/>
          <w:szCs w:val="32"/>
          <w:shd w:val="clear" w:color="auto" w:fill="FFFFFF"/>
        </w:rPr>
        <w:t>局负</w:t>
      </w:r>
      <w:r>
        <w:rPr>
          <w:rFonts w:hint="eastAsia" w:ascii="方正仿宋简体" w:hAnsi="方正仿宋简体" w:eastAsia="方正仿宋简体" w:cs="方正仿宋简体"/>
          <w:i w:val="0"/>
          <w:caps w:val="0"/>
          <w:color w:val="333333"/>
          <w:spacing w:val="0"/>
          <w:sz w:val="32"/>
          <w:szCs w:val="32"/>
          <w:shd w:val="clear" w:color="auto" w:fill="FFFFFF"/>
          <w:lang w:eastAsia="zh-CN"/>
        </w:rPr>
        <w:t>责解释。</w:t>
      </w:r>
    </w:p>
    <w:p w14:paraId="095AA7F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楷体简体" w:hAnsi="方正楷体简体" w:eastAsia="方正楷体简体" w:cs="方正楷体简体"/>
          <w:i w:val="0"/>
          <w:caps w:val="0"/>
          <w:color w:val="333333"/>
          <w:spacing w:val="0"/>
          <w:sz w:val="32"/>
          <w:szCs w:val="32"/>
          <w:shd w:val="clear" w:color="auto" w:fill="FFFFFF"/>
        </w:rPr>
        <w:t>第</w:t>
      </w:r>
      <w:r>
        <w:rPr>
          <w:rFonts w:hint="eastAsia" w:ascii="方正楷体简体" w:hAnsi="方正楷体简体" w:eastAsia="方正楷体简体" w:cs="方正楷体简体"/>
          <w:i w:val="0"/>
          <w:caps w:val="0"/>
          <w:color w:val="333333"/>
          <w:spacing w:val="0"/>
          <w:sz w:val="32"/>
          <w:szCs w:val="32"/>
          <w:shd w:val="clear" w:color="auto" w:fill="FFFFFF"/>
          <w:lang w:val="en-US" w:eastAsia="zh-CN"/>
        </w:rPr>
        <w:t>二十六</w:t>
      </w:r>
      <w:r>
        <w:rPr>
          <w:rFonts w:hint="eastAsia" w:ascii="方正楷体简体" w:hAnsi="方正楷体简体" w:eastAsia="方正楷体简体" w:cs="方正楷体简体"/>
          <w:i w:val="0"/>
          <w:caps w:val="0"/>
          <w:color w:val="333333"/>
          <w:spacing w:val="0"/>
          <w:sz w:val="32"/>
          <w:szCs w:val="32"/>
          <w:shd w:val="clear" w:color="auto" w:fill="FFFFFF"/>
        </w:rPr>
        <w:t>条 </w:t>
      </w:r>
      <w:r>
        <w:rPr>
          <w:rFonts w:hint="eastAsia" w:ascii="方正仿宋简体" w:hAnsi="方正仿宋简体" w:eastAsia="方正仿宋简体" w:cs="方正仿宋简体"/>
          <w:i w:val="0"/>
          <w:caps w:val="0"/>
          <w:color w:val="333333"/>
          <w:spacing w:val="0"/>
          <w:sz w:val="32"/>
          <w:szCs w:val="32"/>
          <w:shd w:val="clear" w:color="auto" w:fill="FFFFFF"/>
        </w:rPr>
        <w:t xml:space="preserve"> 本细则自印发之日起施行。</w:t>
      </w:r>
    </w:p>
    <w:p w14:paraId="5558BB5B">
      <w:pPr>
        <w:spacing w:line="600" w:lineRule="exact"/>
        <w:ind w:firstLine="645"/>
        <w:jc w:val="center"/>
        <w:rPr>
          <w:rFonts w:hint="eastAsia" w:ascii="Times New Roman" w:hAnsi="Times New Roman" w:eastAsia="仿宋" w:cs="Times New Roman"/>
          <w:sz w:val="32"/>
          <w:szCs w:val="32"/>
          <w:lang w:val="en-US" w:eastAsia="zh-CN"/>
        </w:rPr>
      </w:pPr>
    </w:p>
    <w:sectPr>
      <w:footerReference r:id="rId3" w:type="default"/>
      <w:pgSz w:w="11906" w:h="16838"/>
      <w:pgMar w:top="2098" w:right="1474" w:bottom="1984" w:left="1588"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BB0B6F83-6BC0-4989-A4C9-7D7F1AD99C33}"/>
  </w:font>
  <w:font w:name="仿宋">
    <w:panose1 w:val="02010609060101010101"/>
    <w:charset w:val="86"/>
    <w:family w:val="modern"/>
    <w:pitch w:val="default"/>
    <w:sig w:usb0="800002BF" w:usb1="38CF7CFA" w:usb2="00000016" w:usb3="00000000" w:csb0="00040001" w:csb1="00000000"/>
    <w:embedRegular r:id="rId2" w:fontKey="{8D363ABC-AE2B-4753-B588-E9B35B1C3E73}"/>
  </w:font>
  <w:font w:name="方正仿宋简体">
    <w:panose1 w:val="02000000000000000000"/>
    <w:charset w:val="86"/>
    <w:family w:val="script"/>
    <w:pitch w:val="default"/>
    <w:sig w:usb0="00000001" w:usb1="080E0000" w:usb2="00000000" w:usb3="00000000" w:csb0="00040000" w:csb1="00000000"/>
    <w:embedRegular r:id="rId3" w:fontKey="{269C7D79-4B45-43E5-B5BD-76047A2C07A4}"/>
  </w:font>
  <w:font w:name="方正小标宋_GBK">
    <w:panose1 w:val="02000000000000000000"/>
    <w:charset w:val="86"/>
    <w:family w:val="auto"/>
    <w:pitch w:val="default"/>
    <w:sig w:usb0="A00002BF" w:usb1="38CF7CFA" w:usb2="00082016" w:usb3="00000000" w:csb0="00040001" w:csb1="00000000"/>
    <w:embedRegular r:id="rId4" w:fontKey="{39B9D309-ECCF-423D-A0CD-085FBF08E9B7}"/>
  </w:font>
  <w:font w:name="方正黑体_GBK">
    <w:panose1 w:val="02010600010101010101"/>
    <w:charset w:val="86"/>
    <w:family w:val="auto"/>
    <w:pitch w:val="default"/>
    <w:sig w:usb0="00000001" w:usb1="080E0000" w:usb2="00000000" w:usb3="00000000" w:csb0="00040000" w:csb1="00000000"/>
    <w:embedRegular r:id="rId5" w:fontKey="{8225DB91-5F10-44CE-944B-0478FD137EBD}"/>
  </w:font>
  <w:font w:name="方正仿宋_GBK">
    <w:panose1 w:val="02000000000000000000"/>
    <w:charset w:val="86"/>
    <w:family w:val="auto"/>
    <w:pitch w:val="default"/>
    <w:sig w:usb0="A00002BF" w:usb1="38CF7CFA" w:usb2="00082016" w:usb3="00000000" w:csb0="00040001" w:csb1="00000000"/>
    <w:embedRegular r:id="rId6" w:fontKey="{89F426B2-B624-49CB-93BF-7A54F36FFDF1}"/>
  </w:font>
  <w:font w:name="方正楷体_GBK">
    <w:panose1 w:val="02000000000000000000"/>
    <w:charset w:val="86"/>
    <w:family w:val="auto"/>
    <w:pitch w:val="default"/>
    <w:sig w:usb0="800002BF" w:usb1="38CF7CFA" w:usb2="00000016" w:usb3="00000000" w:csb0="00040000" w:csb1="00000000"/>
    <w:embedRegular r:id="rId7" w:fontKey="{92128A51-571F-4959-8D59-B8B00B2F6303}"/>
  </w:font>
  <w:font w:name="方正楷体简体">
    <w:panose1 w:val="02000000000000000000"/>
    <w:charset w:val="86"/>
    <w:family w:val="auto"/>
    <w:pitch w:val="default"/>
    <w:sig w:usb0="00000001" w:usb1="080E0000" w:usb2="00000000" w:usb3="00000000" w:csb0="00040000" w:csb1="00000000"/>
    <w:embedRegular r:id="rId8" w:fontKey="{9073276C-432B-42BF-B074-D3DF6CF61EAC}"/>
  </w:font>
  <w:font w:name="微软雅黑">
    <w:panose1 w:val="020B0503020204020204"/>
    <w:charset w:val="86"/>
    <w:family w:val="auto"/>
    <w:pitch w:val="default"/>
    <w:sig w:usb0="80000287" w:usb1="2ACF3C50" w:usb2="00000016" w:usb3="00000000" w:csb0="0004001F" w:csb1="00000000"/>
    <w:embedRegular r:id="rId9" w:fontKey="{2E7E1407-A8B7-47DE-AEC4-19A7B6560853}"/>
  </w:font>
  <w:font w:name="方正黑体简体">
    <w:panose1 w:val="03000509000000000000"/>
    <w:charset w:val="86"/>
    <w:family w:val="script"/>
    <w:pitch w:val="default"/>
    <w:sig w:usb0="00000001" w:usb1="080E0000" w:usb2="00000000" w:usb3="00000000" w:csb0="00040000" w:csb1="00000000"/>
    <w:embedRegular r:id="rId10" w:fontKey="{36928A36-4119-4B21-8155-EA25CB8AC293}"/>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B45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B4C12">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FB4C12">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605FD03">
                          <w:pPr>
                            <w:pStyle w:val="3"/>
                            <w:rPr>
                              <w:rFonts w:asciiTheme="minorEastAsia" w:hAnsiTheme="minorEastAsia" w:eastAsiaTheme="minorEastAsia" w:cstheme="minorEastAsia"/>
                              <w:sz w:val="28"/>
                              <w:szCs w:val="28"/>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faCC6&#10;7QEAANUDAAAOAAAAAAAAAAEAIAAAAB4BAABkcnMvZTJvRG9jLnhtbFBLBQYAAAAABgAGAFkBAAB9&#10;BQAAAAA=&#10;">
              <v:fill on="f" focussize="0,0"/>
              <v:stroke on="f"/>
              <v:imagedata o:title=""/>
              <o:lock v:ext="edit" aspectratio="f"/>
              <v:textbox inset="0mm,0mm,0mm,0mm" style="mso-fit-shape-to-text:t;">
                <w:txbxContent>
                  <w:p w14:paraId="5605FD03">
                    <w:pPr>
                      <w:pStyle w:val="3"/>
                      <w:rPr>
                        <w:rFonts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NjY2NjE4MjMwNjNhMjI3MDUxZDM0NGVkMTdkNzUifQ=="/>
  </w:docVars>
  <w:rsids>
    <w:rsidRoot w:val="006033E1"/>
    <w:rsid w:val="000105D5"/>
    <w:rsid w:val="00036FBD"/>
    <w:rsid w:val="0006003C"/>
    <w:rsid w:val="000C4BAF"/>
    <w:rsid w:val="000E5D80"/>
    <w:rsid w:val="0015785D"/>
    <w:rsid w:val="00182C53"/>
    <w:rsid w:val="001D2EC7"/>
    <w:rsid w:val="00274EE2"/>
    <w:rsid w:val="00296ED5"/>
    <w:rsid w:val="002C750B"/>
    <w:rsid w:val="002E1B37"/>
    <w:rsid w:val="00342246"/>
    <w:rsid w:val="003851D9"/>
    <w:rsid w:val="003B5EDF"/>
    <w:rsid w:val="003D3836"/>
    <w:rsid w:val="003E5D97"/>
    <w:rsid w:val="003E763C"/>
    <w:rsid w:val="00435634"/>
    <w:rsid w:val="00440209"/>
    <w:rsid w:val="00481519"/>
    <w:rsid w:val="00484A6E"/>
    <w:rsid w:val="005537B9"/>
    <w:rsid w:val="00562507"/>
    <w:rsid w:val="006033E1"/>
    <w:rsid w:val="00610383"/>
    <w:rsid w:val="00621F84"/>
    <w:rsid w:val="006E15B3"/>
    <w:rsid w:val="006F4F2F"/>
    <w:rsid w:val="006F6590"/>
    <w:rsid w:val="00714A00"/>
    <w:rsid w:val="00777B3F"/>
    <w:rsid w:val="00784215"/>
    <w:rsid w:val="007B347C"/>
    <w:rsid w:val="008048AB"/>
    <w:rsid w:val="0081359C"/>
    <w:rsid w:val="00820EDB"/>
    <w:rsid w:val="008460A7"/>
    <w:rsid w:val="0088290D"/>
    <w:rsid w:val="00883705"/>
    <w:rsid w:val="00890B26"/>
    <w:rsid w:val="008B60F1"/>
    <w:rsid w:val="008B6EF1"/>
    <w:rsid w:val="008E22E5"/>
    <w:rsid w:val="0097552C"/>
    <w:rsid w:val="009A13B3"/>
    <w:rsid w:val="009C7A14"/>
    <w:rsid w:val="00A518ED"/>
    <w:rsid w:val="00A5278B"/>
    <w:rsid w:val="00AF4082"/>
    <w:rsid w:val="00B061E0"/>
    <w:rsid w:val="00B36710"/>
    <w:rsid w:val="00BB5922"/>
    <w:rsid w:val="00C90FAB"/>
    <w:rsid w:val="00C92BF1"/>
    <w:rsid w:val="00CE72AE"/>
    <w:rsid w:val="00D011F7"/>
    <w:rsid w:val="00D22ACE"/>
    <w:rsid w:val="00DA6FB3"/>
    <w:rsid w:val="00DB79E5"/>
    <w:rsid w:val="00E6371F"/>
    <w:rsid w:val="00EE20CB"/>
    <w:rsid w:val="00F2008E"/>
    <w:rsid w:val="00F21A96"/>
    <w:rsid w:val="00F63557"/>
    <w:rsid w:val="00F75660"/>
    <w:rsid w:val="00F75E69"/>
    <w:rsid w:val="00FC476B"/>
    <w:rsid w:val="00FD04BD"/>
    <w:rsid w:val="00FD64DA"/>
    <w:rsid w:val="00FD6625"/>
    <w:rsid w:val="01521C8D"/>
    <w:rsid w:val="016A5229"/>
    <w:rsid w:val="03525F75"/>
    <w:rsid w:val="042711AF"/>
    <w:rsid w:val="05F3675B"/>
    <w:rsid w:val="060C68AF"/>
    <w:rsid w:val="0981769B"/>
    <w:rsid w:val="0B21104E"/>
    <w:rsid w:val="0CB657C6"/>
    <w:rsid w:val="0CCB568C"/>
    <w:rsid w:val="0D9D0734"/>
    <w:rsid w:val="0EFC164C"/>
    <w:rsid w:val="0FD85A54"/>
    <w:rsid w:val="10BA53FD"/>
    <w:rsid w:val="113D2012"/>
    <w:rsid w:val="11A26319"/>
    <w:rsid w:val="121865DB"/>
    <w:rsid w:val="13FB7F63"/>
    <w:rsid w:val="150A66AF"/>
    <w:rsid w:val="16A1197B"/>
    <w:rsid w:val="172A4DE7"/>
    <w:rsid w:val="191E4E1F"/>
    <w:rsid w:val="19434DD0"/>
    <w:rsid w:val="1B027E29"/>
    <w:rsid w:val="1BF754B3"/>
    <w:rsid w:val="1C1E6EE4"/>
    <w:rsid w:val="1CF814E3"/>
    <w:rsid w:val="1F275EFE"/>
    <w:rsid w:val="20D14264"/>
    <w:rsid w:val="21D90626"/>
    <w:rsid w:val="220F716F"/>
    <w:rsid w:val="228D0920"/>
    <w:rsid w:val="228F6446"/>
    <w:rsid w:val="23B51EDC"/>
    <w:rsid w:val="24024E60"/>
    <w:rsid w:val="254E4396"/>
    <w:rsid w:val="26040EF9"/>
    <w:rsid w:val="26413EFB"/>
    <w:rsid w:val="26681488"/>
    <w:rsid w:val="26747E2C"/>
    <w:rsid w:val="2694227D"/>
    <w:rsid w:val="26E7346E"/>
    <w:rsid w:val="29087F2D"/>
    <w:rsid w:val="29785E86"/>
    <w:rsid w:val="299802D6"/>
    <w:rsid w:val="29982084"/>
    <w:rsid w:val="29AA0009"/>
    <w:rsid w:val="2AB47879"/>
    <w:rsid w:val="2BF57C61"/>
    <w:rsid w:val="2C060962"/>
    <w:rsid w:val="2D32459D"/>
    <w:rsid w:val="2F1321AD"/>
    <w:rsid w:val="2F522CD5"/>
    <w:rsid w:val="30BD6874"/>
    <w:rsid w:val="30EB518F"/>
    <w:rsid w:val="31E3230A"/>
    <w:rsid w:val="31FE0EF2"/>
    <w:rsid w:val="336B25B7"/>
    <w:rsid w:val="33E660E2"/>
    <w:rsid w:val="365657A0"/>
    <w:rsid w:val="374E6478"/>
    <w:rsid w:val="37A75B88"/>
    <w:rsid w:val="38673C95"/>
    <w:rsid w:val="39EE5CF0"/>
    <w:rsid w:val="3A1F5EA9"/>
    <w:rsid w:val="3AED46AB"/>
    <w:rsid w:val="3B225C51"/>
    <w:rsid w:val="3CD72A6B"/>
    <w:rsid w:val="3D436353"/>
    <w:rsid w:val="3DC54FBA"/>
    <w:rsid w:val="3E2717D1"/>
    <w:rsid w:val="3E8C623B"/>
    <w:rsid w:val="3FAF1A7E"/>
    <w:rsid w:val="41566655"/>
    <w:rsid w:val="416B088F"/>
    <w:rsid w:val="426C1EA8"/>
    <w:rsid w:val="43884ABF"/>
    <w:rsid w:val="446A2417"/>
    <w:rsid w:val="45905EAD"/>
    <w:rsid w:val="45F60406"/>
    <w:rsid w:val="4698326B"/>
    <w:rsid w:val="47027DB5"/>
    <w:rsid w:val="479C4CD6"/>
    <w:rsid w:val="48AE6D76"/>
    <w:rsid w:val="494B2817"/>
    <w:rsid w:val="49CD76D0"/>
    <w:rsid w:val="4A2D3E5B"/>
    <w:rsid w:val="4B313C8F"/>
    <w:rsid w:val="4DEC6676"/>
    <w:rsid w:val="4F6C2B52"/>
    <w:rsid w:val="54520EFE"/>
    <w:rsid w:val="561A5A4B"/>
    <w:rsid w:val="56C47E2E"/>
    <w:rsid w:val="5875340D"/>
    <w:rsid w:val="588269DB"/>
    <w:rsid w:val="592D0E2F"/>
    <w:rsid w:val="59376914"/>
    <w:rsid w:val="5A105AE3"/>
    <w:rsid w:val="5B1A029B"/>
    <w:rsid w:val="5B2D6220"/>
    <w:rsid w:val="5B8A1EE8"/>
    <w:rsid w:val="5BAF6C35"/>
    <w:rsid w:val="5D1C02FB"/>
    <w:rsid w:val="5FC00AE6"/>
    <w:rsid w:val="616207F0"/>
    <w:rsid w:val="6171498D"/>
    <w:rsid w:val="619863BE"/>
    <w:rsid w:val="626A0B09"/>
    <w:rsid w:val="63A1155A"/>
    <w:rsid w:val="64446389"/>
    <w:rsid w:val="64BA21D0"/>
    <w:rsid w:val="66C35C8B"/>
    <w:rsid w:val="679C6C08"/>
    <w:rsid w:val="684E77D6"/>
    <w:rsid w:val="698E432E"/>
    <w:rsid w:val="69D361E5"/>
    <w:rsid w:val="6A252886"/>
    <w:rsid w:val="6A425119"/>
    <w:rsid w:val="6B2F6F8F"/>
    <w:rsid w:val="6BD61FBC"/>
    <w:rsid w:val="6CF070AE"/>
    <w:rsid w:val="6E156D7A"/>
    <w:rsid w:val="6EC10D02"/>
    <w:rsid w:val="6EE449F0"/>
    <w:rsid w:val="6EFD5AB2"/>
    <w:rsid w:val="71461992"/>
    <w:rsid w:val="716B31A7"/>
    <w:rsid w:val="71D074AE"/>
    <w:rsid w:val="72916C3D"/>
    <w:rsid w:val="74C50E20"/>
    <w:rsid w:val="79CB47B2"/>
    <w:rsid w:val="79F857F4"/>
    <w:rsid w:val="7A5C3FD5"/>
    <w:rsid w:val="7C2D5C29"/>
    <w:rsid w:val="7C6444A6"/>
    <w:rsid w:val="7C72188D"/>
    <w:rsid w:val="7C977546"/>
    <w:rsid w:val="7CC320E9"/>
    <w:rsid w:val="7D8C697F"/>
    <w:rsid w:val="7E9E696A"/>
    <w:rsid w:val="7EDE320A"/>
    <w:rsid w:val="7EFE5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20"/>
    </w:pPr>
    <w:rPr>
      <w:rFonts w:ascii="宋体" w:hAnsi="宋体" w:eastAsia="宋体" w:cs="宋体"/>
      <w:sz w:val="42"/>
      <w:szCs w:val="42"/>
      <w:lang w:val="zh-CN" w:eastAsia="zh-CN" w:bidi="zh-CN"/>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next w:val="5"/>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Quote"/>
    <w:basedOn w:val="1"/>
    <w:next w:val="1"/>
    <w:autoRedefine/>
    <w:qFormat/>
    <w:uiPriority w:val="0"/>
    <w:pPr>
      <w:widowControl/>
      <w:wordWrap w:val="0"/>
      <w:spacing w:before="200" w:after="160"/>
      <w:ind w:left="864" w:right="864"/>
      <w:jc w:val="center"/>
    </w:pPr>
    <w:rPr>
      <w:rFonts w:ascii="宋体"/>
      <w:i/>
      <w:color w:val="404040"/>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bCs/>
    </w:rPr>
  </w:style>
  <w:style w:type="paragraph" w:customStyle="1" w:styleId="10">
    <w:name w:val="Normal Indent"/>
    <w:basedOn w:val="1"/>
    <w:autoRedefine/>
    <w:qFormat/>
    <w:uiPriority w:val="0"/>
    <w:pPr>
      <w:ind w:firstLine="420" w:firstLineChars="200"/>
    </w:pPr>
    <w:rPr>
      <w:kern w:val="0"/>
    </w:rPr>
  </w:style>
  <w:style w:type="character" w:customStyle="1" w:styleId="11">
    <w:name w:val="页眉 Char"/>
    <w:basedOn w:val="8"/>
    <w:link w:val="4"/>
    <w:autoRedefine/>
    <w:qFormat/>
    <w:uiPriority w:val="0"/>
    <w:rPr>
      <w:rFonts w:ascii="Calibri" w:hAnsi="Calibri"/>
      <w:kern w:val="2"/>
      <w:sz w:val="18"/>
      <w:szCs w:val="18"/>
    </w:rPr>
  </w:style>
  <w:style w:type="character" w:customStyle="1" w:styleId="12">
    <w:name w:val="页脚 Char"/>
    <w:basedOn w:val="8"/>
    <w:link w:val="3"/>
    <w:autoRedefine/>
    <w:qFormat/>
    <w:uiPriority w:val="0"/>
    <w:rPr>
      <w:rFonts w:ascii="Calibri" w:hAnsi="Calibri"/>
      <w:kern w:val="2"/>
      <w:sz w:val="18"/>
      <w:szCs w:val="18"/>
    </w:rPr>
  </w:style>
  <w:style w:type="paragraph" w:customStyle="1" w:styleId="13">
    <w:name w:val="默认段落字体 Para Char Char Char Char"/>
    <w:basedOn w:val="1"/>
    <w:semiHidden/>
    <w:qFormat/>
    <w:uiPriority w:val="0"/>
    <w:pPr>
      <w:widowControl/>
    </w:pPr>
    <w:rPr>
      <w:rFonts w:ascii="Arial" w:hAnsi="Arial" w:cs="Arial"/>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3738</Words>
  <Characters>3749</Characters>
  <Lines>2</Lines>
  <Paragraphs>1</Paragraphs>
  <TotalTime>14</TotalTime>
  <ScaleCrop>false</ScaleCrop>
  <LinksUpToDate>false</LinksUpToDate>
  <CharactersWithSpaces>3854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2023-07-28T13:15:00Z</dcterms:created>
  <dc:creator>wjc</dc:creator>
  <cp:lastModifiedBy>宇</cp:lastModifiedBy>
  <cp:lastPrinted>2024-07-05T03:15:00Z</cp:lastPrinted>
  <dcterms:modified xsi:type="dcterms:W3CDTF">2025-03-17T02:26:26Z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2B8BB6F9A3964389A98B5BFA0FCC86CE_13</vt:lpwstr>
  </property>
  <property fmtid="{D5CDD505-2E9C-101B-9397-08002B2CF9AE}" pid="4" name="KSOTemplateDocerSaveRecord">
    <vt:lpwstr>eyJoZGlkIjoiMjIzNjY2NjE4MjMwNjNhMjI3MDUxZDM0NGVkMTdkNzUiLCJ1c2VySWQiOiI2NDU0OTY3OTYifQ==</vt:lpwstr>
  </property>
</Properties>
</file>