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B9F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0"/>
          <w:szCs w:val="40"/>
        </w:rPr>
        <w:t>唐山市丰润区应急管理局</w:t>
      </w:r>
    </w:p>
    <w:p w14:paraId="0FC41F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0"/>
          <w:szCs w:val="40"/>
        </w:rPr>
        <w:t>关于202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0"/>
          <w:szCs w:val="40"/>
        </w:rPr>
        <w:t>年度法治政府建设情况报告</w:t>
      </w:r>
    </w:p>
    <w:p w14:paraId="6F7ECA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84"/>
        <w:jc w:val="left"/>
        <w:textAlignment w:val="auto"/>
        <w:rPr>
          <w:rFonts w:ascii="方正仿宋简体" w:hAnsi="宋体" w:eastAsia="方正仿宋简体" w:cs="宋体"/>
          <w:color w:val="333333"/>
          <w:kern w:val="0"/>
          <w:sz w:val="29"/>
          <w:szCs w:val="29"/>
        </w:rPr>
      </w:pPr>
    </w:p>
    <w:p w14:paraId="0C1F8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年，丰润区应急管理局坚持以习近平法治思想为指引，认真贯彻落实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国家和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省、市、区法治政府建设的决策部署，按照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中共中央国务院《法治政府建设实施纲要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年）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》及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唐山市丰润区法治政府建设实施方案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》等文件要求，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法治建设工作紧密围绕职责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坚守原则，统一谋划和部署法治建设工作，贯彻依法行政要求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采取有效措施，着力提升全区应急管理法治化水平，现将工作情况总结如下：</w:t>
      </w:r>
    </w:p>
    <w:p w14:paraId="14F97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一、提高认识</w:t>
      </w:r>
      <w: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压实责任,统筹推进法治政府建设工作</w:t>
      </w:r>
    </w:p>
    <w:p w14:paraId="587EC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压实责任。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局党委统一谋划和部署法治政府建设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局主要领导认真履行法治政府建设第一责任人职责，做到法治建设重要工作亲自部署、重大问题亲自解决、重点环节亲自协调、重要任务亲自督办。时刻坚持以依法执政为核心，以普法教育为先导，以制度建设为保障，以强化内控机制为手段，把法治建设工作贯穿到安全生产、应急管理、防灾救灾减灾等各项工作的全过程和各方面。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完善机制。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认真执行重大行政决策程序规定，不断完善内部管理制度，确保行政决策科学化、民主化、法治化。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三是实行法律顾问制度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与河北民源律师事务所签订律师聘用合同，指导局内的行政执法活动，进一步强化局内决策合法性的审查力度。</w:t>
      </w:r>
    </w:p>
    <w:p w14:paraId="6EC89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二、强化学习，夯实基础，着力提升行政执法规范化能力</w:t>
      </w:r>
    </w:p>
    <w:p w14:paraId="2D317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多层面组织学习。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先后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印发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《唐山市丰润区应急管理局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年度领导干部学法计划》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局党委理论中心组学习安排等文件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，局领导班子带头深入学习领会习近平新时代中国特色社会主义思想、习近平总书记全面依法治国的新理念新思想新战略和《宪法》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新修订的《中华人民共和国安全生产法》等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理论知识和法律法规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，切实提高了依法行政的能力和水平。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二是强化执法队伍建设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加强行政执法人员的岗位培训和相关法律法规知识的培训，组织干部职工积极参加河北干部网络学院中的“专题网班”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年内通过线上与线下相结合的方式共组织培训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次，受训达 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630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余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人次，极大地提高了执法队伍的素质能力。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三是强化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培训督导。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下大力量加强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对赋权到乡镇和街道安全生产行政处罚事项的培训和督导，提升基层行政执法人员的业务水平，确保赋权下放的安全生产行政处罚事项接得住、管得好。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四是进一步规范行政执法案件审理工作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专门成立了局案件审理委员会，切实加强对案件的监督管理、运用制度思维和法治方式，不断提高行政执法案件办理水平。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我局共审查案卷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起，未发生行政复议案件。</w:t>
      </w:r>
      <w:bookmarkStart w:id="0" w:name="_GoBack"/>
      <w:bookmarkEnd w:id="0"/>
    </w:p>
    <w:p w14:paraId="2130C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三、强化监管，文明执法，深入落实安全生产责任</w:t>
      </w:r>
    </w:p>
    <w:p w14:paraId="4E0A7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一是严格落实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三项制度。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进一步修订完善了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《行政执法公示制度》、《行政执法全过程记录》、《重大行政执法决定法制审核制度》三项制度，制定下发了《唐山市丰润区应急管理局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安全生产监督检查计划》，明确执法企业名单，进一步完善执法程序，盯紧执法领域突出问题，推进严格公正文明执法。为落实行政执法全过程记录，将执法过程以行政执法文书、照片、录像等形式进行全过程记录制度，执法过程有痕迹可循。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二是创新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线上+线下”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执法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式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目前，我区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全力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推动视频监控系统常态化运行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891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家企业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5578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个点位已接入平台，实现了线上巡查、线下检查双轨运行。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同时，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严格落实专家常态化隐患排查机制，对原有专家库进行调整完善，入库专家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107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人，累计检查企业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786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家，排查整治问题隐患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1327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项，全部整改完成。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推进温度执法。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贯彻落实新修订的《中华人民共和国行政处罚法》，推进柔性执法，落实首违不罚制度，规范行政处罚行为，提升行政执法满意度。今年以来，累计检查企业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270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家次，排查整改隐患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563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处罚企业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家，处罚相关责任人员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人，共计罚款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130.5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元，整改率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100%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。；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四是“双随机、一公开”监管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实现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常态化。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明确了“双随机抽查”作为一般行业领域的监管方式，并按计划有序开展日常监督检查。按照计划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今年以来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共抽查了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48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家，发现隐患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条，已全部完成整改。</w:t>
      </w:r>
    </w:p>
    <w:p w14:paraId="05937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四、广泛宣传，营造氛围，切实提高全民法律意识</w:t>
      </w:r>
    </w:p>
    <w:p w14:paraId="4AD88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多次组织集中宣传咨询活动。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先后组织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开展了“安全带回家、祥和过大年”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志愿服务和五进活动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“安全生产月”集中宣传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“国际减灾日”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累计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出动车辆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85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台，悬挂条幅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条，展示展板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66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块，发放应急管理法律法规宣传资料、手册、折页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万余张。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二是积极推进举报奖励工作。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在区政府门户网站设置安全生产投诉举报窗口，公布了应急管理部安全生产举报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小程序、举报系统网址、河北省政务服务热线、安全生产热线及区安全生产举报邮箱、举报电话，制定了区安全生产事故、隐患举报受理处置工作规范流程,及时接收处理相应举报事项。同时广泛开展安全生产举报培训和警示教育活动，覆盖了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个社区，累计发放宣传手册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300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余份，张贴宣传海报、展板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314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个，制作悬挂安全生产举报奖励公告牌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763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块。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三是积极开展安全生产“五进”活动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司法局、市场监督管理局、科工局等单位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共同组织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入村、入企宣传活动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；同时执法人员多次走进企业、校园、社区，提供法律服务，宣讲安全生产法律法规安全知识，受众范围约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29000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人次，有效防范化解各类安全风险。</w:t>
      </w:r>
    </w:p>
    <w:p w14:paraId="32A8F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五、直面问题，持续改进，不断推进执法工作制度化、规范化建设</w:t>
      </w:r>
    </w:p>
    <w:p w14:paraId="6E2A4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工作中我们也发现存在个别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干部法治意识淡薄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依法行政工作机制不够完善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等问题，我们将进一步压实责任，细化措施，持续提升法制建设水平。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一是持续开展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法制教育培训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建立常态化学法制度，丰富学习内容和形式，提高法治思维创新能力。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二是强化执法队伍建设。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加强对安全生产行政执法的监督，规范执法检查行为，多渠道、多形式开展执法业务培训，引进具有法律知识和法治工作经验的人才充实执法队伍。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三是强化执法制度建设。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认真总结经验，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完善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制度机制，做到严格公正文明廉洁执法，不断提升执法人员的法律素养和业务能力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扎实推进执法工作制度化、规范化建设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2FE0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right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唐山市丰润区应急管理局</w:t>
      </w:r>
    </w:p>
    <w:p w14:paraId="26633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right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928" w:right="1474" w:bottom="181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B49F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4955540</wp:posOffset>
              </wp:positionH>
              <wp:positionV relativeFrom="paragraph">
                <wp:posOffset>-226060</wp:posOffset>
              </wp:positionV>
              <wp:extent cx="661035" cy="3657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0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06A5B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0.2pt;margin-top:-17.8pt;height:28.8pt;width:52.05pt;mso-position-horizontal-relative:margin;z-index:251659264;mso-width-relative:page;mso-height-relative:page;" filled="f" stroked="f" coordsize="21600,21600" o:gfxdata="UEsDBAoAAAAAAIdO4kAAAAAAAAAAAAAAAAAEAAAAZHJzL1BLAwQUAAAACACHTuJAD9vf9NoAAAAK&#10;AQAADwAAAGRycy9kb3ducmV2LnhtbE2Py07DMBBF90j8gzVI7Fq7oQ1pGqdCCFZIqGlYsHTiaWI1&#10;HofYffD3mBUsR/fo3jPF9moHdsbJG0cSFnMBDKl12lAn4aN+nWXAfFCk1eAIJXyjh215e1OoXLsL&#10;VXjeh47FEvK5ktCHMOac+7ZHq/zcjUgxO7jJqhDPqeN6UpdYbgeeCJFyqwzFhV6N+Nxje9yfrISn&#10;T6pezNd7s6sOlanrtaC39Cjl/d1CbIAFvIY/GH71ozqU0alxJ9KeDRIeM7GMqITZwyoFFoksW66A&#10;NRKSRAAvC/7/hfIHUEsDBBQAAAAIAIdO4kCzgP0ruwEAAHEDAAAOAAAAZHJzL2Uyb0RvYy54bWyt&#10;U0tu2zAQ3RfIHQjua8oJohaC5QCFkaBA0RZIcwCaIi0CJIcgaUu+QHuDrrrpvufyOTqkZefTTRbd&#10;UKOZ0Zv33lCLm9EaspMhanAtnc8qSqQT0Gm3aenDt9u37ymJibuOG3CypXsZ6c3y4s1i8I28hB5M&#10;JwNBEBebwbe0T8k3jEXRS8vjDLx0WFQQLE/4GjasC3xAdGvYZVXVbIDQ+QBCxojZ1bFIJ8TwGkBQ&#10;Sgu5ArG10qUjapCGJ5QUe+0jXRa2SkmRvigVZSKmpag0lROHYLzOJ1sueLMJ3PdaTBT4ayi80GS5&#10;djj0DLXiiZNt0P9AWS0CRFBpJsCyo5DiCKqYVy+8ue+5l0ULWh392fT4/2DF593XQHSHN4ESxy0u&#10;/PDzx+HXn8Pv72Se7Rl8bLDr3mNfGj/AmFunfMRkVj2qYPMT9RCso7n7s7lyTERgsq7n1dU1JQJL&#10;V/X1u7qYzx4/9iGmOwmW5KClAXdXLOW7TzHhQGw9teRZDm61MWV/xj1LYGPOsMz8yDBHaVyPE+01&#10;dHtUYz46dDLfilMQTsH6FGx90Ju+XJtMIQPhJgqZ6dbkVT99L12Pf8ry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A/b3/TaAAAACgEAAA8AAAAAAAAAAQAgAAAAIgAAAGRycy9kb3ducmV2LnhtbFBL&#10;AQIUABQAAAAIAIdO4kCzgP0ruwEAAHE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606A5B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YTkwYmVkMWY4YmI1ZGY1ZGU0MGE0MTM4ZTExMTAifQ=="/>
  </w:docVars>
  <w:rsids>
    <w:rsidRoot w:val="00113E6A"/>
    <w:rsid w:val="00030063"/>
    <w:rsid w:val="00074B23"/>
    <w:rsid w:val="000B4B33"/>
    <w:rsid w:val="000D14EC"/>
    <w:rsid w:val="000E3BE3"/>
    <w:rsid w:val="00113E6A"/>
    <w:rsid w:val="00116FF0"/>
    <w:rsid w:val="0016035D"/>
    <w:rsid w:val="002D16D5"/>
    <w:rsid w:val="002F2C22"/>
    <w:rsid w:val="0033681D"/>
    <w:rsid w:val="00406017"/>
    <w:rsid w:val="0047330F"/>
    <w:rsid w:val="004E45FB"/>
    <w:rsid w:val="005D4DE7"/>
    <w:rsid w:val="006E3B2D"/>
    <w:rsid w:val="006E5043"/>
    <w:rsid w:val="007C23A5"/>
    <w:rsid w:val="007D1F79"/>
    <w:rsid w:val="007E1C2A"/>
    <w:rsid w:val="007F411E"/>
    <w:rsid w:val="008E03E1"/>
    <w:rsid w:val="0091388D"/>
    <w:rsid w:val="00923B2B"/>
    <w:rsid w:val="009F2CAE"/>
    <w:rsid w:val="009F4697"/>
    <w:rsid w:val="009F477B"/>
    <w:rsid w:val="00A07CD0"/>
    <w:rsid w:val="00A17BF7"/>
    <w:rsid w:val="00A221A3"/>
    <w:rsid w:val="00A675E8"/>
    <w:rsid w:val="00AB1FAC"/>
    <w:rsid w:val="00B032EB"/>
    <w:rsid w:val="00B370CD"/>
    <w:rsid w:val="00BB2055"/>
    <w:rsid w:val="00BE1303"/>
    <w:rsid w:val="00C57AC8"/>
    <w:rsid w:val="00C720C5"/>
    <w:rsid w:val="00D12A9C"/>
    <w:rsid w:val="00D459BD"/>
    <w:rsid w:val="00D570B8"/>
    <w:rsid w:val="00D62B7A"/>
    <w:rsid w:val="00D741CB"/>
    <w:rsid w:val="00DA68DC"/>
    <w:rsid w:val="00E00390"/>
    <w:rsid w:val="00E019A7"/>
    <w:rsid w:val="00E07392"/>
    <w:rsid w:val="00E14729"/>
    <w:rsid w:val="00EE56C4"/>
    <w:rsid w:val="00F46362"/>
    <w:rsid w:val="00FC6384"/>
    <w:rsid w:val="00FF45E7"/>
    <w:rsid w:val="01464E7A"/>
    <w:rsid w:val="046D631B"/>
    <w:rsid w:val="04D421CD"/>
    <w:rsid w:val="07D63D89"/>
    <w:rsid w:val="084367D4"/>
    <w:rsid w:val="08C61723"/>
    <w:rsid w:val="08E735F6"/>
    <w:rsid w:val="0AB17A25"/>
    <w:rsid w:val="0CB33F28"/>
    <w:rsid w:val="113C7325"/>
    <w:rsid w:val="11CE0EF5"/>
    <w:rsid w:val="12F32A2B"/>
    <w:rsid w:val="13FD017F"/>
    <w:rsid w:val="15921950"/>
    <w:rsid w:val="18506ACF"/>
    <w:rsid w:val="197973F7"/>
    <w:rsid w:val="1A9B5FFB"/>
    <w:rsid w:val="1B46240B"/>
    <w:rsid w:val="1B8D3B96"/>
    <w:rsid w:val="1BD46F51"/>
    <w:rsid w:val="1EC909CA"/>
    <w:rsid w:val="20515ADA"/>
    <w:rsid w:val="20DE7F4D"/>
    <w:rsid w:val="21F229A5"/>
    <w:rsid w:val="22440A16"/>
    <w:rsid w:val="23B702FF"/>
    <w:rsid w:val="26901EFA"/>
    <w:rsid w:val="289B4E03"/>
    <w:rsid w:val="2ACD0453"/>
    <w:rsid w:val="2BA016C4"/>
    <w:rsid w:val="2DD613CD"/>
    <w:rsid w:val="2EB86D24"/>
    <w:rsid w:val="2F982F65"/>
    <w:rsid w:val="35C62255"/>
    <w:rsid w:val="37883A2E"/>
    <w:rsid w:val="38545D10"/>
    <w:rsid w:val="3A982269"/>
    <w:rsid w:val="3B691AD2"/>
    <w:rsid w:val="3C5F1324"/>
    <w:rsid w:val="3DCE3E6E"/>
    <w:rsid w:val="3F7B0026"/>
    <w:rsid w:val="41354204"/>
    <w:rsid w:val="42B87046"/>
    <w:rsid w:val="48021347"/>
    <w:rsid w:val="49E14F29"/>
    <w:rsid w:val="4CCC1EC1"/>
    <w:rsid w:val="4F626B0C"/>
    <w:rsid w:val="509B4084"/>
    <w:rsid w:val="52E644CE"/>
    <w:rsid w:val="533F5D13"/>
    <w:rsid w:val="5512068D"/>
    <w:rsid w:val="55D342C0"/>
    <w:rsid w:val="5B9968FF"/>
    <w:rsid w:val="5C7D6D34"/>
    <w:rsid w:val="5CFC40FC"/>
    <w:rsid w:val="5F1C41B0"/>
    <w:rsid w:val="5FF7504F"/>
    <w:rsid w:val="6ADF313E"/>
    <w:rsid w:val="7161172B"/>
    <w:rsid w:val="71F04BC7"/>
    <w:rsid w:val="72D322AF"/>
    <w:rsid w:val="733E5017"/>
    <w:rsid w:val="73425502"/>
    <w:rsid w:val="74650381"/>
    <w:rsid w:val="754E6606"/>
    <w:rsid w:val="76582BBA"/>
    <w:rsid w:val="780739F7"/>
    <w:rsid w:val="78715547"/>
    <w:rsid w:val="793D18CD"/>
    <w:rsid w:val="7A6A0B10"/>
    <w:rsid w:val="7C0A13CC"/>
    <w:rsid w:val="7CF110A3"/>
    <w:rsid w:val="7F5A5E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2292</Words>
  <Characters>2367</Characters>
  <Lines>18</Lines>
  <Paragraphs>5</Paragraphs>
  <TotalTime>139</TotalTime>
  <ScaleCrop>false</ScaleCrop>
  <LinksUpToDate>false</LinksUpToDate>
  <CharactersWithSpaces>2374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2023-11-23T07:07:00Z</dcterms:created>
  <dc:creator>Administrator</dc:creator>
  <cp:lastModifiedBy>Administrator</cp:lastModifiedBy>
  <cp:lastPrinted>2023-12-15T06:47:00Z</cp:lastPrinted>
  <dcterms:modified xsi:type="dcterms:W3CDTF">2024-11-26T07:06:12Z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2E7E441F027743EA951115645F439FB4_13</vt:lpwstr>
  </property>
</Properties>
</file>