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981EE">
      <w:pPr>
        <w:keepNext w:val="0"/>
        <w:keepLines w:val="0"/>
        <w:pageBreakBefore w:val="0"/>
        <w:widowControl w:val="0"/>
        <w:numPr>
          <w:ilvl w:val="0"/>
          <w:numId w:val="0"/>
        </w:numPr>
        <w:kinsoku/>
        <w:wordWrap/>
        <w:overflowPunct/>
        <w:topLinePunct w:val="0"/>
        <w:autoSpaceDE/>
        <w:autoSpaceDN/>
        <w:bidi w:val="0"/>
        <w:snapToGrid/>
        <w:spacing w:line="590" w:lineRule="exact"/>
        <w:textAlignment w:val="auto"/>
        <w:outlineLvl w:val="0"/>
        <w:rPr>
          <w:rFonts w:hint="default"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b w:val="0"/>
          <w:bCs w:val="0"/>
          <w:sz w:val="32"/>
          <w:szCs w:val="32"/>
          <w:lang w:eastAsia="zh-CN"/>
        </w:rPr>
        <w:t>附件</w:t>
      </w:r>
      <w:r>
        <w:rPr>
          <w:rFonts w:hint="eastAsia" w:ascii="方正黑体简体" w:hAnsi="方正黑体简体" w:eastAsia="方正黑体简体" w:cs="方正黑体简体"/>
          <w:b w:val="0"/>
          <w:bCs w:val="0"/>
          <w:sz w:val="32"/>
          <w:szCs w:val="32"/>
          <w:lang w:val="en-US" w:eastAsia="zh-CN"/>
        </w:rPr>
        <w:t>2-1</w:t>
      </w:r>
    </w:p>
    <w:p w14:paraId="6824CD9D">
      <w:pPr>
        <w:keepNext w:val="0"/>
        <w:keepLines w:val="0"/>
        <w:pageBreakBefore w:val="0"/>
        <w:widowControl w:val="0"/>
        <w:kinsoku/>
        <w:wordWrap/>
        <w:overflowPunct/>
        <w:topLinePunct w:val="0"/>
        <w:autoSpaceDE/>
        <w:autoSpaceDN/>
        <w:bidi w:val="0"/>
        <w:snapToGrid/>
        <w:spacing w:line="0" w:lineRule="atLeast"/>
        <w:jc w:val="center"/>
        <w:textAlignment w:val="auto"/>
        <w:rPr>
          <w:rFonts w:hint="eastAsia" w:ascii="方正小标宋简体" w:hAnsi="宋体" w:eastAsia="方正小标宋简体"/>
          <w:bCs/>
          <w:sz w:val="44"/>
          <w:szCs w:val="36"/>
        </w:rPr>
      </w:pPr>
      <w:r>
        <w:rPr>
          <w:rFonts w:hint="eastAsia" w:ascii="方正小标宋简体" w:hAnsi="宋体" w:eastAsia="方正小标宋简体"/>
          <w:bCs/>
          <w:sz w:val="44"/>
          <w:szCs w:val="36"/>
        </w:rPr>
        <w:t>财政</w:t>
      </w:r>
      <w:r>
        <w:rPr>
          <w:rFonts w:hint="eastAsia" w:ascii="方正小标宋简体" w:hAnsi="宋体" w:eastAsia="方正小标宋简体"/>
          <w:bCs/>
          <w:sz w:val="44"/>
          <w:szCs w:val="36"/>
          <w:lang w:eastAsia="zh-CN"/>
        </w:rPr>
        <w:t>支出重点</w:t>
      </w:r>
      <w:r>
        <w:rPr>
          <w:rFonts w:hint="eastAsia" w:ascii="方正小标宋简体" w:hAnsi="宋体" w:eastAsia="方正小标宋简体"/>
          <w:bCs/>
          <w:sz w:val="44"/>
          <w:szCs w:val="36"/>
        </w:rPr>
        <w:t>评价工作底稿</w:t>
      </w:r>
    </w:p>
    <w:p w14:paraId="4D63FC3A">
      <w:pPr>
        <w:keepNext w:val="0"/>
        <w:keepLines w:val="0"/>
        <w:pageBreakBefore w:val="0"/>
        <w:widowControl w:val="0"/>
        <w:kinsoku/>
        <w:wordWrap/>
        <w:overflowPunct/>
        <w:topLinePunct w:val="0"/>
        <w:autoSpaceDE/>
        <w:autoSpaceDN/>
        <w:bidi w:val="0"/>
        <w:snapToGrid/>
        <w:ind w:right="560"/>
        <w:textAlignment w:val="auto"/>
        <w:rPr>
          <w:rFonts w:eastAsia="仿宋_GB2312"/>
          <w:b w:val="0"/>
          <w:bCs w:val="0"/>
          <w:sz w:val="28"/>
        </w:rPr>
      </w:pPr>
      <w:r>
        <w:rPr>
          <w:rFonts w:eastAsia="仿宋_GB2312"/>
          <w:b w:val="0"/>
          <w:bCs w:val="0"/>
          <w:sz w:val="28"/>
        </w:rPr>
        <w:t xml:space="preserve">共 </w:t>
      </w:r>
      <w:r>
        <w:rPr>
          <w:rFonts w:eastAsia="仿宋_GB2312"/>
          <w:b w:val="0"/>
          <w:bCs w:val="0"/>
          <w:sz w:val="28"/>
          <w:u w:val="single"/>
        </w:rPr>
        <w:t xml:space="preserve">   </w:t>
      </w:r>
      <w:r>
        <w:rPr>
          <w:rFonts w:eastAsia="仿宋_GB2312"/>
          <w:b w:val="0"/>
          <w:bCs w:val="0"/>
          <w:sz w:val="28"/>
        </w:rPr>
        <w:t>页 第</w:t>
      </w:r>
      <w:r>
        <w:rPr>
          <w:rFonts w:eastAsia="仿宋_GB2312"/>
          <w:b w:val="0"/>
          <w:bCs w:val="0"/>
          <w:sz w:val="28"/>
          <w:u w:val="single"/>
        </w:rPr>
        <w:t xml:space="preserve">    </w:t>
      </w:r>
      <w:r>
        <w:rPr>
          <w:rFonts w:eastAsia="仿宋_GB2312"/>
          <w:b w:val="0"/>
          <w:bCs w:val="0"/>
          <w:sz w:val="28"/>
        </w:rPr>
        <w:t xml:space="preserve">页                           </w:t>
      </w:r>
      <w:r>
        <w:rPr>
          <w:rFonts w:hint="eastAsia" w:eastAsia="仿宋_GB2312"/>
          <w:b w:val="0"/>
          <w:bCs w:val="0"/>
          <w:sz w:val="28"/>
        </w:rPr>
        <w:t xml:space="preserve"> </w:t>
      </w:r>
      <w:r>
        <w:rPr>
          <w:rFonts w:eastAsia="仿宋_GB2312"/>
          <w:b w:val="0"/>
          <w:bCs w:val="0"/>
          <w:sz w:val="28"/>
        </w:rPr>
        <w:t xml:space="preserve">  第    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E01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14:paraId="066ACCF4">
            <w:pPr>
              <w:keepNext w:val="0"/>
              <w:keepLines w:val="0"/>
              <w:pageBreakBefore w:val="0"/>
              <w:widowControl w:val="0"/>
              <w:kinsoku/>
              <w:wordWrap/>
              <w:overflowPunct/>
              <w:topLinePunct w:val="0"/>
              <w:autoSpaceDE/>
              <w:autoSpaceDN/>
              <w:bidi w:val="0"/>
              <w:snapToGrid/>
              <w:textAlignment w:val="auto"/>
              <w:rPr>
                <w:rFonts w:hint="default" w:eastAsia="仿宋_GB2312"/>
                <w:b w:val="0"/>
                <w:bCs w:val="0"/>
                <w:sz w:val="28"/>
                <w:szCs w:val="28"/>
                <w:lang w:val="en-US" w:eastAsia="zh-CN"/>
              </w:rPr>
            </w:pPr>
            <w:r>
              <w:rPr>
                <w:rFonts w:eastAsia="仿宋_GB2312"/>
                <w:b w:val="0"/>
                <w:bCs w:val="0"/>
                <w:sz w:val="28"/>
                <w:szCs w:val="28"/>
              </w:rPr>
              <w:t xml:space="preserve">被评价单位名称： </w:t>
            </w:r>
            <w:r>
              <w:rPr>
                <w:rFonts w:hint="eastAsia" w:eastAsia="仿宋_GB2312"/>
                <w:b w:val="0"/>
                <w:bCs w:val="0"/>
                <w:sz w:val="28"/>
                <w:szCs w:val="28"/>
              </w:rPr>
              <w:t>唐山市丰润区医疗</w:t>
            </w:r>
            <w:r>
              <w:rPr>
                <w:rFonts w:hint="eastAsia" w:eastAsia="仿宋_GB2312"/>
                <w:b w:val="0"/>
                <w:bCs w:val="0"/>
                <w:sz w:val="28"/>
                <w:szCs w:val="28"/>
                <w:lang w:val="en-US" w:eastAsia="zh-CN"/>
              </w:rPr>
              <w:t>保险事业管理中心</w:t>
            </w:r>
          </w:p>
        </w:tc>
      </w:tr>
      <w:tr w14:paraId="5C1A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14:paraId="1907A86E">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8"/>
                <w:szCs w:val="28"/>
              </w:rPr>
              <w:t>被评价项目名称：</w:t>
            </w:r>
            <w:r>
              <w:rPr>
                <w:rFonts w:hint="eastAsia" w:eastAsia="仿宋_GB2312"/>
                <w:b w:val="0"/>
                <w:bCs w:val="0"/>
                <w:sz w:val="28"/>
                <w:szCs w:val="28"/>
                <w:lang w:val="zh-CN" w:eastAsia="zh-CN"/>
              </w:rPr>
              <w:t>城乡居民医疗保险区级补助资金</w:t>
            </w:r>
          </w:p>
        </w:tc>
      </w:tr>
      <w:tr w14:paraId="40FA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9060" w:type="dxa"/>
            <w:noWrap w:val="0"/>
            <w:vAlign w:val="top"/>
          </w:tcPr>
          <w:p w14:paraId="0FA00FB9">
            <w:pPr>
              <w:keepNext w:val="0"/>
              <w:keepLines w:val="0"/>
              <w:pageBreakBefore w:val="0"/>
              <w:widowControl w:val="0"/>
              <w:kinsoku/>
              <w:wordWrap/>
              <w:overflowPunct/>
              <w:topLinePunct w:val="0"/>
              <w:autoSpaceDE/>
              <w:autoSpaceDN/>
              <w:bidi w:val="0"/>
              <w:snapToGrid/>
              <w:textAlignment w:val="auto"/>
              <w:rPr>
                <w:rFonts w:hint="eastAsia" w:eastAsia="仿宋_GB2312"/>
                <w:b w:val="0"/>
                <w:bCs w:val="0"/>
                <w:sz w:val="28"/>
                <w:szCs w:val="28"/>
                <w:lang w:eastAsia="zh-CN"/>
              </w:rPr>
            </w:pPr>
            <w:r>
              <w:rPr>
                <w:rFonts w:eastAsia="仿宋_GB2312"/>
                <w:b w:val="0"/>
                <w:bCs w:val="0"/>
                <w:sz w:val="28"/>
                <w:szCs w:val="28"/>
              </w:rPr>
              <w:t>情况摘要：</w:t>
            </w:r>
            <w:r>
              <w:rPr>
                <w:rFonts w:hint="eastAsia" w:eastAsia="仿宋_GB2312"/>
                <w:b w:val="0"/>
                <w:bCs w:val="0"/>
                <w:sz w:val="28"/>
                <w:szCs w:val="28"/>
                <w:lang w:eastAsia="zh-CN"/>
              </w:rPr>
              <w:t>城乡居民医疗保险参保居民缴费实行个人缴费和财政补助相结合的模式。</w:t>
            </w:r>
            <w:r>
              <w:rPr>
                <w:rFonts w:hint="eastAsia" w:eastAsia="仿宋_GB2312"/>
                <w:b w:val="0"/>
                <w:bCs w:val="0"/>
                <w:sz w:val="28"/>
                <w:szCs w:val="28"/>
                <w:lang w:val="en-US" w:eastAsia="zh-CN"/>
              </w:rPr>
              <w:t>2024年度居民个人</w:t>
            </w:r>
            <w:r>
              <w:rPr>
                <w:rFonts w:hint="eastAsia" w:eastAsia="仿宋_GB2312"/>
                <w:b w:val="0"/>
                <w:bCs w:val="0"/>
                <w:color w:val="auto"/>
                <w:sz w:val="28"/>
                <w:szCs w:val="28"/>
                <w:lang w:val="en-US" w:eastAsia="zh-CN"/>
              </w:rPr>
              <w:t>缴费</w:t>
            </w:r>
            <w:r>
              <w:rPr>
                <w:rFonts w:hint="eastAsia" w:ascii="宋体" w:hAnsi="宋体" w:eastAsia="仿宋_GB2312" w:cs="宋体"/>
                <w:color w:val="auto"/>
                <w:sz w:val="28"/>
                <w:szCs w:val="28"/>
                <w:lang w:val="en-US" w:eastAsia="zh-CN"/>
              </w:rPr>
              <w:t>380</w:t>
            </w:r>
            <w:r>
              <w:rPr>
                <w:rFonts w:hint="eastAsia" w:eastAsia="仿宋_GB2312"/>
                <w:b w:val="0"/>
                <w:bCs w:val="0"/>
                <w:color w:val="auto"/>
                <w:sz w:val="28"/>
                <w:szCs w:val="28"/>
                <w:lang w:val="en-US" w:eastAsia="zh-CN"/>
              </w:rPr>
              <w:t>元/人</w:t>
            </w:r>
            <w:r>
              <w:rPr>
                <w:rFonts w:hint="eastAsia" w:eastAsia="仿宋_GB2312"/>
                <w:b w:val="0"/>
                <w:bCs w:val="0"/>
                <w:sz w:val="28"/>
                <w:szCs w:val="28"/>
                <w:lang w:val="en-US" w:eastAsia="zh-CN"/>
              </w:rPr>
              <w:t>年，区级财政补助标准</w:t>
            </w:r>
            <w:r>
              <w:rPr>
                <w:rFonts w:hint="eastAsia" w:ascii="宋体" w:hAnsi="宋体" w:eastAsia="仿宋_GB2312" w:cs="宋体"/>
                <w:color w:val="auto"/>
                <w:sz w:val="28"/>
                <w:szCs w:val="28"/>
                <w:lang w:val="en-US" w:eastAsia="zh-CN"/>
              </w:rPr>
              <w:t>167.5</w:t>
            </w:r>
            <w:r>
              <w:rPr>
                <w:rFonts w:hint="eastAsia" w:eastAsia="仿宋_GB2312"/>
                <w:b w:val="0"/>
                <w:bCs w:val="0"/>
                <w:sz w:val="28"/>
                <w:szCs w:val="28"/>
                <w:lang w:val="en-US" w:eastAsia="zh-CN"/>
              </w:rPr>
              <w:t>元/人.年，我区2024年度居民参保</w:t>
            </w:r>
            <w:r>
              <w:rPr>
                <w:rFonts w:hint="eastAsia" w:eastAsia="仿宋_GB2312"/>
                <w:b w:val="0"/>
                <w:bCs w:val="0"/>
                <w:color w:val="auto"/>
                <w:sz w:val="28"/>
                <w:szCs w:val="28"/>
                <w:lang w:val="en-US" w:eastAsia="zh-CN"/>
              </w:rPr>
              <w:t>人数</w:t>
            </w:r>
            <w:r>
              <w:rPr>
                <w:rFonts w:hint="eastAsia" w:ascii="宋体" w:hAnsi="宋体" w:cs="宋体"/>
                <w:color w:val="auto"/>
                <w:sz w:val="28"/>
                <w:szCs w:val="28"/>
                <w:lang w:val="en-US" w:eastAsia="zh-CN"/>
              </w:rPr>
              <w:t>56</w:t>
            </w:r>
            <w:r>
              <w:rPr>
                <w:rFonts w:hint="eastAsia" w:eastAsia="仿宋_GB2312"/>
                <w:b w:val="0"/>
                <w:bCs w:val="0"/>
                <w:sz w:val="28"/>
                <w:szCs w:val="28"/>
                <w:lang w:val="en-US" w:eastAsia="zh-CN"/>
              </w:rPr>
              <w:t>万人，全年需要区级财政补助资金</w:t>
            </w:r>
            <w:r>
              <w:rPr>
                <w:rFonts w:hint="eastAsia" w:ascii="宋体" w:cs="宋体"/>
                <w:kern w:val="0"/>
                <w:sz w:val="32"/>
                <w:szCs w:val="32"/>
                <w:lang w:val="en-US" w:eastAsia="zh-CN"/>
              </w:rPr>
              <w:t>9372.4572万元，</w:t>
            </w:r>
            <w:r>
              <w:rPr>
                <w:rFonts w:hint="eastAsia" w:eastAsia="仿宋_GB2312"/>
                <w:b w:val="0"/>
                <w:bCs w:val="0"/>
                <w:sz w:val="28"/>
                <w:szCs w:val="28"/>
                <w:lang w:eastAsia="zh-CN"/>
              </w:rPr>
              <w:t>资金筹集到位后全部用于居民医保待遇支出。</w:t>
            </w:r>
            <w:bookmarkStart w:id="0" w:name="_GoBack"/>
            <w:bookmarkEnd w:id="0"/>
          </w:p>
          <w:p w14:paraId="443D45F8">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p>
          <w:p w14:paraId="481BD587">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p>
          <w:p w14:paraId="64BDBDE9">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p>
        </w:tc>
      </w:tr>
      <w:tr w14:paraId="603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14:paraId="44E9FC41">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r>
              <w:rPr>
                <w:rFonts w:eastAsia="仿宋_GB2312"/>
                <w:b w:val="0"/>
                <w:bCs w:val="0"/>
                <w:sz w:val="28"/>
                <w:szCs w:val="28"/>
              </w:rPr>
              <w:t>附件</w:t>
            </w:r>
            <w:r>
              <w:rPr>
                <w:rFonts w:eastAsia="仿宋_GB2312"/>
                <w:b w:val="0"/>
                <w:bCs w:val="0"/>
                <w:sz w:val="24"/>
              </w:rPr>
              <w:t>：</w:t>
            </w:r>
          </w:p>
          <w:p w14:paraId="76A624D1">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14:paraId="12CD6319">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14:paraId="4FA1CB79">
            <w:pPr>
              <w:keepNext w:val="0"/>
              <w:keepLines w:val="0"/>
              <w:pageBreakBefore w:val="0"/>
              <w:widowControl w:val="0"/>
              <w:kinsoku/>
              <w:wordWrap/>
              <w:overflowPunct/>
              <w:topLinePunct w:val="0"/>
              <w:autoSpaceDE/>
              <w:autoSpaceDN/>
              <w:bidi w:val="0"/>
              <w:snapToGrid/>
              <w:ind w:firstLine="6202" w:firstLineChars="2215"/>
              <w:textAlignment w:val="auto"/>
              <w:rPr>
                <w:rFonts w:eastAsia="仿宋_GB2312"/>
                <w:b w:val="0"/>
                <w:bCs w:val="0"/>
                <w:sz w:val="28"/>
                <w:szCs w:val="28"/>
              </w:rPr>
            </w:pPr>
            <w:r>
              <w:rPr>
                <w:rFonts w:eastAsia="仿宋_GB2312"/>
                <w:b w:val="0"/>
                <w:bCs w:val="0"/>
                <w:sz w:val="28"/>
                <w:szCs w:val="28"/>
              </w:rPr>
              <w:t>附件：     张</w:t>
            </w:r>
          </w:p>
        </w:tc>
      </w:tr>
      <w:tr w14:paraId="5511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noWrap w:val="0"/>
            <w:vAlign w:val="top"/>
          </w:tcPr>
          <w:p w14:paraId="07591F06">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8"/>
                <w:szCs w:val="28"/>
              </w:rPr>
              <w:t>被评价单位意见及签章：</w:t>
            </w:r>
          </w:p>
          <w:p w14:paraId="3EBF7F68">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14:paraId="14FAE803">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14:paraId="0E96BFAE">
            <w:pPr>
              <w:keepNext w:val="0"/>
              <w:keepLines w:val="0"/>
              <w:pageBreakBefore w:val="0"/>
              <w:widowControl w:val="0"/>
              <w:kinsoku/>
              <w:wordWrap/>
              <w:overflowPunct/>
              <w:topLinePunct w:val="0"/>
              <w:autoSpaceDE/>
              <w:autoSpaceDN/>
              <w:bidi w:val="0"/>
              <w:snapToGrid/>
              <w:textAlignment w:val="auto"/>
              <w:rPr>
                <w:rFonts w:eastAsia="仿宋_GB2312"/>
                <w:b w:val="0"/>
                <w:bCs w:val="0"/>
                <w:sz w:val="24"/>
              </w:rPr>
            </w:pPr>
          </w:p>
          <w:p w14:paraId="27C6493E">
            <w:pPr>
              <w:keepNext w:val="0"/>
              <w:keepLines w:val="0"/>
              <w:pageBreakBefore w:val="0"/>
              <w:widowControl w:val="0"/>
              <w:kinsoku/>
              <w:wordWrap/>
              <w:overflowPunct/>
              <w:topLinePunct w:val="0"/>
              <w:autoSpaceDE/>
              <w:autoSpaceDN/>
              <w:bidi w:val="0"/>
              <w:snapToGrid/>
              <w:textAlignment w:val="auto"/>
              <w:rPr>
                <w:rFonts w:eastAsia="仿宋_GB2312"/>
                <w:b w:val="0"/>
                <w:bCs w:val="0"/>
                <w:sz w:val="28"/>
                <w:szCs w:val="28"/>
              </w:rPr>
            </w:pPr>
            <w:r>
              <w:rPr>
                <w:rFonts w:eastAsia="仿宋_GB2312"/>
                <w:b w:val="0"/>
                <w:bCs w:val="0"/>
                <w:sz w:val="24"/>
              </w:rPr>
              <w:t xml:space="preserve">  </w:t>
            </w:r>
            <w:r>
              <w:rPr>
                <w:rFonts w:eastAsia="仿宋_GB2312"/>
                <w:b w:val="0"/>
                <w:bCs w:val="0"/>
                <w:sz w:val="28"/>
                <w:szCs w:val="28"/>
              </w:rPr>
              <w:t>经办人：            负责人：             日期：</w:t>
            </w:r>
          </w:p>
        </w:tc>
      </w:tr>
    </w:tbl>
    <w:p w14:paraId="4A56F40E">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b w:val="0"/>
          <w:bCs w:val="0"/>
          <w:sz w:val="28"/>
          <w:szCs w:val="28"/>
        </w:rPr>
      </w:pPr>
      <w:r>
        <w:rPr>
          <w:rFonts w:eastAsia="仿宋_GB2312"/>
          <w:b w:val="0"/>
          <w:bCs w:val="0"/>
          <w:sz w:val="28"/>
          <w:szCs w:val="28"/>
        </w:rPr>
        <w:t>工作组制单人：    日期：     工作组复核人：       日期：</w:t>
      </w:r>
    </w:p>
    <w:p w14:paraId="5AF48261">
      <w:r>
        <w:rPr>
          <w:rFonts w:eastAsia="仿宋_GB2312"/>
          <w:b w:val="0"/>
          <w:bCs w:val="0"/>
          <w:sz w:val="24"/>
        </w:rPr>
        <w:t>备注：被评价单位签署意见时，应当对工作底稿摘录的事项是否属实进行认定，如属实，签“情况属实”；如有不同意见，应说明理由，并附相关证明材料。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jA3N2JhZDk2MGQxMWI2Mzc5NTZhZjEwYTZlY2UifQ=="/>
  </w:docVars>
  <w:rsids>
    <w:rsidRoot w:val="00000000"/>
    <w:rsid w:val="009E498C"/>
    <w:rsid w:val="08E06816"/>
    <w:rsid w:val="0E07732B"/>
    <w:rsid w:val="15DC0E3E"/>
    <w:rsid w:val="160F7E8C"/>
    <w:rsid w:val="19B65FBB"/>
    <w:rsid w:val="19F00C80"/>
    <w:rsid w:val="22D17A16"/>
    <w:rsid w:val="2A460026"/>
    <w:rsid w:val="34C54D67"/>
    <w:rsid w:val="372431A9"/>
    <w:rsid w:val="418D5DEE"/>
    <w:rsid w:val="496F011F"/>
    <w:rsid w:val="4A5F54F4"/>
    <w:rsid w:val="523B1F7D"/>
    <w:rsid w:val="53E93741"/>
    <w:rsid w:val="585E43D7"/>
    <w:rsid w:val="747D301A"/>
    <w:rsid w:val="750B1043"/>
    <w:rsid w:val="777E6A73"/>
    <w:rsid w:val="778B45A3"/>
    <w:rsid w:val="78446DC3"/>
    <w:rsid w:val="7CA41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3</TotalTime>
  <ScaleCrop>false</ScaleCrop>
  <LinksUpToDate>false</LinksUpToDate>
  <CharactersWithSpaces>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贺祎</cp:lastModifiedBy>
  <dcterms:modified xsi:type="dcterms:W3CDTF">2025-02-26T01:03:01Z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625824734_btnclosed</vt:lpwstr>
  </property>
  <property fmtid="{D5CDD505-2E9C-101B-9397-08002B2CF9AE}" pid="4" name="ICV">
    <vt:lpwstr>958E19322EBE4440A8EA91C97E0B6497_13</vt:lpwstr>
  </property>
  <property fmtid="{D5CDD505-2E9C-101B-9397-08002B2CF9AE}" pid="5" name="KSOTemplateDocerSaveRecord">
    <vt:lpwstr>eyJoZGlkIjoiYWY5ZWJkMDRjZDFiMjgyYjY3OGY5NDkwNDViNDg5YjkiLCJ1c2VySWQiOiIxNDYyNDg0NjgxIn0=</vt:lpwstr>
  </property>
</Properties>
</file>