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一、丰润区应急管理部门收支预算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二、丰润区应急管理局消防队收支预算</w:t>
        </w:r>
        <w:r>
          <w:tab/>
        </w:r>
        <w:r>
          <w:fldChar w:fldCharType="begin"/>
        </w:r>
        <w:r>
          <w:instrText xml:space="preserve">PAGEREF _Toc_4_4_0000000002 \h</w:instrText>
        </w:r>
        <w:r>
          <w:fldChar w:fldCharType="separate"/>
        </w:r>
        <w:r>
          <w:t xml:space="preserve">37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一、丰润区应急管理部门收支预算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2761.93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154.11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177.67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124.87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2403.20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2761.93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2859.85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97.92</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2859.85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2859.85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2859.85</w:t>
            </w:r>
          </w:p>
        </w:tc>
        <w:tc>
          <w:tcPr>
            <w:tcW w:w="1134" w:type="dxa"/>
            <w:vAlign w:val="center"/>
          </w:tcPr>
          <w:p>
            <w:pPr>
              <w:pStyle w:val="单元格样式7"/>
            </w:pPr>
            <w:r>
              <w:t xml:space="preserve">2761.93</w:t>
            </w:r>
          </w:p>
        </w:tc>
        <w:tc>
          <w:tcPr>
            <w:tcW w:w="1134" w:type="dxa"/>
            <w:vAlign w:val="center"/>
          </w:tcPr>
          <w:p>
            <w:pPr>
              <w:pStyle w:val="单元格样式7"/>
            </w:pPr>
            <w:r>
              <w:t xml:space="preserve">2761.93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97.92</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77.67</w:t>
            </w:r>
          </w:p>
        </w:tc>
        <w:tc>
          <w:tcPr>
            <w:tcW w:w="1134" w:type="dxa"/>
            <w:vAlign w:val="center"/>
          </w:tcPr>
          <w:p>
            <w:pPr>
              <w:pStyle w:val="单元格样式4"/>
            </w:pPr>
            <w:r>
              <w:t xml:space="preserve">77.67</w:t>
            </w:r>
          </w:p>
        </w:tc>
        <w:tc>
          <w:tcPr>
            <w:tcW w:w="1134" w:type="dxa"/>
            <w:vAlign w:val="center"/>
          </w:tcPr>
          <w:p>
            <w:pPr>
              <w:pStyle w:val="单元格样式4"/>
            </w:pPr>
            <w:r>
              <w:t xml:space="preserve">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2403.20</w:t>
            </w:r>
          </w:p>
        </w:tc>
        <w:tc>
          <w:tcPr>
            <w:tcW w:w="1134" w:type="dxa"/>
            <w:vAlign w:val="center"/>
          </w:tcPr>
          <w:p>
            <w:pPr>
              <w:pStyle w:val="单元格样式4"/>
            </w:pPr>
            <w:r>
              <w:t xml:space="preserve">2305.27</w:t>
            </w:r>
          </w:p>
        </w:tc>
        <w:tc>
          <w:tcPr>
            <w:tcW w:w="1134" w:type="dxa"/>
            <w:vAlign w:val="center"/>
          </w:tcPr>
          <w:p>
            <w:pPr>
              <w:pStyle w:val="单元格样式4"/>
            </w:pPr>
            <w:r>
              <w:t xml:space="preserve">2305.27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2296.82</w:t>
            </w:r>
          </w:p>
        </w:tc>
        <w:tc>
          <w:tcPr>
            <w:tcW w:w="1134" w:type="dxa"/>
            <w:vAlign w:val="center"/>
          </w:tcPr>
          <w:p>
            <w:pPr>
              <w:pStyle w:val="单元格样式4"/>
            </w:pPr>
            <w:r>
              <w:t xml:space="preserve">2198.89</w:t>
            </w:r>
          </w:p>
        </w:tc>
        <w:tc>
          <w:tcPr>
            <w:tcW w:w="1134" w:type="dxa"/>
            <w:vAlign w:val="center"/>
          </w:tcPr>
          <w:p>
            <w:pPr>
              <w:pStyle w:val="单元格样式4"/>
            </w:pPr>
            <w:r>
              <w:t xml:space="preserve">2198.89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2296.82</w:t>
            </w:r>
          </w:p>
        </w:tc>
        <w:tc>
          <w:tcPr>
            <w:tcW w:w="1134" w:type="dxa"/>
            <w:vAlign w:val="center"/>
          </w:tcPr>
          <w:p>
            <w:pPr>
              <w:pStyle w:val="单元格样式4"/>
            </w:pPr>
            <w:r>
              <w:t xml:space="preserve">2198.89</w:t>
            </w:r>
          </w:p>
        </w:tc>
        <w:tc>
          <w:tcPr>
            <w:tcW w:w="1134" w:type="dxa"/>
            <w:vAlign w:val="center"/>
          </w:tcPr>
          <w:p>
            <w:pPr>
              <w:pStyle w:val="单元格样式4"/>
            </w:pPr>
            <w:r>
              <w:t xml:space="preserve">2198.89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2859.85</w:t>
            </w:r>
          </w:p>
        </w:tc>
        <w:tc>
          <w:tcPr>
            <w:tcW w:w="1361" w:type="dxa"/>
            <w:vAlign w:val="center"/>
          </w:tcPr>
          <w:p>
            <w:pPr>
              <w:pStyle w:val="单元格样式7"/>
            </w:pPr>
            <w:r>
              <w:t xml:space="preserve">1999.72</w:t>
            </w:r>
          </w:p>
        </w:tc>
        <w:tc>
          <w:tcPr>
            <w:tcW w:w="1361" w:type="dxa"/>
            <w:vAlign w:val="center"/>
          </w:tcPr>
          <w:p>
            <w:pPr>
              <w:pStyle w:val="单元格样式7"/>
            </w:pPr>
            <w:r>
              <w:t xml:space="preserve">860.13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177.67</w:t>
            </w:r>
          </w:p>
        </w:tc>
        <w:tc>
          <w:tcPr>
            <w:tcW w:w="1361" w:type="dxa"/>
            <w:vAlign w:val="center"/>
          </w:tcPr>
          <w:p>
            <w:pPr>
              <w:pStyle w:val="单元格样式4"/>
            </w:pPr>
            <w:r>
              <w:t xml:space="preserve">177.67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177.67</w:t>
            </w:r>
          </w:p>
        </w:tc>
        <w:tc>
          <w:tcPr>
            <w:tcW w:w="1361" w:type="dxa"/>
            <w:vAlign w:val="center"/>
          </w:tcPr>
          <w:p>
            <w:pPr>
              <w:pStyle w:val="单元格样式4"/>
            </w:pPr>
            <w:r>
              <w:t xml:space="preserve">177.67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77.67</w:t>
            </w:r>
          </w:p>
        </w:tc>
        <w:tc>
          <w:tcPr>
            <w:tcW w:w="1361" w:type="dxa"/>
            <w:vAlign w:val="center"/>
          </w:tcPr>
          <w:p>
            <w:pPr>
              <w:pStyle w:val="单元格样式4"/>
            </w:pPr>
            <w:r>
              <w:t xml:space="preserve">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100.00</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2403.20</w:t>
            </w:r>
          </w:p>
        </w:tc>
        <w:tc>
          <w:tcPr>
            <w:tcW w:w="1361" w:type="dxa"/>
            <w:vAlign w:val="center"/>
          </w:tcPr>
          <w:p>
            <w:pPr>
              <w:pStyle w:val="单元格样式4"/>
            </w:pPr>
            <w:r>
              <w:t xml:space="preserve">1543.07</w:t>
            </w:r>
          </w:p>
        </w:tc>
        <w:tc>
          <w:tcPr>
            <w:tcW w:w="1361" w:type="dxa"/>
            <w:vAlign w:val="center"/>
          </w:tcPr>
          <w:p>
            <w:pPr>
              <w:pStyle w:val="单元格样式4"/>
            </w:pPr>
            <w:r>
              <w:t xml:space="preserve">860.13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2296.82</w:t>
            </w:r>
          </w:p>
        </w:tc>
        <w:tc>
          <w:tcPr>
            <w:tcW w:w="1361" w:type="dxa"/>
            <w:vAlign w:val="center"/>
          </w:tcPr>
          <w:p>
            <w:pPr>
              <w:pStyle w:val="单元格样式4"/>
            </w:pPr>
            <w:r>
              <w:t xml:space="preserve">1543.07</w:t>
            </w:r>
          </w:p>
        </w:tc>
        <w:tc>
          <w:tcPr>
            <w:tcW w:w="1361" w:type="dxa"/>
            <w:vAlign w:val="center"/>
          </w:tcPr>
          <w:p>
            <w:pPr>
              <w:pStyle w:val="单元格样式4"/>
            </w:pPr>
            <w:r>
              <w:t xml:space="preserve">753.75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2296.82</w:t>
            </w:r>
          </w:p>
        </w:tc>
        <w:tc>
          <w:tcPr>
            <w:tcW w:w="1361" w:type="dxa"/>
            <w:vAlign w:val="center"/>
          </w:tcPr>
          <w:p>
            <w:pPr>
              <w:pStyle w:val="单元格样式4"/>
            </w:pPr>
            <w:r>
              <w:t xml:space="preserve">1543.07</w:t>
            </w:r>
          </w:p>
        </w:tc>
        <w:tc>
          <w:tcPr>
            <w:tcW w:w="1361" w:type="dxa"/>
            <w:vAlign w:val="center"/>
          </w:tcPr>
          <w:p>
            <w:pPr>
              <w:pStyle w:val="单元格样式4"/>
            </w:pPr>
            <w:r>
              <w:t xml:space="preserve">753.75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2761.93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154.11</w:t>
            </w:r>
          </w:p>
        </w:tc>
        <w:tc>
          <w:tcPr>
            <w:tcW w:w="1474" w:type="dxa"/>
            <w:vAlign w:val="center"/>
          </w:tcPr>
          <w:p>
            <w:pPr>
              <w:pStyle w:val="单元格样式4"/>
            </w:pPr>
            <w:r>
              <w:t xml:space="preserve">154.11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177.67</w:t>
            </w:r>
          </w:p>
        </w:tc>
        <w:tc>
          <w:tcPr>
            <w:tcW w:w="1474" w:type="dxa"/>
            <w:vAlign w:val="center"/>
          </w:tcPr>
          <w:p>
            <w:pPr>
              <w:pStyle w:val="单元格样式4"/>
            </w:pPr>
            <w:r>
              <w:t xml:space="preserve">177.67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124.87</w:t>
            </w:r>
          </w:p>
        </w:tc>
        <w:tc>
          <w:tcPr>
            <w:tcW w:w="1474" w:type="dxa"/>
            <w:vAlign w:val="center"/>
          </w:tcPr>
          <w:p>
            <w:pPr>
              <w:pStyle w:val="单元格样式4"/>
            </w:pPr>
            <w:r>
              <w:t xml:space="preserve">124.87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2403.20</w:t>
            </w:r>
          </w:p>
        </w:tc>
        <w:tc>
          <w:tcPr>
            <w:tcW w:w="1474" w:type="dxa"/>
            <w:vAlign w:val="center"/>
          </w:tcPr>
          <w:p>
            <w:pPr>
              <w:pStyle w:val="单元格样式4"/>
            </w:pPr>
            <w:r>
              <w:t xml:space="preserve">2403.20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2761.93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2859.85</w:t>
            </w:r>
          </w:p>
        </w:tc>
        <w:tc>
          <w:tcPr>
            <w:tcW w:w="1474" w:type="dxa"/>
            <w:vAlign w:val="center"/>
          </w:tcPr>
          <w:p>
            <w:pPr>
              <w:pStyle w:val="单元格样式7"/>
            </w:pPr>
            <w:r>
              <w:t xml:space="preserve">2859.85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97.92</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97.92</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2859.85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2859.85</w:t>
            </w:r>
          </w:p>
        </w:tc>
        <w:tc>
          <w:tcPr>
            <w:tcW w:w="1474" w:type="dxa"/>
            <w:vAlign w:val="center"/>
          </w:tcPr>
          <w:p>
            <w:pPr>
              <w:pStyle w:val="单元格样式7"/>
            </w:pPr>
            <w:r>
              <w:t xml:space="preserve">2859.85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2859.85</w:t>
            </w:r>
          </w:p>
        </w:tc>
        <w:tc>
          <w:tcPr>
            <w:tcW w:w="2551" w:type="dxa"/>
            <w:vAlign w:val="center"/>
          </w:tcPr>
          <w:p>
            <w:pPr>
              <w:pStyle w:val="单元格样式7"/>
            </w:pPr>
            <w:r>
              <w:t xml:space="preserve">1999.72</w:t>
            </w:r>
          </w:p>
        </w:tc>
        <w:tc>
          <w:tcPr>
            <w:tcW w:w="2551" w:type="dxa"/>
            <w:vAlign w:val="center"/>
          </w:tcPr>
          <w:p>
            <w:pPr>
              <w:pStyle w:val="单元格样式7"/>
            </w:pPr>
            <w:r>
              <w:t xml:space="preserve">860.13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177.67</w:t>
            </w:r>
          </w:p>
        </w:tc>
        <w:tc>
          <w:tcPr>
            <w:tcW w:w="2551" w:type="dxa"/>
            <w:vAlign w:val="center"/>
          </w:tcPr>
          <w:p>
            <w:pPr>
              <w:pStyle w:val="单元格样式4"/>
            </w:pPr>
            <w:r>
              <w:t xml:space="preserve">177.67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177.67</w:t>
            </w:r>
          </w:p>
        </w:tc>
        <w:tc>
          <w:tcPr>
            <w:tcW w:w="2551" w:type="dxa"/>
            <w:vAlign w:val="center"/>
          </w:tcPr>
          <w:p>
            <w:pPr>
              <w:pStyle w:val="单元格样式4"/>
            </w:pPr>
            <w:r>
              <w:t xml:space="preserve">177.67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77.67</w:t>
            </w:r>
          </w:p>
        </w:tc>
        <w:tc>
          <w:tcPr>
            <w:tcW w:w="2551" w:type="dxa"/>
            <w:vAlign w:val="center"/>
          </w:tcPr>
          <w:p>
            <w:pPr>
              <w:pStyle w:val="单元格样式4"/>
            </w:pPr>
            <w:r>
              <w:t xml:space="preserve">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2403.20</w:t>
            </w:r>
          </w:p>
        </w:tc>
        <w:tc>
          <w:tcPr>
            <w:tcW w:w="2551" w:type="dxa"/>
            <w:vAlign w:val="center"/>
          </w:tcPr>
          <w:p>
            <w:pPr>
              <w:pStyle w:val="单元格样式4"/>
            </w:pPr>
            <w:r>
              <w:t xml:space="preserve">1543.07</w:t>
            </w:r>
          </w:p>
        </w:tc>
        <w:tc>
          <w:tcPr>
            <w:tcW w:w="2551" w:type="dxa"/>
            <w:vAlign w:val="center"/>
          </w:tcPr>
          <w:p>
            <w:pPr>
              <w:pStyle w:val="单元格样式4"/>
            </w:pPr>
            <w:r>
              <w:t xml:space="preserve">860.13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2296.82</w:t>
            </w:r>
          </w:p>
        </w:tc>
        <w:tc>
          <w:tcPr>
            <w:tcW w:w="2551" w:type="dxa"/>
            <w:vAlign w:val="center"/>
          </w:tcPr>
          <w:p>
            <w:pPr>
              <w:pStyle w:val="单元格样式4"/>
            </w:pPr>
            <w:r>
              <w:t xml:space="preserve">1543.07</w:t>
            </w:r>
          </w:p>
        </w:tc>
        <w:tc>
          <w:tcPr>
            <w:tcW w:w="2551" w:type="dxa"/>
            <w:vAlign w:val="center"/>
          </w:tcPr>
          <w:p>
            <w:pPr>
              <w:pStyle w:val="单元格样式4"/>
            </w:pPr>
            <w:r>
              <w:t xml:space="preserve">753.75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2296.82</w:t>
            </w:r>
          </w:p>
        </w:tc>
        <w:tc>
          <w:tcPr>
            <w:tcW w:w="2551" w:type="dxa"/>
            <w:vAlign w:val="center"/>
          </w:tcPr>
          <w:p>
            <w:pPr>
              <w:pStyle w:val="单元格样式4"/>
            </w:pPr>
            <w:r>
              <w:t xml:space="preserve">1543.07</w:t>
            </w:r>
          </w:p>
        </w:tc>
        <w:tc>
          <w:tcPr>
            <w:tcW w:w="2551" w:type="dxa"/>
            <w:vAlign w:val="center"/>
          </w:tcPr>
          <w:p>
            <w:pPr>
              <w:pStyle w:val="单元格样式4"/>
            </w:pPr>
            <w:r>
              <w:t xml:space="preserve">753.75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106.38</w:t>
            </w:r>
          </w:p>
        </w:tc>
        <w:tc>
          <w:tcPr>
            <w:tcW w:w="2551" w:type="dxa"/>
            <w:vAlign w:val="center"/>
          </w:tcPr>
          <w:p>
            <w:pPr>
              <w:pStyle w:val="单元格样式4"/>
            </w:pPr>
          </w:p>
        </w:tc>
        <w:tc>
          <w:tcPr>
            <w:tcW w:w="2551" w:type="dxa"/>
            <w:vAlign w:val="center"/>
          </w:tcPr>
          <w:p>
            <w:pPr>
              <w:pStyle w:val="单元格样式4"/>
            </w:pPr>
            <w:r>
              <w:t xml:space="preserve">106.38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106.38</w:t>
            </w:r>
          </w:p>
        </w:tc>
        <w:tc>
          <w:tcPr>
            <w:tcW w:w="2551" w:type="dxa"/>
            <w:vAlign w:val="center"/>
          </w:tcPr>
          <w:p>
            <w:pPr>
              <w:pStyle w:val="单元格样式4"/>
            </w:pPr>
          </w:p>
        </w:tc>
        <w:tc>
          <w:tcPr>
            <w:tcW w:w="2551" w:type="dxa"/>
            <w:vAlign w:val="center"/>
          </w:tcPr>
          <w:p>
            <w:pPr>
              <w:pStyle w:val="单元格样式4"/>
            </w:pPr>
            <w:r>
              <w:t xml:space="preserve">106.38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1999.72</w:t>
            </w:r>
          </w:p>
        </w:tc>
        <w:tc>
          <w:tcPr>
            <w:tcW w:w="2551" w:type="dxa"/>
            <w:vAlign w:val="center"/>
          </w:tcPr>
          <w:p>
            <w:pPr>
              <w:pStyle w:val="单元格样式7"/>
            </w:pPr>
            <w:r>
              <w:t xml:space="preserve">1892.12</w:t>
            </w:r>
          </w:p>
        </w:tc>
        <w:tc>
          <w:tcPr>
            <w:tcW w:w="2551" w:type="dxa"/>
            <w:vAlign w:val="center"/>
          </w:tcPr>
          <w:p>
            <w:pPr>
              <w:pStyle w:val="单元格样式7"/>
            </w:pPr>
            <w:r>
              <w:t xml:space="preserve">107.61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1832.96</w:t>
            </w:r>
          </w:p>
        </w:tc>
        <w:tc>
          <w:tcPr>
            <w:tcW w:w="2551" w:type="dxa"/>
            <w:vAlign w:val="center"/>
          </w:tcPr>
          <w:p>
            <w:pPr>
              <w:pStyle w:val="单元格样式4"/>
            </w:pPr>
            <w:r>
              <w:t xml:space="preserve">1832.96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650.31</w:t>
            </w:r>
          </w:p>
        </w:tc>
        <w:tc>
          <w:tcPr>
            <w:tcW w:w="2551" w:type="dxa"/>
            <w:vAlign w:val="center"/>
          </w:tcPr>
          <w:p>
            <w:pPr>
              <w:pStyle w:val="单元格样式4"/>
            </w:pPr>
            <w:r>
              <w:t xml:space="preserve">650.31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272.50</w:t>
            </w:r>
          </w:p>
        </w:tc>
        <w:tc>
          <w:tcPr>
            <w:tcW w:w="2551" w:type="dxa"/>
            <w:vAlign w:val="center"/>
          </w:tcPr>
          <w:p>
            <w:pPr>
              <w:pStyle w:val="单元格样式4"/>
            </w:pPr>
            <w:r>
              <w:t xml:space="preserve">272.50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86.20</w:t>
            </w:r>
          </w:p>
        </w:tc>
        <w:tc>
          <w:tcPr>
            <w:tcW w:w="2551" w:type="dxa"/>
            <w:vAlign w:val="center"/>
          </w:tcPr>
          <w:p>
            <w:pPr>
              <w:pStyle w:val="单元格样式4"/>
            </w:pPr>
            <w:r>
              <w:t xml:space="preserve">86.20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358.84</w:t>
            </w:r>
          </w:p>
        </w:tc>
        <w:tc>
          <w:tcPr>
            <w:tcW w:w="2551" w:type="dxa"/>
            <w:vAlign w:val="center"/>
          </w:tcPr>
          <w:p>
            <w:pPr>
              <w:pStyle w:val="单元格样式4"/>
            </w:pPr>
            <w:r>
              <w:t xml:space="preserve">358.84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77.67</w:t>
            </w:r>
          </w:p>
        </w:tc>
        <w:tc>
          <w:tcPr>
            <w:tcW w:w="2551" w:type="dxa"/>
            <w:vAlign w:val="center"/>
          </w:tcPr>
          <w:p>
            <w:pPr>
              <w:pStyle w:val="单元格样式4"/>
            </w:pPr>
            <w:r>
              <w:t xml:space="preserve">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8.46</w:t>
            </w:r>
          </w:p>
        </w:tc>
        <w:tc>
          <w:tcPr>
            <w:tcW w:w="2551" w:type="dxa"/>
            <w:vAlign w:val="center"/>
          </w:tcPr>
          <w:p>
            <w:pPr>
              <w:pStyle w:val="单元格样式4"/>
            </w:pPr>
            <w:r>
              <w:t xml:space="preserve">8.46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107.61</w:t>
            </w:r>
          </w:p>
        </w:tc>
        <w:tc>
          <w:tcPr>
            <w:tcW w:w="2551" w:type="dxa"/>
            <w:vAlign w:val="center"/>
          </w:tcPr>
          <w:p>
            <w:pPr>
              <w:pStyle w:val="单元格样式4"/>
            </w:pPr>
          </w:p>
        </w:tc>
        <w:tc>
          <w:tcPr>
            <w:tcW w:w="2551" w:type="dxa"/>
            <w:vAlign w:val="center"/>
          </w:tcPr>
          <w:p>
            <w:pPr>
              <w:pStyle w:val="单元格样式4"/>
            </w:pPr>
            <w:r>
              <w:t xml:space="preserve">107.61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25.50</w:t>
            </w:r>
          </w:p>
        </w:tc>
        <w:tc>
          <w:tcPr>
            <w:tcW w:w="2551" w:type="dxa"/>
            <w:vAlign w:val="center"/>
          </w:tcPr>
          <w:p>
            <w:pPr>
              <w:pStyle w:val="单元格样式4"/>
            </w:pPr>
          </w:p>
        </w:tc>
        <w:tc>
          <w:tcPr>
            <w:tcW w:w="2551" w:type="dxa"/>
            <w:vAlign w:val="center"/>
          </w:tcPr>
          <w:p>
            <w:pPr>
              <w:pStyle w:val="单元格样式4"/>
            </w:pPr>
            <w:r>
              <w:t xml:space="preserve">25.50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3.48</w:t>
            </w:r>
          </w:p>
        </w:tc>
        <w:tc>
          <w:tcPr>
            <w:tcW w:w="2551" w:type="dxa"/>
            <w:vAlign w:val="center"/>
          </w:tcPr>
          <w:p>
            <w:pPr>
              <w:pStyle w:val="单元格样式4"/>
            </w:pPr>
          </w:p>
        </w:tc>
        <w:tc>
          <w:tcPr>
            <w:tcW w:w="2551" w:type="dxa"/>
            <w:vAlign w:val="center"/>
          </w:tcPr>
          <w:p>
            <w:pPr>
              <w:pStyle w:val="单元格样式4"/>
            </w:pPr>
            <w:r>
              <w:t xml:space="preserve">3.48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3.63</w:t>
            </w:r>
          </w:p>
        </w:tc>
        <w:tc>
          <w:tcPr>
            <w:tcW w:w="2551" w:type="dxa"/>
            <w:vAlign w:val="center"/>
          </w:tcPr>
          <w:p>
            <w:pPr>
              <w:pStyle w:val="单元格样式4"/>
            </w:pPr>
          </w:p>
        </w:tc>
        <w:tc>
          <w:tcPr>
            <w:tcW w:w="2551" w:type="dxa"/>
            <w:vAlign w:val="center"/>
          </w:tcPr>
          <w:p>
            <w:pPr>
              <w:pStyle w:val="单元格样式4"/>
            </w:pPr>
            <w:r>
              <w:t xml:space="preserve">3.63</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59.16</w:t>
            </w:r>
          </w:p>
        </w:tc>
        <w:tc>
          <w:tcPr>
            <w:tcW w:w="2551" w:type="dxa"/>
            <w:vAlign w:val="center"/>
          </w:tcPr>
          <w:p>
            <w:pPr>
              <w:pStyle w:val="单元格样式4"/>
            </w:pPr>
            <w:r>
              <w:t xml:space="preserve">59.16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58.86</w:t>
            </w:r>
          </w:p>
        </w:tc>
        <w:tc>
          <w:tcPr>
            <w:tcW w:w="2551" w:type="dxa"/>
            <w:vAlign w:val="center"/>
          </w:tcPr>
          <w:p>
            <w:pPr>
              <w:pStyle w:val="单元格样式4"/>
            </w:pPr>
            <w:r>
              <w:t xml:space="preserve">58.86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16.00</w:t>
            </w:r>
          </w:p>
        </w:tc>
        <w:tc>
          <w:tcPr>
            <w:tcW w:w="2381" w:type="dxa"/>
            <w:vAlign w:val="center"/>
          </w:tcPr>
          <w:p>
            <w:pPr>
              <w:pStyle w:val="单元格样式7"/>
            </w:pPr>
            <w:r>
              <w:t xml:space="preserve">16.00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丰润区应急管理部门2025年单位预算信息公开情况说明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按照《中华人民共和国预算法》、《地方预决算公开操作规程》和《关于进一步推进预算公开工作的实施意见》规定，现将丰润区应急管理部门2025年单位预算公开如下：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丰润区应急管理局负责全区应急管理工作，指导区各级各部门应对安全生产类、自然灾害类等突发事件和综合防灾减灾救灾工作。</w:t>
      </w:r>
    </w:p>
    <w:p>
      <w:pPr>
        <w:pStyle w:val="插入文本样式-插入单位职责文件"/>
      </w:pPr>
      <w:r>
        <w:t xml:space="preserve">一、拟定应急管理、防震减灾、安全生产等政府规章，组织编制应急体系建设、综合防震减灾和安全生产规划。</w:t>
      </w:r>
    </w:p>
    <w:p>
      <w:pPr>
        <w:pStyle w:val="插入文本样式-插入单位职责文件"/>
      </w:pPr>
      <w:r>
        <w:t xml:space="preserve">二、组织编制区总体应急预案和安全生产类、自然灾害类专项预案，综合协调应急预案衔接工作，组织开展预案演练，推动应急避难设施建设。</w:t>
      </w:r>
    </w:p>
    <w:p>
      <w:pPr>
        <w:pStyle w:val="插入文本样式-插入单位职责文件"/>
      </w:pPr>
      <w:r>
        <w:t xml:space="preserve">三、建立监测预警和灾情报告制度，依法统一发布灾情。建立应急协调联动机制，推进指挥平台对接，衔接解放军和武警部队参与应急救援工作，指导各级及社会应急救援力量建设。</w:t>
      </w:r>
    </w:p>
    <w:p>
      <w:pPr>
        <w:pStyle w:val="插入文本样式-插入单位职责文件"/>
      </w:pPr>
      <w:r>
        <w:t xml:space="preserve">四、组织协调消防工作，指导各级消防监督、火灾预防、火灾扑救等工作。指导协调森林和草原火灾、水旱灾害、地质灾害等防治工作，负责地震灾害防御工作。</w:t>
      </w:r>
    </w:p>
    <w:p>
      <w:pPr>
        <w:pStyle w:val="插入文本样式-插入单位职责文件"/>
      </w:pPr>
      <w:r>
        <w:t xml:space="preserve">五、组织协调灾害救助工作，组织指导灾情核查、损失评估、救灾捐赠工作，管理、分配区救灾款物并监督使用。会同相关部门建立健全应急物资、救援装备信息平台和调拨制度，在救灾时统一调度。负责应急管理、防震减灾、安全生产宣传教育工作。</w:t>
      </w:r>
    </w:p>
    <w:p>
      <w:pPr>
        <w:pStyle w:val="插入文本样式-插入单位职责文件"/>
      </w:pPr>
      <w:r>
        <w:t xml:space="preserve">六、依法行使区安全生产综合监督管理职权，指导协调、监督检查区有关部门和区各乡镇、街道、开发区安全生产工作，组织开展安全生产巡查、考核工作。负责危险化学品企业安全监督管理综合工作。依法组织指导生产安全事故调查处理，监督事故查处和责任追究落实情况。组织开展自然灾害类突发事件的调查评估工作。</w:t>
      </w:r>
    </w:p>
    <w:p>
      <w:pPr>
        <w:pStyle w:val="插入文本样式-插入单位职责文件"/>
      </w:pPr>
      <w:r>
        <w:t xml:space="preserve">七、组织指导应急管理、防灾减灾、安全生产的科学技术推广应用和信息化建设工作。铁路无人看守道口的管护工作。承担唐山市丰润区安全生产委员会的具体工作，区委、区政府交办的其他任务。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丰润区应急管理部门</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2859.85万元，其中：一般公共预算收入2761.93万元，基金预算收入0.00万元，国有资本经营预算收入0.00万元，财政专户核拨收入0.00万元，单位资金收入0.00万元，上年结转结余97.92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丰润区应急管理部门年度单位预算中支出预算的总体情况。2025年支出预算2859.85万元，其中基本支出1999.72万元，包括人员经费1892.12万元和日常公用经费107.61万元；项目支出860.13万元，主要为人员经费占比66%，应急管理局在职人员112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2025年预算收支安排2859.85万元，较2024年预算减少371.59万元，其中：基本支出减少459.25万元，主要为退休人员增加，在职人员减少。项目支出增加87.66万元，主要为中央、省重点项目增加。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2025年，我单位机关运行经费共计安排107.61万元，主要用于日常维修、办公用房水电费、办公用房取暖费、办公用房物业管理费等日常运行支出。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16.00万元，其中因公出国（境）费0.00万元；公务用车购置及运维费16.00万元（其中：公务用车购置费为0.00万元，公务用车运维费16.00万元)；公务接待费0.00万元。与2024年相比减少4.00万元，增减变化的主要原因是2025年预计减少2部车辆，导致经费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1、2025年安全生产应急管理检查专项业务费项目绩效目标表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13020825P00012510002D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2025年安全生产应急管理检查专项业务费项目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执法检查业务车辆日常维护保养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1.执法检查业务车辆日常维护保养</w:t>
            </w:r>
          </w:p>
          <w:p>
            <w:pPr>
              <w:pStyle w:val="单元格样式2"/>
            </w:pPr>
            <w:r>
              <w:t xml:space="preserve">2.保障执法检查常运转..</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执法检查用车数量</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保证各项工作顺利开展效率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执法检查用车维护时限</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燃油费、保险费、维修费每辆费用</w:t>
            </w:r>
          </w:p>
        </w:tc>
        <w:tc>
          <w:tcPr>
            <w:tcW w:w="2268" w:type="dxa"/>
            <w:vAlign w:val="center"/>
          </w:tcPr>
          <w:p>
            <w:pPr>
              <w:pStyle w:val="单元格样式2"/>
            </w:pPr>
            <w:r>
              <w:t xml:space="preserve">≤0.84万元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保障执法检查工作正常有序开展效果率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2、2025年地震监测点维护项目绩效目标表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13020825P00012110003A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2025年地震监测点维护项目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保障工作正常开展，及时发布信息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1.保障地震维护点正常工作</w:t>
            </w:r>
          </w:p>
          <w:p>
            <w:pPr>
              <w:pStyle w:val="单元格样式2"/>
            </w:pPr>
            <w:r>
              <w:t xml:space="preserve">2.保障工作正常开展，及时发布信息</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对维护点进行日常维护月数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保障地震维护点正常工作效率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保障工作正常开展，及时发布信息</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每次地震点日常维护成本</w:t>
            </w:r>
          </w:p>
        </w:tc>
        <w:tc>
          <w:tcPr>
            <w:tcW w:w="2268" w:type="dxa"/>
            <w:vAlign w:val="center"/>
          </w:tcPr>
          <w:p>
            <w:pPr>
              <w:pStyle w:val="单元格样式2"/>
            </w:pPr>
            <w:r>
              <w:t xml:space="preserve">≤0.17万元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地震点工作正常效率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3、2025年农房保险项目绩效目标表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2025年农房保险项目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保证农村住房保险各项工作顺利开展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1.保证农村住房保险各项工作顺利开展</w:t>
            </w:r>
          </w:p>
          <w:p>
            <w:pPr>
              <w:pStyle w:val="单元格样式2"/>
            </w:pPr>
            <w:r>
              <w:t xml:space="preserve">2.保障农村住房保险工作正常办公</w:t>
            </w:r>
          </w:p>
          <w:p>
            <w:pPr>
              <w:pStyle w:val="单元格样式2"/>
            </w:pPr>
            <w:r>
              <w:t xml:space="preserve">3.保障农村住房保险工作正常有序开展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缴纳农村住房保险月数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保证农村住房保险各项工作顺利开展率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缴纳农村住房保险时限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缴纳农村住房保险每月费用</w:t>
            </w:r>
          </w:p>
        </w:tc>
        <w:tc>
          <w:tcPr>
            <w:tcW w:w="2268" w:type="dxa"/>
            <w:vAlign w:val="center"/>
          </w:tcPr>
          <w:p>
            <w:pPr>
              <w:pStyle w:val="单元格样式2"/>
            </w:pPr>
            <w:r>
              <w:t xml:space="preserve">≤10.7万元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4、2025年聘请第三方协查项目安全隐患排查技术服务费（2023年11月21至2025年11月20日两年）项目绩效目标表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13020825P000122100030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2025年聘请第三方协查项目安全隐患排查技术服务费（2023年11月21至2025年11月20日两年）项目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对辖区内生产经营单位进行安全生产检查，排除安全隐患，减少事故的发生、保障生产经营单位正常运转及人员生命安全。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1.聘请第三方协查项目安全隐患排查</w:t>
            </w:r>
            <w:r>
              <w:rPr/>
              <w:tab/>
            </w:r>
            <w:r>
              <w:rPr/>
              <w:tab/>
            </w:r>
            <w:r>
              <w:rPr/>
              <w:tab/>
            </w:r>
            <w:r>
              <w:rPr/>
              <w:tab/>
            </w:r>
            <w:r>
              <w:rPr/>
              <w:tab/>
            </w:r>
          </w:p>
          <w:p>
            <w:pPr>
              <w:pStyle w:val="单元格样式2"/>
            </w:pPr>
          </w:p>
          <w:p>
            <w:pPr>
              <w:pStyle w:val="单元格样式2"/>
            </w:pPr>
            <w:r>
              <w:t xml:space="preserve">2.对辖区内生产经营单位进行安全生产检查，排除安全隐患，减少事故的发生、保障生产经营单位正常运转及人员生命安全。</w:t>
            </w:r>
          </w:p>
          <w:p>
            <w:pPr>
              <w:pStyle w:val="单元格样式2"/>
            </w:pPr>
            <w:r>
              <w:t xml:space="preserve">3.保障工作正常有序开展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深入企业，排除安全隐患，消除事故</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排除安全隐患，消除事故发生效率</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保障工作正常有序开展</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每家企业排除隐患所需成本</w:t>
            </w:r>
          </w:p>
        </w:tc>
        <w:tc>
          <w:tcPr>
            <w:tcW w:w="2268" w:type="dxa"/>
            <w:vAlign w:val="center"/>
          </w:tcPr>
          <w:p>
            <w:pPr>
              <w:pStyle w:val="单元格样式2"/>
            </w:pPr>
            <w:r>
              <w:t xml:space="preserve">≤17.92万元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排除安全隐患，保障人民生命财产安全，企业健康发展效率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5、2025年森林防灭火、防汛、救灾、安全生产等综合应急演练费项目绩效目标表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13020825P000128100032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2025年森林防灭火、防汛、救灾、安全生产等综合应急演练费项目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科学筹划提升应急突发事件处置能力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1.科学筹划提升应急突发事件处置能力，</w:t>
            </w:r>
            <w:r>
              <w:rPr/>
              <w:tab/>
            </w:r>
            <w:r>
              <w:rPr/>
              <w:tab/>
            </w:r>
            <w:r>
              <w:rPr/>
              <w:tab/>
            </w:r>
            <w:r>
              <w:rPr/>
              <w:tab/>
            </w:r>
            <w:r>
              <w:rPr/>
              <w:tab/>
            </w:r>
          </w:p>
          <w:p>
            <w:pPr>
              <w:pStyle w:val="单元格样式2"/>
            </w:pPr>
          </w:p>
          <w:p>
            <w:pPr>
              <w:pStyle w:val="单元格样式2"/>
            </w:pPr>
            <w:r>
              <w:t xml:space="preserve">2.提升应急工作保障能力。</w:t>
            </w:r>
            <w:r>
              <w:rPr/>
              <w:tab/>
            </w:r>
            <w:r>
              <w:rPr/>
              <w:tab/>
            </w:r>
            <w:r>
              <w:rPr/>
              <w:tab/>
            </w:r>
            <w:r>
              <w:rPr/>
              <w:tab/>
            </w:r>
            <w:r>
              <w:rPr/>
              <w:tab/>
            </w:r>
          </w:p>
          <w:p>
            <w:pPr>
              <w:pStyle w:val="单元格样式2"/>
            </w:pPr>
          </w:p>
          <w:p>
            <w:pPr>
              <w:pStyle w:val="单元格样式2"/>
            </w:pPr>
            <w:r>
              <w:t xml:space="preserve">3.保障防灾减灾正常有序开展，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综合应急演练开展月数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综合应急演练开展效果率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综合应急演练工作完成时限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综合应急演练工作每月成本</w:t>
            </w:r>
          </w:p>
        </w:tc>
        <w:tc>
          <w:tcPr>
            <w:tcW w:w="2268" w:type="dxa"/>
            <w:vAlign w:val="center"/>
          </w:tcPr>
          <w:p>
            <w:pPr>
              <w:pStyle w:val="单元格样式2"/>
            </w:pPr>
            <w:r>
              <w:t xml:space="preserve">≤0.84万元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提升应急工作保障能力工作开展效率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"文件要求</w:t>
            </w:r>
          </w:p>
          <w:p>
            <w:pPr>
              <w:pStyle w:val="单元格样式2"/>
            </w:pPr>
            <w:r>
              <w:t xml:space="preserve">"</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6、2025年铁道口监护人员补贴（不含保险）绩效目标表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13020825P00012910003P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2025年铁道口监护人员补贴（不含保险）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安排监护员对铁路道口24小时对巡视，监护。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1."保障道口畅通，人员安全，对道口巡视，监护。</w:t>
            </w:r>
            <w:r>
              <w:rPr/>
              <w:tab/>
            </w:r>
            <w:r>
              <w:rPr/>
              <w:tab/>
            </w:r>
            <w:r>
              <w:rPr/>
              <w:t xml:space="preserve">"</w:t>
            </w:r>
            <w:r>
              <w:rPr/>
              <w:tab/>
            </w:r>
            <w:r>
              <w:rPr/>
              <w:tab/>
            </w:r>
            <w:r>
              <w:rPr/>
              <w:tab/>
            </w:r>
            <w:r>
              <w:rPr/>
              <w:tab/>
            </w:r>
            <w:r>
              <w:rPr/>
              <w:tab/>
            </w:r>
          </w:p>
          <w:p>
            <w:pPr>
              <w:pStyle w:val="单元格样式2"/>
            </w:pPr>
          </w:p>
          <w:p>
            <w:pPr>
              <w:pStyle w:val="单元格样式2"/>
            </w:pPr>
            <w:r>
              <w:t xml:space="preserve">2.安排监护员对铁路道口24小时对巡视，监护。 </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对道口巡视，监护员人数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保障道口畅通，人员安全工作开展效率</w:t>
            </w:r>
          </w:p>
        </w:tc>
        <w:tc>
          <w:tcPr>
            <w:tcW w:w="2268" w:type="dxa"/>
            <w:vAlign w:val="center"/>
          </w:tcPr>
          <w:p>
            <w:pPr>
              <w:pStyle w:val="单元格样式2"/>
            </w:pPr>
            <w:r>
              <w:t xml:space="preserve">≥96百分比</w:t>
            </w:r>
          </w:p>
        </w:tc>
        <w:tc>
          <w:tcPr>
            <w:tcW w:w="1276" w:type="dxa"/>
            <w:vAlign w:val="center"/>
          </w:tcPr>
          <w:p>
            <w:pPr>
              <w:pStyle w:val="单元格样式2"/>
            </w:pPr>
          </w:p>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铁道口监护人员补贴每月所需成本</w:t>
            </w:r>
          </w:p>
        </w:tc>
        <w:tc>
          <w:tcPr>
            <w:tcW w:w="2268" w:type="dxa"/>
            <w:vAlign w:val="center"/>
          </w:tcPr>
          <w:p>
            <w:pPr>
              <w:pStyle w:val="单元格样式2"/>
            </w:pPr>
            <w:r>
              <w:t xml:space="preserve">≤16.91万元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保障铁路道口畅通工作开展效率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7、2025年铁路道口的办公费、取暖费、杂费、设备更新、安全奖、防暑降温费、物业、水电费、劳保、意外伤害险、煤气费等费用项目绩效目标表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13020825P00013210002K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2025年铁路道口的办公费、取暖费、杂费、设备更新、安全奖、防暑降温费、物业、水电费、劳保、意外伤害险、煤气费等费用项目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保障道口畅通，人员安全，对道口巡视，监护。</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1.保障道口畅通，人员安全，对道口巡视，监护。</w:t>
            </w:r>
            <w:r>
              <w:rPr/>
              <w:tab/>
            </w:r>
          </w:p>
          <w:p>
            <w:pPr>
              <w:pStyle w:val="单元格样式2"/>
            </w:pPr>
          </w:p>
          <w:p>
            <w:pPr>
              <w:pStyle w:val="单元格样式2"/>
            </w:pPr>
            <w:r>
              <w:t xml:space="preserve">2.年底达到年初制定目标</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对道口巡视，监护月数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保障道口畅通工作开展效率</w:t>
            </w:r>
          </w:p>
        </w:tc>
        <w:tc>
          <w:tcPr>
            <w:tcW w:w="2268" w:type="dxa"/>
            <w:vAlign w:val="center"/>
          </w:tcPr>
          <w:p>
            <w:pPr>
              <w:pStyle w:val="单元格样式2"/>
            </w:pPr>
            <w:r>
              <w:t xml:space="preserve">≥93百分比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每月道口维护所需成本</w:t>
            </w:r>
          </w:p>
        </w:tc>
        <w:tc>
          <w:tcPr>
            <w:tcW w:w="2268" w:type="dxa"/>
            <w:vAlign w:val="center"/>
          </w:tcPr>
          <w:p>
            <w:pPr>
              <w:pStyle w:val="单元格样式2"/>
            </w:pPr>
            <w:r>
              <w:t xml:space="preserve">≤1.25万元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保障铁路道口畅通工作取得成果效率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8、2025年网络维护费项目绩效目标表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13020825P00012310003M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2025年网络维护费项目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安全网是专网,按省市要求及工作实际，专网和外网的维护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1.安全网是专网,按省市要求及工作实际，专网和外网的维护</w:t>
            </w:r>
          </w:p>
          <w:p>
            <w:pPr>
              <w:pStyle w:val="单元格样式2"/>
            </w:pPr>
            <w:r>
              <w:t xml:space="preserve">2.保障上传下达畅通，传达到位</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安全网是专网,按省市要求及工作实际，专网和外网的维护</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网络维护工作开展率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按时及时，确保到位率</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每次网络维护成本</w:t>
            </w:r>
          </w:p>
        </w:tc>
        <w:tc>
          <w:tcPr>
            <w:tcW w:w="2268" w:type="dxa"/>
            <w:vAlign w:val="center"/>
          </w:tcPr>
          <w:p>
            <w:pPr>
              <w:pStyle w:val="单元格样式2"/>
            </w:pPr>
            <w:r>
              <w:t xml:space="preserve">≤800元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网络维护工作开展效果率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9、2025年宣传、印刷费项目绩效目标表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13020825P00012410003B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2025年宣传、印刷费项目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印刷检查、处罚传法律文件、相关文件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1.印刷检查、处罚传法律文件、相关文件</w:t>
            </w:r>
          </w:p>
          <w:p>
            <w:pPr>
              <w:pStyle w:val="单元格样式2"/>
            </w:pPr>
            <w:r>
              <w:t xml:space="preserve">2.印刷宣传法律文件、安全生产检查文件。</w:t>
            </w:r>
          </w:p>
          <w:p>
            <w:pPr>
              <w:pStyle w:val="单元格样式2"/>
            </w:pPr>
            <w:r>
              <w:t xml:space="preserve">3.用于印刷执法传法律文件、文书。</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开展次数</w:t>
            </w:r>
          </w:p>
        </w:tc>
        <w:tc>
          <w:tcPr>
            <w:tcW w:w="5386" w:type="dxa"/>
            <w:vAlign w:val="center"/>
          </w:tcPr>
          <w:p>
            <w:pPr>
              <w:pStyle w:val="单元格样式2"/>
            </w:pPr>
            <w:r>
              <w:t xml:space="preserve">印刷安全生产文书使用检查单位</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开展文件及时传达，宣传效率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检验标准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每家企业需印刷相关文书成本</w:t>
            </w:r>
          </w:p>
        </w:tc>
        <w:tc>
          <w:tcPr>
            <w:tcW w:w="2268" w:type="dxa"/>
            <w:vAlign w:val="center"/>
          </w:tcPr>
          <w:p>
            <w:pPr>
              <w:pStyle w:val="单元格样式2"/>
            </w:pPr>
            <w:r>
              <w:t xml:space="preserve">≤2500元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开展工作使企业了解及时上级精神、安全生产行业动态的效率。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10、2025年汛期基本物资费项目绩效目标表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2025年汛期基本物资费项目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进一步提升全市水旱灾害防御工作效能及救灾物资应急保障能力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1.确保遇有突发水旱灾害时，防汛应急救灾物资充足可用。</w:t>
            </w:r>
          </w:p>
          <w:p>
            <w:pPr>
              <w:pStyle w:val="单元格样式2"/>
            </w:pPr>
            <w:r>
              <w:t xml:space="preserve">2.进一步提升全市水旱灾害防御工作效能及救灾物资应急保障能力</w:t>
            </w:r>
          </w:p>
          <w:p>
            <w:pPr>
              <w:pStyle w:val="单元格样式2"/>
            </w:pPr>
            <w:r>
              <w:t xml:space="preserve">3.保障抗旱应急物资储备有序开展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防汛工作开心月数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保证物资初步工作顺利开展效率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防汛基本物资开展时限</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防汛物资每月成本</w:t>
            </w:r>
          </w:p>
        </w:tc>
        <w:tc>
          <w:tcPr>
            <w:tcW w:w="2268" w:type="dxa"/>
            <w:vAlign w:val="center"/>
          </w:tcPr>
          <w:p>
            <w:pPr>
              <w:pStyle w:val="单元格样式2"/>
            </w:pPr>
            <w:r>
              <w:t xml:space="preserve">≤4166元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保证危险化学品安全生产各项工作顺利开展效率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11、2025年应急救援大队救援人员工资及保险绩效目标表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13020825P00013010003U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2025年应急救援大队救援人员工资及保险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科学筹划提升应急突发事件处置能力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1.科学筹划提升应急突发事件处置能力，</w:t>
            </w:r>
          </w:p>
          <w:p>
            <w:pPr>
              <w:pStyle w:val="单元格样式2"/>
            </w:pPr>
            <w:r>
              <w:t xml:space="preserve">2.提升应急工作保障能力。</w:t>
            </w:r>
          </w:p>
          <w:p>
            <w:pPr>
              <w:pStyle w:val="单元格样式2"/>
            </w:pPr>
            <w:r>
              <w:t xml:space="preserve">3.保障防灾减灾正常有序开展，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应急救援大队救援员人数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提升应急救援能力效果率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开展工作时限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每月所需成本</w:t>
            </w:r>
          </w:p>
        </w:tc>
        <w:tc>
          <w:tcPr>
            <w:tcW w:w="2268" w:type="dxa"/>
            <w:vAlign w:val="center"/>
          </w:tcPr>
          <w:p>
            <w:pPr>
              <w:pStyle w:val="单元格样式2"/>
            </w:pPr>
            <w:r>
              <w:t xml:space="preserve">≤4.9万元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保障火灾扑救抢险救援工作正常有序开展率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12、2025年执法服装费项目绩效目标表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13020825P00013110003H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2025年执法服装费项目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保障工作正常有序开展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1.保证各项工作顺利开展</w:t>
            </w:r>
            <w:r>
              <w:rPr/>
              <w:tab/>
            </w:r>
            <w:r>
              <w:rPr/>
              <w:tab/>
            </w:r>
            <w:r>
              <w:rPr/>
              <w:tab/>
            </w:r>
            <w:r>
              <w:rPr/>
              <w:tab/>
            </w:r>
            <w:r>
              <w:rPr/>
              <w:tab/>
            </w:r>
          </w:p>
          <w:p>
            <w:pPr>
              <w:pStyle w:val="单元格样式2"/>
            </w:pPr>
          </w:p>
          <w:p>
            <w:pPr>
              <w:pStyle w:val="单元格样式2"/>
            </w:pPr>
            <w:r>
              <w:t xml:space="preserve">2.保障正常办公顺利开展</w:t>
            </w:r>
            <w:r>
              <w:rPr/>
              <w:tab/>
            </w:r>
            <w:r>
              <w:rPr/>
              <w:tab/>
            </w:r>
            <w:r>
              <w:rPr/>
              <w:tab/>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需配发执法服装人员数量</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保证各项工作顺利开展效率</w:t>
            </w:r>
          </w:p>
        </w:tc>
        <w:tc>
          <w:tcPr>
            <w:tcW w:w="2268" w:type="dxa"/>
            <w:vAlign w:val="center"/>
          </w:tcPr>
          <w:p>
            <w:pPr>
              <w:pStyle w:val="单元格样式2"/>
            </w:pPr>
            <w:r>
              <w:t xml:space="preserve">≥95百分百</w:t>
            </w: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需配发执法服装时限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每年配发每人服装费用</w:t>
            </w:r>
          </w:p>
        </w:tc>
        <w:tc>
          <w:tcPr>
            <w:tcW w:w="2268" w:type="dxa"/>
            <w:vAlign w:val="center"/>
          </w:tcPr>
          <w:p>
            <w:pPr>
              <w:pStyle w:val="单元格样式2"/>
            </w:pPr>
            <w:r>
              <w:t xml:space="preserve">≤0.74万元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每年配发每人服装费用</w:t>
            </w:r>
          </w:p>
        </w:tc>
        <w:tc>
          <w:tcPr>
            <w:tcW w:w="2268" w:type="dxa"/>
            <w:vAlign w:val="center"/>
          </w:tcPr>
          <w:p>
            <w:pPr>
              <w:pStyle w:val="单元格样式2"/>
            </w:pPr>
            <w:r>
              <w:t xml:space="preserve">≥97百分百</w:t>
            </w:r>
          </w:p>
        </w:tc>
        <w:tc>
          <w:tcPr>
            <w:tcW w:w="1276" w:type="dxa"/>
            <w:vAlign w:val="center"/>
          </w:tcPr>
          <w:p>
            <w:pPr>
              <w:pStyle w:val="单元格样式2"/>
            </w:pPr>
            <w:r>
              <w:t xml:space="preserve">行业标准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≥98百分百</w:t>
            </w:r>
          </w:p>
        </w:tc>
        <w:tc>
          <w:tcPr>
            <w:tcW w:w="1276" w:type="dxa"/>
            <w:vAlign w:val="center"/>
          </w:tcPr>
          <w:p>
            <w:pPr>
              <w:pStyle w:val="单元格样式2"/>
            </w:pPr>
            <w:r>
              <w:t xml:space="preserve">文件要求</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13、2025年自然灾害救灾补助专项资金（省级）绩效目标表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13020825P000120100021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2025年自然灾害救灾补助专项资金（省级）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保证农村住房保险各项工作顺利开展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1.保证农村住房保险各项工作顺利开展率</w:t>
            </w:r>
            <w:r>
              <w:rPr/>
              <w:tab/>
            </w:r>
            <w:r>
              <w:rPr/>
              <w:tab/>
            </w:r>
          </w:p>
          <w:p>
            <w:pPr>
              <w:pStyle w:val="单元格样式2"/>
            </w:pPr>
          </w:p>
          <w:p>
            <w:pPr>
              <w:pStyle w:val="单元格样式2"/>
            </w:pPr>
            <w:r>
              <w:t xml:space="preserve">2.保障农村住房保险工作正常有序开展</w:t>
            </w:r>
          </w:p>
          <w:p>
            <w:pPr>
              <w:pStyle w:val="单元格样式2"/>
            </w:pPr>
            <w:r>
              <w:t xml:space="preserve">3.保证各项工作顺利开展效率</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缴纳农村住房保险月数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保证农村住房保险各项工作顺利开展率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缴纳农村住房保险时限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缴纳农村住房保险每月费用</w:t>
            </w:r>
          </w:p>
        </w:tc>
        <w:tc>
          <w:tcPr>
            <w:tcW w:w="2268" w:type="dxa"/>
            <w:vAlign w:val="center"/>
          </w:tcPr>
          <w:p>
            <w:pPr>
              <w:pStyle w:val="单元格样式2"/>
            </w:pPr>
            <w:r>
              <w:t xml:space="preserve">≤8.9万元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14、增发2023年国债灾害应急能力提升工程（应急领域）补助资金项目绩效目标表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13020824P00016110004C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增发2023年国债灾害应急能力提升工程（应急领域）补助资金项目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关于下达增发2023年国债自然灾害应急能力提升工程（应急领域）补助资金文件精神，中央项目资金87.2万元。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1.确保灾害防治体系建工作设有序展开</w:t>
            </w:r>
          </w:p>
          <w:p>
            <w:pPr>
              <w:pStyle w:val="单元格样式2"/>
            </w:pPr>
            <w:r>
              <w:t xml:space="preserve">2.保证各项工作顺利开展</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≤4.09万元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15、增发2023年国债灾害应急能力提升工程（应急领域）补助资金项目（省级配套）绩效目标表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13020824P00016010002F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增发2023年国债灾害应急能力提升工程（应急领域）补助资金项目（省级配套）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关于下达增发2023年国债自然灾害应急能力提升工程（应急领域）补助资金文件精神，省级配套补助资金7.267万元。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1.保障工作正常有序开展</w:t>
            </w:r>
            <w:r>
              <w:rPr/>
              <w:tab/>
            </w:r>
            <w:r>
              <w:rPr/>
              <w:tab/>
            </w:r>
            <w:r>
              <w:rPr/>
              <w:tab/>
            </w:r>
            <w:r>
              <w:rPr/>
              <w:tab/>
            </w:r>
            <w:r>
              <w:rPr/>
              <w:tab/>
            </w:r>
          </w:p>
          <w:p>
            <w:pPr>
              <w:pStyle w:val="单元格样式2"/>
            </w:pPr>
            <w:r>
              <w:tab/>
            </w:r>
            <w:r>
              <w:rPr/>
              <w:tab/>
            </w:r>
            <w:r>
              <w:rPr/>
              <w:tab/>
            </w:r>
            <w:r>
              <w:rPr/>
              <w:tab/>
            </w:r>
            <w:r>
              <w:rPr/>
              <w:tab/>
            </w:r>
          </w:p>
          <w:p>
            <w:pPr>
              <w:pStyle w:val="单元格样式2"/>
            </w:pPr>
          </w:p>
          <w:p>
            <w:pPr>
              <w:pStyle w:val="单元格样式2"/>
            </w:pPr>
            <w:r>
              <w:t xml:space="preserve">2.确保灾害防治体系建工作设有序展开</w:t>
            </w:r>
          </w:p>
          <w:p>
            <w:pPr>
              <w:pStyle w:val="单元格样式2"/>
            </w:pPr>
          </w:p>
          <w:p>
            <w:pPr>
              <w:pStyle w:val="单元格样式2"/>
            </w:pPr>
            <w:r>
              <w:t xml:space="preserve">3.保证各项工作顺利开展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≤0.34万元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16、增发2023年国债自然灾害能力提升工程（应急领域基层防灾防灾工程）补助资金项目绩效目标表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13020824P00016210005M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增发2023年国债自然灾害能力提升工程（应急领域基层防灾防灾工程）补助资金项目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唐财建（2024）15号增发2023年国债自然灾害能力提升工程（应急领域基层防灾防灾工程）补助资金项目(中央配套)</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1.确保灾害防治体系建工作设有序展开</w:t>
            </w:r>
          </w:p>
          <w:p>
            <w:pPr>
              <w:pStyle w:val="单元格样式2"/>
            </w:pPr>
            <w:r>
              <w:t xml:space="preserve">2.完善灾害防治体系</w:t>
            </w:r>
          </w:p>
          <w:p>
            <w:pPr>
              <w:pStyle w:val="单元格样式2"/>
            </w:pPr>
          </w:p>
          <w:p>
            <w:pPr>
              <w:pStyle w:val="单元格样式2"/>
            </w:pPr>
            <w:r>
              <w:t xml:space="preserve">3.保障灾害防治工作顺利开展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17、增发2023年国债自然灾害能力提升工程（应急领域基层防灾防灾工程）补助资金项目(省级配套)绩效目标表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13020824P000163100034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增发2023年国债自然灾害能力提升工程（应急领域基层防灾防灾工程）补助资金项目(省级配套)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唐财建（2024）16号增发2023年国债自然灾害能力提升工程（应急领域基层防灾防灾工程）补助资金项目(省级配套)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1.保障工作正常有序开展</w:t>
            </w:r>
            <w:r>
              <w:rPr/>
              <w:tab/>
            </w:r>
            <w:r>
              <w:rPr/>
              <w:tab/>
            </w:r>
            <w:r>
              <w:rPr/>
              <w:tab/>
            </w:r>
            <w:r>
              <w:rPr/>
              <w:tab/>
            </w:r>
            <w:r>
              <w:rPr/>
              <w:tab/>
            </w:r>
          </w:p>
          <w:p>
            <w:pPr>
              <w:pStyle w:val="单元格样式2"/>
            </w:pPr>
            <w:r>
              <w:tab/>
            </w:r>
            <w:r>
              <w:rPr/>
              <w:tab/>
            </w:r>
            <w:r>
              <w:rPr/>
              <w:tab/>
            </w:r>
            <w:r>
              <w:rPr/>
              <w:tab/>
            </w:r>
            <w:r>
              <w:rPr/>
              <w:tab/>
            </w:r>
          </w:p>
          <w:p>
            <w:pPr>
              <w:pStyle w:val="单元格样式2"/>
            </w:pPr>
          </w:p>
          <w:p>
            <w:pPr>
              <w:pStyle w:val="单元格样式2"/>
            </w:pPr>
            <w:r>
              <w:t xml:space="preserve">2.确保灾害防治体系建工作设有序展开</w:t>
            </w:r>
          </w:p>
          <w:p>
            <w:pPr>
              <w:pStyle w:val="单元格样式2"/>
            </w:pPr>
            <w:r>
              <w:t xml:space="preserve">3.保证各项工作顺利开展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≤0.26万元</w:t>
            </w:r>
          </w:p>
        </w:tc>
        <w:tc>
          <w:tcPr>
            <w:tcW w:w="1276" w:type="dxa"/>
            <w:vAlign w:val="center"/>
          </w:tcPr>
          <w:p>
            <w:pPr>
              <w:pStyle w:val="单元格样式2"/>
            </w:pPr>
            <w:r>
              <w:t xml:space="preserve">预算标准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丰润区应急管理部门上年末固定资产金额为2127004.00万元（详见下表）。本年度拟购置固定资产总额为2127004.00万元，已按要求列入政府采购预算，详见政府采购预算表。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426001丰润区应急管理部门</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2127004.00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1390426.00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163</w:t>
            </w:r>
          </w:p>
        </w:tc>
        <w:tc>
          <w:tcPr>
            <w:tcW w:w="2835" w:type="dxa"/>
            <w:vAlign w:val="center"/>
          </w:tcPr>
          <w:p>
            <w:pPr>
              <w:pStyle w:val="单元格样式4"/>
            </w:pPr>
            <w:r>
              <w:t xml:space="preserve">736578.00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二、丰润区应急管理局消防队收支预算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丰润区应急管理局消防队2025年单位预算信息公开情况说明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按照《中华人民共和国预算法》、《地方预决算公开操作规程》和《关于进一步推进预算公开工作的实施意见》规定，现将丰润区应急管理局消防队2025年单位预算公开如下：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丰润区应急管理局消防队</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丰润区应急管理局消防队上年末固定资产金额为0.00万元（详见下表）。本年度拟购置固定资产总额为0.00万元，已按要求列入政府采购预算，详见政府采购预算表。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426002丰润区应急管理局消防队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2025-02-25T18:38:06Z</dcterms:created>
  <dcterms:modified xsi:type="dcterms:W3CDTF">2025-02-25T18:38:06Z</dcterms:modified>
</cp:coreProperties>
</file>