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22</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23</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40</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40</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40</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41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426丰润区应急管理部门</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2761.93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154.11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177.67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124.87</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2403.20</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2761.93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2859.85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97.92</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2859.85</w:t>
            </w:r>
          </w:p>
        </w:tc>
        <w:tc>
          <w:tcPr>
            <w:tcW w:w="4535" w:type="dxa"/>
            <w:vAlign w:val="center"/>
          </w:tcPr>
          <w:p>
            <w:pPr>
              <w:pStyle w:val="单元格样式6"/>
            </w:pPr>
            <w:r>
              <w:t xml:space="preserve">支出总计</w:t>
            </w:r>
          </w:p>
        </w:tc>
        <w:tc>
          <w:tcPr>
            <w:tcW w:w="2126" w:type="dxa"/>
            <w:vAlign w:val="center"/>
          </w:tcPr>
          <w:p>
            <w:pPr>
              <w:pStyle w:val="单元格样式7"/>
            </w:pPr>
            <w:r>
              <w:t xml:space="preserve">2859.85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426丰润区应急管理部门</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2859.85</w:t>
            </w:r>
          </w:p>
        </w:tc>
        <w:tc>
          <w:tcPr>
            <w:tcW w:w="1134" w:type="dxa"/>
            <w:vAlign w:val="center"/>
          </w:tcPr>
          <w:p>
            <w:pPr>
              <w:pStyle w:val="单元格样式7"/>
            </w:pPr>
            <w:r>
              <w:t xml:space="preserve">2761.93</w:t>
            </w:r>
          </w:p>
        </w:tc>
        <w:tc>
          <w:tcPr>
            <w:tcW w:w="1134" w:type="dxa"/>
            <w:vAlign w:val="center"/>
          </w:tcPr>
          <w:p>
            <w:pPr>
              <w:pStyle w:val="单元格样式7"/>
            </w:pPr>
            <w:r>
              <w:t xml:space="preserve">2761.93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97.92</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154.11</w:t>
            </w:r>
          </w:p>
        </w:tc>
        <w:tc>
          <w:tcPr>
            <w:tcW w:w="1134" w:type="dxa"/>
            <w:vAlign w:val="center"/>
          </w:tcPr>
          <w:p>
            <w:pPr>
              <w:pStyle w:val="单元格样式4"/>
            </w:pPr>
            <w:r>
              <w:t xml:space="preserve">154.11</w:t>
            </w:r>
          </w:p>
        </w:tc>
        <w:tc>
          <w:tcPr>
            <w:tcW w:w="1134" w:type="dxa"/>
            <w:vAlign w:val="center"/>
          </w:tcPr>
          <w:p>
            <w:pPr>
              <w:pStyle w:val="单元格样式4"/>
            </w:pPr>
            <w:r>
              <w:t xml:space="preserve">154.11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154.11</w:t>
            </w:r>
          </w:p>
        </w:tc>
        <w:tc>
          <w:tcPr>
            <w:tcW w:w="1134" w:type="dxa"/>
            <w:vAlign w:val="center"/>
          </w:tcPr>
          <w:p>
            <w:pPr>
              <w:pStyle w:val="单元格样式4"/>
            </w:pPr>
            <w:r>
              <w:t xml:space="preserve">154.11</w:t>
            </w:r>
          </w:p>
        </w:tc>
        <w:tc>
          <w:tcPr>
            <w:tcW w:w="1134" w:type="dxa"/>
            <w:vAlign w:val="center"/>
          </w:tcPr>
          <w:p>
            <w:pPr>
              <w:pStyle w:val="单元格样式4"/>
            </w:pPr>
            <w:r>
              <w:t xml:space="preserve">154.11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154.11</w:t>
            </w:r>
          </w:p>
        </w:tc>
        <w:tc>
          <w:tcPr>
            <w:tcW w:w="1134" w:type="dxa"/>
            <w:vAlign w:val="center"/>
          </w:tcPr>
          <w:p>
            <w:pPr>
              <w:pStyle w:val="单元格样式4"/>
            </w:pPr>
            <w:r>
              <w:t xml:space="preserve">154.11</w:t>
            </w:r>
          </w:p>
        </w:tc>
        <w:tc>
          <w:tcPr>
            <w:tcW w:w="1134" w:type="dxa"/>
            <w:vAlign w:val="center"/>
          </w:tcPr>
          <w:p>
            <w:pPr>
              <w:pStyle w:val="单元格样式4"/>
            </w:pPr>
            <w:r>
              <w:t xml:space="preserve">154.11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177.67</w:t>
            </w:r>
          </w:p>
        </w:tc>
        <w:tc>
          <w:tcPr>
            <w:tcW w:w="1134" w:type="dxa"/>
            <w:vAlign w:val="center"/>
          </w:tcPr>
          <w:p>
            <w:pPr>
              <w:pStyle w:val="单元格样式4"/>
            </w:pPr>
            <w:r>
              <w:t xml:space="preserve">177.67</w:t>
            </w:r>
          </w:p>
        </w:tc>
        <w:tc>
          <w:tcPr>
            <w:tcW w:w="1134" w:type="dxa"/>
            <w:vAlign w:val="center"/>
          </w:tcPr>
          <w:p>
            <w:pPr>
              <w:pStyle w:val="单元格样式4"/>
            </w:pPr>
            <w:r>
              <w:t xml:space="preserve">177.67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177.67</w:t>
            </w:r>
          </w:p>
        </w:tc>
        <w:tc>
          <w:tcPr>
            <w:tcW w:w="1134" w:type="dxa"/>
            <w:vAlign w:val="center"/>
          </w:tcPr>
          <w:p>
            <w:pPr>
              <w:pStyle w:val="单元格样式4"/>
            </w:pPr>
            <w:r>
              <w:t xml:space="preserve">177.67</w:t>
            </w:r>
          </w:p>
        </w:tc>
        <w:tc>
          <w:tcPr>
            <w:tcW w:w="1134" w:type="dxa"/>
            <w:vAlign w:val="center"/>
          </w:tcPr>
          <w:p>
            <w:pPr>
              <w:pStyle w:val="单元格样式4"/>
            </w:pPr>
            <w:r>
              <w:t xml:space="preserve">177.67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77.67</w:t>
            </w:r>
          </w:p>
        </w:tc>
        <w:tc>
          <w:tcPr>
            <w:tcW w:w="1134" w:type="dxa"/>
            <w:vAlign w:val="center"/>
          </w:tcPr>
          <w:p>
            <w:pPr>
              <w:pStyle w:val="单元格样式4"/>
            </w:pPr>
            <w:r>
              <w:t xml:space="preserve">77.67</w:t>
            </w:r>
          </w:p>
        </w:tc>
        <w:tc>
          <w:tcPr>
            <w:tcW w:w="1134" w:type="dxa"/>
            <w:vAlign w:val="center"/>
          </w:tcPr>
          <w:p>
            <w:pPr>
              <w:pStyle w:val="单元格样式4"/>
            </w:pPr>
            <w:r>
              <w:t xml:space="preserve">77.67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124.87</w:t>
            </w:r>
          </w:p>
        </w:tc>
        <w:tc>
          <w:tcPr>
            <w:tcW w:w="1134" w:type="dxa"/>
            <w:vAlign w:val="center"/>
          </w:tcPr>
          <w:p>
            <w:pPr>
              <w:pStyle w:val="单元格样式4"/>
            </w:pPr>
            <w:r>
              <w:t xml:space="preserve">124.87</w:t>
            </w:r>
          </w:p>
        </w:tc>
        <w:tc>
          <w:tcPr>
            <w:tcW w:w="1134" w:type="dxa"/>
            <w:vAlign w:val="center"/>
          </w:tcPr>
          <w:p>
            <w:pPr>
              <w:pStyle w:val="单元格样式4"/>
            </w:pPr>
            <w:r>
              <w:t xml:space="preserve">124.87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124.87</w:t>
            </w:r>
          </w:p>
        </w:tc>
        <w:tc>
          <w:tcPr>
            <w:tcW w:w="1134" w:type="dxa"/>
            <w:vAlign w:val="center"/>
          </w:tcPr>
          <w:p>
            <w:pPr>
              <w:pStyle w:val="单元格样式4"/>
            </w:pPr>
            <w:r>
              <w:t xml:space="preserve">124.87</w:t>
            </w:r>
          </w:p>
        </w:tc>
        <w:tc>
          <w:tcPr>
            <w:tcW w:w="1134" w:type="dxa"/>
            <w:vAlign w:val="center"/>
          </w:tcPr>
          <w:p>
            <w:pPr>
              <w:pStyle w:val="单元格样式4"/>
            </w:pPr>
            <w:r>
              <w:t xml:space="preserve">124.87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124.87</w:t>
            </w:r>
          </w:p>
        </w:tc>
        <w:tc>
          <w:tcPr>
            <w:tcW w:w="1134" w:type="dxa"/>
            <w:vAlign w:val="center"/>
          </w:tcPr>
          <w:p>
            <w:pPr>
              <w:pStyle w:val="单元格样式4"/>
            </w:pPr>
            <w:r>
              <w:t xml:space="preserve">124.87</w:t>
            </w:r>
          </w:p>
        </w:tc>
        <w:tc>
          <w:tcPr>
            <w:tcW w:w="1134" w:type="dxa"/>
            <w:vAlign w:val="center"/>
          </w:tcPr>
          <w:p>
            <w:pPr>
              <w:pStyle w:val="单元格样式4"/>
            </w:pPr>
            <w:r>
              <w:t xml:space="preserve">124.87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2403.20</w:t>
            </w:r>
          </w:p>
        </w:tc>
        <w:tc>
          <w:tcPr>
            <w:tcW w:w="1134" w:type="dxa"/>
            <w:vAlign w:val="center"/>
          </w:tcPr>
          <w:p>
            <w:pPr>
              <w:pStyle w:val="单元格样式4"/>
            </w:pPr>
            <w:r>
              <w:t xml:space="preserve">2305.27</w:t>
            </w:r>
          </w:p>
        </w:tc>
        <w:tc>
          <w:tcPr>
            <w:tcW w:w="1134" w:type="dxa"/>
            <w:vAlign w:val="center"/>
          </w:tcPr>
          <w:p>
            <w:pPr>
              <w:pStyle w:val="单元格样式4"/>
            </w:pPr>
            <w:r>
              <w:t xml:space="preserve">2305.27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97.92</w:t>
            </w: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22401</w:t>
            </w:r>
          </w:p>
        </w:tc>
        <w:tc>
          <w:tcPr>
            <w:tcW w:w="1559" w:type="dxa"/>
            <w:vAlign w:val="center"/>
          </w:tcPr>
          <w:p>
            <w:pPr>
              <w:pStyle w:val="单元格样式2"/>
            </w:pPr>
            <w:r>
              <w:t xml:space="preserve">应急管理事务</w:t>
            </w:r>
          </w:p>
        </w:tc>
        <w:tc>
          <w:tcPr>
            <w:tcW w:w="1134" w:type="dxa"/>
            <w:vAlign w:val="center"/>
          </w:tcPr>
          <w:p>
            <w:pPr>
              <w:pStyle w:val="单元格样式4"/>
            </w:pPr>
            <w:r>
              <w:t xml:space="preserve">2296.82</w:t>
            </w:r>
          </w:p>
        </w:tc>
        <w:tc>
          <w:tcPr>
            <w:tcW w:w="1134" w:type="dxa"/>
            <w:vAlign w:val="center"/>
          </w:tcPr>
          <w:p>
            <w:pPr>
              <w:pStyle w:val="单元格样式4"/>
            </w:pPr>
            <w:r>
              <w:t xml:space="preserve">2198.89</w:t>
            </w:r>
          </w:p>
        </w:tc>
        <w:tc>
          <w:tcPr>
            <w:tcW w:w="1134" w:type="dxa"/>
            <w:vAlign w:val="center"/>
          </w:tcPr>
          <w:p>
            <w:pPr>
              <w:pStyle w:val="单元格样式4"/>
            </w:pPr>
            <w:r>
              <w:t xml:space="preserve">2198.89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97.92</w:t>
            </w: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2240106</w:t>
            </w:r>
          </w:p>
        </w:tc>
        <w:tc>
          <w:tcPr>
            <w:tcW w:w="1559" w:type="dxa"/>
            <w:vAlign w:val="center"/>
          </w:tcPr>
          <w:p>
            <w:pPr>
              <w:pStyle w:val="单元格样式2"/>
            </w:pPr>
            <w:r>
              <w:t xml:space="preserve">安全监管</w:t>
            </w:r>
          </w:p>
        </w:tc>
        <w:tc>
          <w:tcPr>
            <w:tcW w:w="1134" w:type="dxa"/>
            <w:vAlign w:val="center"/>
          </w:tcPr>
          <w:p>
            <w:pPr>
              <w:pStyle w:val="单元格样式4"/>
            </w:pPr>
            <w:r>
              <w:t xml:space="preserve">2296.82</w:t>
            </w:r>
          </w:p>
        </w:tc>
        <w:tc>
          <w:tcPr>
            <w:tcW w:w="1134" w:type="dxa"/>
            <w:vAlign w:val="center"/>
          </w:tcPr>
          <w:p>
            <w:pPr>
              <w:pStyle w:val="单元格样式4"/>
            </w:pPr>
            <w:r>
              <w:t xml:space="preserve">2198.89</w:t>
            </w:r>
          </w:p>
        </w:tc>
        <w:tc>
          <w:tcPr>
            <w:tcW w:w="1134" w:type="dxa"/>
            <w:vAlign w:val="center"/>
          </w:tcPr>
          <w:p>
            <w:pPr>
              <w:pStyle w:val="单元格样式4"/>
            </w:pPr>
            <w:r>
              <w:t xml:space="preserve">2198.89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97.92</w:t>
            </w: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22407</w:t>
            </w:r>
          </w:p>
        </w:tc>
        <w:tc>
          <w:tcPr>
            <w:tcW w:w="1559" w:type="dxa"/>
            <w:vAlign w:val="center"/>
          </w:tcPr>
          <w:p>
            <w:pPr>
              <w:pStyle w:val="单元格样式2"/>
            </w:pPr>
            <w:r>
              <w:t xml:space="preserve">自然灾害救灾及恢复重建支出</w:t>
            </w:r>
          </w:p>
        </w:tc>
        <w:tc>
          <w:tcPr>
            <w:tcW w:w="1134" w:type="dxa"/>
            <w:vAlign w:val="center"/>
          </w:tcPr>
          <w:p>
            <w:pPr>
              <w:pStyle w:val="单元格样式4"/>
            </w:pPr>
            <w:r>
              <w:t xml:space="preserve">106.38</w:t>
            </w:r>
          </w:p>
        </w:tc>
        <w:tc>
          <w:tcPr>
            <w:tcW w:w="1134" w:type="dxa"/>
            <w:vAlign w:val="center"/>
          </w:tcPr>
          <w:p>
            <w:pPr>
              <w:pStyle w:val="单元格样式4"/>
            </w:pPr>
            <w:r>
              <w:t xml:space="preserve">106.38</w:t>
            </w:r>
          </w:p>
        </w:tc>
        <w:tc>
          <w:tcPr>
            <w:tcW w:w="1134" w:type="dxa"/>
            <w:vAlign w:val="center"/>
          </w:tcPr>
          <w:p>
            <w:pPr>
              <w:pStyle w:val="单元格样式4"/>
            </w:pPr>
            <w:r>
              <w:t xml:space="preserve">106.38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2240703</w:t>
            </w:r>
          </w:p>
        </w:tc>
        <w:tc>
          <w:tcPr>
            <w:tcW w:w="1559" w:type="dxa"/>
            <w:vAlign w:val="center"/>
          </w:tcPr>
          <w:p>
            <w:pPr>
              <w:pStyle w:val="单元格样式2"/>
            </w:pPr>
            <w:r>
              <w:t xml:space="preserve">自然灾害救灾补助</w:t>
            </w:r>
          </w:p>
        </w:tc>
        <w:tc>
          <w:tcPr>
            <w:tcW w:w="1134" w:type="dxa"/>
            <w:vAlign w:val="center"/>
          </w:tcPr>
          <w:p>
            <w:pPr>
              <w:pStyle w:val="单元格样式4"/>
            </w:pPr>
            <w:r>
              <w:t xml:space="preserve">106.38</w:t>
            </w:r>
          </w:p>
        </w:tc>
        <w:tc>
          <w:tcPr>
            <w:tcW w:w="1134" w:type="dxa"/>
            <w:vAlign w:val="center"/>
          </w:tcPr>
          <w:p>
            <w:pPr>
              <w:pStyle w:val="单元格样式4"/>
            </w:pPr>
            <w:r>
              <w:t xml:space="preserve">106.38</w:t>
            </w:r>
          </w:p>
        </w:tc>
        <w:tc>
          <w:tcPr>
            <w:tcW w:w="1134" w:type="dxa"/>
            <w:vAlign w:val="center"/>
          </w:tcPr>
          <w:p>
            <w:pPr>
              <w:pStyle w:val="单元格样式4"/>
            </w:pPr>
            <w:r>
              <w:t xml:space="preserve">106.38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426丰润区应急管理部门</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2859.85</w:t>
            </w:r>
          </w:p>
        </w:tc>
        <w:tc>
          <w:tcPr>
            <w:tcW w:w="1361" w:type="dxa"/>
            <w:vAlign w:val="center"/>
          </w:tcPr>
          <w:p>
            <w:pPr>
              <w:pStyle w:val="单元格样式7"/>
            </w:pPr>
            <w:r>
              <w:t xml:space="preserve">1999.72</w:t>
            </w:r>
          </w:p>
        </w:tc>
        <w:tc>
          <w:tcPr>
            <w:tcW w:w="1361" w:type="dxa"/>
            <w:vAlign w:val="center"/>
          </w:tcPr>
          <w:p>
            <w:pPr>
              <w:pStyle w:val="单元格样式7"/>
            </w:pPr>
            <w:r>
              <w:t xml:space="preserve">860.13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154.11</w:t>
            </w:r>
          </w:p>
        </w:tc>
        <w:tc>
          <w:tcPr>
            <w:tcW w:w="1361" w:type="dxa"/>
            <w:vAlign w:val="center"/>
          </w:tcPr>
          <w:p>
            <w:pPr>
              <w:pStyle w:val="单元格样式4"/>
            </w:pPr>
            <w:r>
              <w:t xml:space="preserve">154.11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154.11</w:t>
            </w:r>
          </w:p>
        </w:tc>
        <w:tc>
          <w:tcPr>
            <w:tcW w:w="1361" w:type="dxa"/>
            <w:vAlign w:val="center"/>
          </w:tcPr>
          <w:p>
            <w:pPr>
              <w:pStyle w:val="单元格样式4"/>
            </w:pPr>
            <w:r>
              <w:t xml:space="preserve">154.11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154.11</w:t>
            </w:r>
          </w:p>
        </w:tc>
        <w:tc>
          <w:tcPr>
            <w:tcW w:w="1361" w:type="dxa"/>
            <w:vAlign w:val="center"/>
          </w:tcPr>
          <w:p>
            <w:pPr>
              <w:pStyle w:val="单元格样式4"/>
            </w:pPr>
            <w:r>
              <w:t xml:space="preserve">154.11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177.67</w:t>
            </w:r>
          </w:p>
        </w:tc>
        <w:tc>
          <w:tcPr>
            <w:tcW w:w="1361" w:type="dxa"/>
            <w:vAlign w:val="center"/>
          </w:tcPr>
          <w:p>
            <w:pPr>
              <w:pStyle w:val="单元格样式4"/>
            </w:pPr>
            <w:r>
              <w:t xml:space="preserve">177.67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177.67</w:t>
            </w:r>
          </w:p>
        </w:tc>
        <w:tc>
          <w:tcPr>
            <w:tcW w:w="1361" w:type="dxa"/>
            <w:vAlign w:val="center"/>
          </w:tcPr>
          <w:p>
            <w:pPr>
              <w:pStyle w:val="单元格样式4"/>
            </w:pPr>
            <w:r>
              <w:t xml:space="preserve">177.67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77.67</w:t>
            </w:r>
          </w:p>
        </w:tc>
        <w:tc>
          <w:tcPr>
            <w:tcW w:w="1361" w:type="dxa"/>
            <w:vAlign w:val="center"/>
          </w:tcPr>
          <w:p>
            <w:pPr>
              <w:pStyle w:val="单元格样式4"/>
            </w:pPr>
            <w:r>
              <w:t xml:space="preserve">77.67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100.00</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124.87</w:t>
            </w:r>
          </w:p>
        </w:tc>
        <w:tc>
          <w:tcPr>
            <w:tcW w:w="1361" w:type="dxa"/>
            <w:vAlign w:val="center"/>
          </w:tcPr>
          <w:p>
            <w:pPr>
              <w:pStyle w:val="单元格样式4"/>
            </w:pPr>
            <w:r>
              <w:t xml:space="preserve">124.87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124.87</w:t>
            </w:r>
          </w:p>
        </w:tc>
        <w:tc>
          <w:tcPr>
            <w:tcW w:w="1361" w:type="dxa"/>
            <w:vAlign w:val="center"/>
          </w:tcPr>
          <w:p>
            <w:pPr>
              <w:pStyle w:val="单元格样式4"/>
            </w:pPr>
            <w:r>
              <w:t xml:space="preserve">124.87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124.87</w:t>
            </w:r>
          </w:p>
        </w:tc>
        <w:tc>
          <w:tcPr>
            <w:tcW w:w="1361" w:type="dxa"/>
            <w:vAlign w:val="center"/>
          </w:tcPr>
          <w:p>
            <w:pPr>
              <w:pStyle w:val="单元格样式4"/>
            </w:pPr>
            <w:r>
              <w:t xml:space="preserve">124.87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2403.20</w:t>
            </w:r>
          </w:p>
        </w:tc>
        <w:tc>
          <w:tcPr>
            <w:tcW w:w="1361" w:type="dxa"/>
            <w:vAlign w:val="center"/>
          </w:tcPr>
          <w:p>
            <w:pPr>
              <w:pStyle w:val="单元格样式4"/>
            </w:pPr>
            <w:r>
              <w:t xml:space="preserve">1543.07</w:t>
            </w:r>
          </w:p>
        </w:tc>
        <w:tc>
          <w:tcPr>
            <w:tcW w:w="1361" w:type="dxa"/>
            <w:vAlign w:val="center"/>
          </w:tcPr>
          <w:p>
            <w:pPr>
              <w:pStyle w:val="单元格样式4"/>
            </w:pPr>
            <w:r>
              <w:t xml:space="preserve">860.13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1361" w:type="dxa"/>
            <w:vAlign w:val="center"/>
          </w:tcPr>
          <w:p>
            <w:pPr>
              <w:pStyle w:val="单元格样式4"/>
            </w:pPr>
            <w:r>
              <w:t xml:space="preserve">2296.82</w:t>
            </w:r>
          </w:p>
        </w:tc>
        <w:tc>
          <w:tcPr>
            <w:tcW w:w="1361" w:type="dxa"/>
            <w:vAlign w:val="center"/>
          </w:tcPr>
          <w:p>
            <w:pPr>
              <w:pStyle w:val="单元格样式4"/>
            </w:pPr>
            <w:r>
              <w:t xml:space="preserve">1543.07</w:t>
            </w:r>
          </w:p>
        </w:tc>
        <w:tc>
          <w:tcPr>
            <w:tcW w:w="1361" w:type="dxa"/>
            <w:vAlign w:val="center"/>
          </w:tcPr>
          <w:p>
            <w:pPr>
              <w:pStyle w:val="单元格样式4"/>
            </w:pPr>
            <w:r>
              <w:t xml:space="preserve">753.75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2240106</w:t>
            </w:r>
          </w:p>
        </w:tc>
        <w:tc>
          <w:tcPr>
            <w:tcW w:w="4535" w:type="dxa"/>
            <w:vAlign w:val="center"/>
          </w:tcPr>
          <w:p>
            <w:pPr>
              <w:pStyle w:val="单元格样式2"/>
            </w:pPr>
            <w:r>
              <w:t xml:space="preserve">安全监管</w:t>
            </w:r>
          </w:p>
        </w:tc>
        <w:tc>
          <w:tcPr>
            <w:tcW w:w="1361" w:type="dxa"/>
            <w:vAlign w:val="center"/>
          </w:tcPr>
          <w:p>
            <w:pPr>
              <w:pStyle w:val="单元格样式4"/>
            </w:pPr>
            <w:r>
              <w:t xml:space="preserve">2296.82</w:t>
            </w:r>
          </w:p>
        </w:tc>
        <w:tc>
          <w:tcPr>
            <w:tcW w:w="1361" w:type="dxa"/>
            <w:vAlign w:val="center"/>
          </w:tcPr>
          <w:p>
            <w:pPr>
              <w:pStyle w:val="单元格样式4"/>
            </w:pPr>
            <w:r>
              <w:t xml:space="preserve">1543.07</w:t>
            </w:r>
          </w:p>
        </w:tc>
        <w:tc>
          <w:tcPr>
            <w:tcW w:w="1361" w:type="dxa"/>
            <w:vAlign w:val="center"/>
          </w:tcPr>
          <w:p>
            <w:pPr>
              <w:pStyle w:val="单元格样式4"/>
            </w:pPr>
            <w:r>
              <w:t xml:space="preserve">753.75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1361" w:type="dxa"/>
            <w:vAlign w:val="center"/>
          </w:tcPr>
          <w:p>
            <w:pPr>
              <w:pStyle w:val="单元格样式4"/>
            </w:pPr>
            <w:r>
              <w:t xml:space="preserve">106.38</w:t>
            </w:r>
          </w:p>
        </w:tc>
        <w:tc>
          <w:tcPr>
            <w:tcW w:w="1361" w:type="dxa"/>
            <w:vAlign w:val="center"/>
          </w:tcPr>
          <w:p>
            <w:pPr>
              <w:pStyle w:val="单元格样式4"/>
            </w:pPr>
          </w:p>
        </w:tc>
        <w:tc>
          <w:tcPr>
            <w:tcW w:w="1361" w:type="dxa"/>
            <w:vAlign w:val="center"/>
          </w:tcPr>
          <w:p>
            <w:pPr>
              <w:pStyle w:val="单元格样式4"/>
            </w:pPr>
            <w:r>
              <w:t xml:space="preserve">106.38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1361" w:type="dxa"/>
            <w:vAlign w:val="center"/>
          </w:tcPr>
          <w:p>
            <w:pPr>
              <w:pStyle w:val="单元格样式4"/>
            </w:pPr>
            <w:r>
              <w:t xml:space="preserve">106.38</w:t>
            </w:r>
          </w:p>
        </w:tc>
        <w:tc>
          <w:tcPr>
            <w:tcW w:w="1361" w:type="dxa"/>
            <w:vAlign w:val="center"/>
          </w:tcPr>
          <w:p>
            <w:pPr>
              <w:pStyle w:val="单元格样式4"/>
            </w:pPr>
          </w:p>
        </w:tc>
        <w:tc>
          <w:tcPr>
            <w:tcW w:w="1361" w:type="dxa"/>
            <w:vAlign w:val="center"/>
          </w:tcPr>
          <w:p>
            <w:pPr>
              <w:pStyle w:val="单元格样式4"/>
            </w:pPr>
            <w:r>
              <w:t xml:space="preserve">106.38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426丰润区应急管理部门</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2761.93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154.11</w:t>
            </w:r>
          </w:p>
        </w:tc>
        <w:tc>
          <w:tcPr>
            <w:tcW w:w="1474" w:type="dxa"/>
            <w:vAlign w:val="center"/>
          </w:tcPr>
          <w:p>
            <w:pPr>
              <w:pStyle w:val="单元格样式4"/>
            </w:pPr>
            <w:r>
              <w:t xml:space="preserve">154.11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177.67</w:t>
            </w:r>
          </w:p>
        </w:tc>
        <w:tc>
          <w:tcPr>
            <w:tcW w:w="1474" w:type="dxa"/>
            <w:vAlign w:val="center"/>
          </w:tcPr>
          <w:p>
            <w:pPr>
              <w:pStyle w:val="单元格样式4"/>
            </w:pPr>
            <w:r>
              <w:t xml:space="preserve">177.67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124.87</w:t>
            </w:r>
          </w:p>
        </w:tc>
        <w:tc>
          <w:tcPr>
            <w:tcW w:w="1474" w:type="dxa"/>
            <w:vAlign w:val="center"/>
          </w:tcPr>
          <w:p>
            <w:pPr>
              <w:pStyle w:val="单元格样式4"/>
            </w:pPr>
            <w:r>
              <w:t xml:space="preserve">124.87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2403.20</w:t>
            </w:r>
          </w:p>
        </w:tc>
        <w:tc>
          <w:tcPr>
            <w:tcW w:w="1474" w:type="dxa"/>
            <w:vAlign w:val="center"/>
          </w:tcPr>
          <w:p>
            <w:pPr>
              <w:pStyle w:val="单元格样式4"/>
            </w:pPr>
            <w:r>
              <w:t xml:space="preserve">2403.20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2761.93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2859.85</w:t>
            </w:r>
          </w:p>
        </w:tc>
        <w:tc>
          <w:tcPr>
            <w:tcW w:w="1474" w:type="dxa"/>
            <w:vAlign w:val="center"/>
          </w:tcPr>
          <w:p>
            <w:pPr>
              <w:pStyle w:val="单元格样式7"/>
            </w:pPr>
            <w:r>
              <w:t xml:space="preserve">2859.85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97.92</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97.92</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2859.85</w:t>
            </w:r>
          </w:p>
        </w:tc>
        <w:tc>
          <w:tcPr>
            <w:tcW w:w="3402" w:type="dxa"/>
            <w:vAlign w:val="center"/>
          </w:tcPr>
          <w:p>
            <w:pPr>
              <w:pStyle w:val="单元格样式6"/>
            </w:pPr>
            <w:r>
              <w:t xml:space="preserve">支出总计</w:t>
            </w:r>
          </w:p>
        </w:tc>
        <w:tc>
          <w:tcPr>
            <w:tcW w:w="1474" w:type="dxa"/>
            <w:vAlign w:val="center"/>
          </w:tcPr>
          <w:p>
            <w:pPr>
              <w:pStyle w:val="单元格样式7"/>
            </w:pPr>
            <w:r>
              <w:t xml:space="preserve">2859.85</w:t>
            </w:r>
          </w:p>
        </w:tc>
        <w:tc>
          <w:tcPr>
            <w:tcW w:w="1474" w:type="dxa"/>
            <w:vAlign w:val="center"/>
          </w:tcPr>
          <w:p>
            <w:pPr>
              <w:pStyle w:val="单元格样式7"/>
            </w:pPr>
            <w:r>
              <w:t xml:space="preserve">2859.85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426丰润区应急管理部门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2859.85</w:t>
            </w:r>
          </w:p>
        </w:tc>
        <w:tc>
          <w:tcPr>
            <w:tcW w:w="2551" w:type="dxa"/>
            <w:vAlign w:val="center"/>
          </w:tcPr>
          <w:p>
            <w:pPr>
              <w:pStyle w:val="单元格样式7"/>
            </w:pPr>
            <w:r>
              <w:t xml:space="preserve">1999.72</w:t>
            </w:r>
          </w:p>
        </w:tc>
        <w:tc>
          <w:tcPr>
            <w:tcW w:w="2551" w:type="dxa"/>
            <w:vAlign w:val="center"/>
          </w:tcPr>
          <w:p>
            <w:pPr>
              <w:pStyle w:val="单元格样式7"/>
            </w:pPr>
            <w:r>
              <w:t xml:space="preserve">860.13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154.11</w:t>
            </w:r>
          </w:p>
        </w:tc>
        <w:tc>
          <w:tcPr>
            <w:tcW w:w="2551" w:type="dxa"/>
            <w:vAlign w:val="center"/>
          </w:tcPr>
          <w:p>
            <w:pPr>
              <w:pStyle w:val="单元格样式4"/>
            </w:pPr>
            <w:r>
              <w:t xml:space="preserve">154.11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154.11</w:t>
            </w:r>
          </w:p>
        </w:tc>
        <w:tc>
          <w:tcPr>
            <w:tcW w:w="2551" w:type="dxa"/>
            <w:vAlign w:val="center"/>
          </w:tcPr>
          <w:p>
            <w:pPr>
              <w:pStyle w:val="单元格样式4"/>
            </w:pPr>
            <w:r>
              <w:t xml:space="preserve">154.11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154.11</w:t>
            </w:r>
          </w:p>
        </w:tc>
        <w:tc>
          <w:tcPr>
            <w:tcW w:w="2551" w:type="dxa"/>
            <w:vAlign w:val="center"/>
          </w:tcPr>
          <w:p>
            <w:pPr>
              <w:pStyle w:val="单元格样式4"/>
            </w:pPr>
            <w:r>
              <w:t xml:space="preserve">154.11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177.67</w:t>
            </w:r>
          </w:p>
        </w:tc>
        <w:tc>
          <w:tcPr>
            <w:tcW w:w="2551" w:type="dxa"/>
            <w:vAlign w:val="center"/>
          </w:tcPr>
          <w:p>
            <w:pPr>
              <w:pStyle w:val="单元格样式4"/>
            </w:pPr>
            <w:r>
              <w:t xml:space="preserve">177.67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177.67</w:t>
            </w:r>
          </w:p>
        </w:tc>
        <w:tc>
          <w:tcPr>
            <w:tcW w:w="2551" w:type="dxa"/>
            <w:vAlign w:val="center"/>
          </w:tcPr>
          <w:p>
            <w:pPr>
              <w:pStyle w:val="单元格样式4"/>
            </w:pPr>
            <w:r>
              <w:t xml:space="preserve">177.67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77.67</w:t>
            </w:r>
          </w:p>
        </w:tc>
        <w:tc>
          <w:tcPr>
            <w:tcW w:w="2551" w:type="dxa"/>
            <w:vAlign w:val="center"/>
          </w:tcPr>
          <w:p>
            <w:pPr>
              <w:pStyle w:val="单元格样式4"/>
            </w:pPr>
            <w:r>
              <w:t xml:space="preserve">77.67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100.00</w:t>
            </w:r>
          </w:p>
        </w:tc>
        <w:tc>
          <w:tcPr>
            <w:tcW w:w="2551" w:type="dxa"/>
            <w:vAlign w:val="center"/>
          </w:tcPr>
          <w:p>
            <w:pPr>
              <w:pStyle w:val="单元格样式4"/>
            </w:pPr>
            <w:r>
              <w:t xml:space="preserve">100.00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124.87</w:t>
            </w:r>
          </w:p>
        </w:tc>
        <w:tc>
          <w:tcPr>
            <w:tcW w:w="2551" w:type="dxa"/>
            <w:vAlign w:val="center"/>
          </w:tcPr>
          <w:p>
            <w:pPr>
              <w:pStyle w:val="单元格样式4"/>
            </w:pPr>
            <w:r>
              <w:t xml:space="preserve">124.87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124.87</w:t>
            </w:r>
          </w:p>
        </w:tc>
        <w:tc>
          <w:tcPr>
            <w:tcW w:w="2551" w:type="dxa"/>
            <w:vAlign w:val="center"/>
          </w:tcPr>
          <w:p>
            <w:pPr>
              <w:pStyle w:val="单元格样式4"/>
            </w:pPr>
            <w:r>
              <w:t xml:space="preserve">124.87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124.87</w:t>
            </w:r>
          </w:p>
        </w:tc>
        <w:tc>
          <w:tcPr>
            <w:tcW w:w="2551" w:type="dxa"/>
            <w:vAlign w:val="center"/>
          </w:tcPr>
          <w:p>
            <w:pPr>
              <w:pStyle w:val="单元格样式4"/>
            </w:pPr>
            <w:r>
              <w:t xml:space="preserve">124.87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2403.20</w:t>
            </w:r>
          </w:p>
        </w:tc>
        <w:tc>
          <w:tcPr>
            <w:tcW w:w="2551" w:type="dxa"/>
            <w:vAlign w:val="center"/>
          </w:tcPr>
          <w:p>
            <w:pPr>
              <w:pStyle w:val="单元格样式4"/>
            </w:pPr>
            <w:r>
              <w:t xml:space="preserve">1543.07</w:t>
            </w:r>
          </w:p>
        </w:tc>
        <w:tc>
          <w:tcPr>
            <w:tcW w:w="2551" w:type="dxa"/>
            <w:vAlign w:val="center"/>
          </w:tcPr>
          <w:p>
            <w:pPr>
              <w:pStyle w:val="单元格样式4"/>
            </w:pPr>
            <w:r>
              <w:t xml:space="preserve">860.13</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2551" w:type="dxa"/>
            <w:vAlign w:val="center"/>
          </w:tcPr>
          <w:p>
            <w:pPr>
              <w:pStyle w:val="单元格样式4"/>
            </w:pPr>
            <w:r>
              <w:t xml:space="preserve">2296.82</w:t>
            </w:r>
          </w:p>
        </w:tc>
        <w:tc>
          <w:tcPr>
            <w:tcW w:w="2551" w:type="dxa"/>
            <w:vAlign w:val="center"/>
          </w:tcPr>
          <w:p>
            <w:pPr>
              <w:pStyle w:val="单元格样式4"/>
            </w:pPr>
            <w:r>
              <w:t xml:space="preserve">1543.07</w:t>
            </w:r>
          </w:p>
        </w:tc>
        <w:tc>
          <w:tcPr>
            <w:tcW w:w="2551" w:type="dxa"/>
            <w:vAlign w:val="center"/>
          </w:tcPr>
          <w:p>
            <w:pPr>
              <w:pStyle w:val="单元格样式4"/>
            </w:pPr>
            <w:r>
              <w:t xml:space="preserve">753.75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2240106</w:t>
            </w:r>
          </w:p>
        </w:tc>
        <w:tc>
          <w:tcPr>
            <w:tcW w:w="4535" w:type="dxa"/>
            <w:vAlign w:val="center"/>
          </w:tcPr>
          <w:p>
            <w:pPr>
              <w:pStyle w:val="单元格样式2"/>
            </w:pPr>
            <w:r>
              <w:t xml:space="preserve">安全监管</w:t>
            </w:r>
          </w:p>
        </w:tc>
        <w:tc>
          <w:tcPr>
            <w:tcW w:w="2551" w:type="dxa"/>
            <w:vAlign w:val="center"/>
          </w:tcPr>
          <w:p>
            <w:pPr>
              <w:pStyle w:val="单元格样式4"/>
            </w:pPr>
            <w:r>
              <w:t xml:space="preserve">2296.82</w:t>
            </w:r>
          </w:p>
        </w:tc>
        <w:tc>
          <w:tcPr>
            <w:tcW w:w="2551" w:type="dxa"/>
            <w:vAlign w:val="center"/>
          </w:tcPr>
          <w:p>
            <w:pPr>
              <w:pStyle w:val="单元格样式4"/>
            </w:pPr>
            <w:r>
              <w:t xml:space="preserve">1543.07</w:t>
            </w:r>
          </w:p>
        </w:tc>
        <w:tc>
          <w:tcPr>
            <w:tcW w:w="2551" w:type="dxa"/>
            <w:vAlign w:val="center"/>
          </w:tcPr>
          <w:p>
            <w:pPr>
              <w:pStyle w:val="单元格样式4"/>
            </w:pPr>
            <w:r>
              <w:t xml:space="preserve">753.75</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2551" w:type="dxa"/>
            <w:vAlign w:val="center"/>
          </w:tcPr>
          <w:p>
            <w:pPr>
              <w:pStyle w:val="单元格样式4"/>
            </w:pPr>
            <w:r>
              <w:t xml:space="preserve">106.38</w:t>
            </w:r>
          </w:p>
        </w:tc>
        <w:tc>
          <w:tcPr>
            <w:tcW w:w="2551" w:type="dxa"/>
            <w:vAlign w:val="center"/>
          </w:tcPr>
          <w:p>
            <w:pPr>
              <w:pStyle w:val="单元格样式4"/>
            </w:pPr>
          </w:p>
        </w:tc>
        <w:tc>
          <w:tcPr>
            <w:tcW w:w="2551" w:type="dxa"/>
            <w:vAlign w:val="center"/>
          </w:tcPr>
          <w:p>
            <w:pPr>
              <w:pStyle w:val="单元格样式4"/>
            </w:pPr>
            <w:r>
              <w:t xml:space="preserve">106.38</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2551" w:type="dxa"/>
            <w:vAlign w:val="center"/>
          </w:tcPr>
          <w:p>
            <w:pPr>
              <w:pStyle w:val="单元格样式4"/>
            </w:pPr>
            <w:r>
              <w:t xml:space="preserve">106.38</w:t>
            </w:r>
          </w:p>
        </w:tc>
        <w:tc>
          <w:tcPr>
            <w:tcW w:w="2551" w:type="dxa"/>
            <w:vAlign w:val="center"/>
          </w:tcPr>
          <w:p>
            <w:pPr>
              <w:pStyle w:val="单元格样式4"/>
            </w:pPr>
          </w:p>
        </w:tc>
        <w:tc>
          <w:tcPr>
            <w:tcW w:w="2551" w:type="dxa"/>
            <w:vAlign w:val="center"/>
          </w:tcPr>
          <w:p>
            <w:pPr>
              <w:pStyle w:val="单元格样式4"/>
            </w:pPr>
            <w:r>
              <w:t xml:space="preserve">106.38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426丰润区应急管理部门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1999.72</w:t>
            </w:r>
          </w:p>
        </w:tc>
        <w:tc>
          <w:tcPr>
            <w:tcW w:w="2551" w:type="dxa"/>
            <w:vAlign w:val="center"/>
          </w:tcPr>
          <w:p>
            <w:pPr>
              <w:pStyle w:val="单元格样式7"/>
            </w:pPr>
            <w:r>
              <w:t xml:space="preserve">1892.12</w:t>
            </w:r>
          </w:p>
        </w:tc>
        <w:tc>
          <w:tcPr>
            <w:tcW w:w="2551" w:type="dxa"/>
            <w:vAlign w:val="center"/>
          </w:tcPr>
          <w:p>
            <w:pPr>
              <w:pStyle w:val="单元格样式7"/>
            </w:pPr>
            <w:r>
              <w:t xml:space="preserve">107.61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1832.96</w:t>
            </w:r>
          </w:p>
        </w:tc>
        <w:tc>
          <w:tcPr>
            <w:tcW w:w="2551" w:type="dxa"/>
            <w:vAlign w:val="center"/>
          </w:tcPr>
          <w:p>
            <w:pPr>
              <w:pStyle w:val="单元格样式4"/>
            </w:pPr>
            <w:r>
              <w:t xml:space="preserve">1832.96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650.31</w:t>
            </w:r>
          </w:p>
        </w:tc>
        <w:tc>
          <w:tcPr>
            <w:tcW w:w="2551" w:type="dxa"/>
            <w:vAlign w:val="center"/>
          </w:tcPr>
          <w:p>
            <w:pPr>
              <w:pStyle w:val="单元格样式4"/>
            </w:pPr>
            <w:r>
              <w:t xml:space="preserve">650.31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272.50</w:t>
            </w:r>
          </w:p>
        </w:tc>
        <w:tc>
          <w:tcPr>
            <w:tcW w:w="2551" w:type="dxa"/>
            <w:vAlign w:val="center"/>
          </w:tcPr>
          <w:p>
            <w:pPr>
              <w:pStyle w:val="单元格样式4"/>
            </w:pPr>
            <w:r>
              <w:t xml:space="preserve">272.50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86.20</w:t>
            </w:r>
          </w:p>
        </w:tc>
        <w:tc>
          <w:tcPr>
            <w:tcW w:w="2551" w:type="dxa"/>
            <w:vAlign w:val="center"/>
          </w:tcPr>
          <w:p>
            <w:pPr>
              <w:pStyle w:val="单元格样式4"/>
            </w:pPr>
            <w:r>
              <w:t xml:space="preserve">86.20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358.84</w:t>
            </w:r>
          </w:p>
        </w:tc>
        <w:tc>
          <w:tcPr>
            <w:tcW w:w="2551" w:type="dxa"/>
            <w:vAlign w:val="center"/>
          </w:tcPr>
          <w:p>
            <w:pPr>
              <w:pStyle w:val="单元格样式4"/>
            </w:pPr>
            <w:r>
              <w:t xml:space="preserve">358.84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154.11</w:t>
            </w:r>
          </w:p>
        </w:tc>
        <w:tc>
          <w:tcPr>
            <w:tcW w:w="2551" w:type="dxa"/>
            <w:vAlign w:val="center"/>
          </w:tcPr>
          <w:p>
            <w:pPr>
              <w:pStyle w:val="单元格样式4"/>
            </w:pPr>
            <w:r>
              <w:t xml:space="preserve">154.11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77.67</w:t>
            </w:r>
          </w:p>
        </w:tc>
        <w:tc>
          <w:tcPr>
            <w:tcW w:w="2551" w:type="dxa"/>
            <w:vAlign w:val="center"/>
          </w:tcPr>
          <w:p>
            <w:pPr>
              <w:pStyle w:val="单元格样式4"/>
            </w:pPr>
            <w:r>
              <w:t xml:space="preserve">77.67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100.00</w:t>
            </w:r>
          </w:p>
        </w:tc>
        <w:tc>
          <w:tcPr>
            <w:tcW w:w="2551" w:type="dxa"/>
            <w:vAlign w:val="center"/>
          </w:tcPr>
          <w:p>
            <w:pPr>
              <w:pStyle w:val="单元格样式4"/>
            </w:pPr>
            <w:r>
              <w:t xml:space="preserve">100.00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8.46</w:t>
            </w:r>
          </w:p>
        </w:tc>
        <w:tc>
          <w:tcPr>
            <w:tcW w:w="2551" w:type="dxa"/>
            <w:vAlign w:val="center"/>
          </w:tcPr>
          <w:p>
            <w:pPr>
              <w:pStyle w:val="单元格样式4"/>
            </w:pPr>
            <w:r>
              <w:t xml:space="preserve">8.46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124.87</w:t>
            </w:r>
          </w:p>
        </w:tc>
        <w:tc>
          <w:tcPr>
            <w:tcW w:w="2551" w:type="dxa"/>
            <w:vAlign w:val="center"/>
          </w:tcPr>
          <w:p>
            <w:pPr>
              <w:pStyle w:val="单元格样式4"/>
            </w:pPr>
            <w:r>
              <w:t xml:space="preserve">124.87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107.61</w:t>
            </w:r>
          </w:p>
        </w:tc>
        <w:tc>
          <w:tcPr>
            <w:tcW w:w="2551" w:type="dxa"/>
            <w:vAlign w:val="center"/>
          </w:tcPr>
          <w:p>
            <w:pPr>
              <w:pStyle w:val="单元格样式4"/>
            </w:pPr>
          </w:p>
        </w:tc>
        <w:tc>
          <w:tcPr>
            <w:tcW w:w="2551" w:type="dxa"/>
            <w:vAlign w:val="center"/>
          </w:tcPr>
          <w:p>
            <w:pPr>
              <w:pStyle w:val="单元格样式4"/>
            </w:pPr>
            <w:r>
              <w:t xml:space="preserve">107.61</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29.00</w:t>
            </w:r>
          </w:p>
        </w:tc>
        <w:tc>
          <w:tcPr>
            <w:tcW w:w="2551" w:type="dxa"/>
            <w:vAlign w:val="center"/>
          </w:tcPr>
          <w:p>
            <w:pPr>
              <w:pStyle w:val="单元格样式4"/>
            </w:pPr>
          </w:p>
        </w:tc>
        <w:tc>
          <w:tcPr>
            <w:tcW w:w="2551" w:type="dxa"/>
            <w:vAlign w:val="center"/>
          </w:tcPr>
          <w:p>
            <w:pPr>
              <w:pStyle w:val="单元格样式4"/>
            </w:pPr>
            <w:r>
              <w:t xml:space="preserve">29.00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25.50</w:t>
            </w:r>
          </w:p>
        </w:tc>
        <w:tc>
          <w:tcPr>
            <w:tcW w:w="2551" w:type="dxa"/>
            <w:vAlign w:val="center"/>
          </w:tcPr>
          <w:p>
            <w:pPr>
              <w:pStyle w:val="单元格样式4"/>
            </w:pPr>
          </w:p>
        </w:tc>
        <w:tc>
          <w:tcPr>
            <w:tcW w:w="2551" w:type="dxa"/>
            <w:vAlign w:val="center"/>
          </w:tcPr>
          <w:p>
            <w:pPr>
              <w:pStyle w:val="单元格样式4"/>
            </w:pPr>
            <w:r>
              <w:t xml:space="preserve">25.50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3.48</w:t>
            </w:r>
          </w:p>
        </w:tc>
        <w:tc>
          <w:tcPr>
            <w:tcW w:w="2551" w:type="dxa"/>
            <w:vAlign w:val="center"/>
          </w:tcPr>
          <w:p>
            <w:pPr>
              <w:pStyle w:val="单元格样式4"/>
            </w:pPr>
          </w:p>
        </w:tc>
        <w:tc>
          <w:tcPr>
            <w:tcW w:w="2551" w:type="dxa"/>
            <w:vAlign w:val="center"/>
          </w:tcPr>
          <w:p>
            <w:pPr>
              <w:pStyle w:val="单元格样式4"/>
            </w:pPr>
            <w:r>
              <w:t xml:space="preserve">3.48</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3.63</w:t>
            </w:r>
          </w:p>
        </w:tc>
        <w:tc>
          <w:tcPr>
            <w:tcW w:w="2551" w:type="dxa"/>
            <w:vAlign w:val="center"/>
          </w:tcPr>
          <w:p>
            <w:pPr>
              <w:pStyle w:val="单元格样式4"/>
            </w:pPr>
          </w:p>
        </w:tc>
        <w:tc>
          <w:tcPr>
            <w:tcW w:w="2551" w:type="dxa"/>
            <w:vAlign w:val="center"/>
          </w:tcPr>
          <w:p>
            <w:pPr>
              <w:pStyle w:val="单元格样式4"/>
            </w:pPr>
            <w:r>
              <w:t xml:space="preserve">3.63</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16.00</w:t>
            </w:r>
          </w:p>
        </w:tc>
        <w:tc>
          <w:tcPr>
            <w:tcW w:w="2551" w:type="dxa"/>
            <w:vAlign w:val="center"/>
          </w:tcPr>
          <w:p>
            <w:pPr>
              <w:pStyle w:val="单元格样式4"/>
            </w:pPr>
          </w:p>
        </w:tc>
        <w:tc>
          <w:tcPr>
            <w:tcW w:w="2551" w:type="dxa"/>
            <w:vAlign w:val="center"/>
          </w:tcPr>
          <w:p>
            <w:pPr>
              <w:pStyle w:val="单元格样式4"/>
            </w:pPr>
            <w:r>
              <w:t xml:space="preserve">16.00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28.00</w:t>
            </w:r>
          </w:p>
        </w:tc>
        <w:tc>
          <w:tcPr>
            <w:tcW w:w="2551" w:type="dxa"/>
            <w:vAlign w:val="center"/>
          </w:tcPr>
          <w:p>
            <w:pPr>
              <w:pStyle w:val="单元格样式4"/>
            </w:pPr>
          </w:p>
        </w:tc>
        <w:tc>
          <w:tcPr>
            <w:tcW w:w="2551"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59.16</w:t>
            </w:r>
          </w:p>
        </w:tc>
        <w:tc>
          <w:tcPr>
            <w:tcW w:w="2551" w:type="dxa"/>
            <w:vAlign w:val="center"/>
          </w:tcPr>
          <w:p>
            <w:pPr>
              <w:pStyle w:val="单元格样式4"/>
            </w:pPr>
            <w:r>
              <w:t xml:space="preserve">59.16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58.86</w:t>
            </w:r>
          </w:p>
        </w:tc>
        <w:tc>
          <w:tcPr>
            <w:tcW w:w="2551" w:type="dxa"/>
            <w:vAlign w:val="center"/>
          </w:tcPr>
          <w:p>
            <w:pPr>
              <w:pStyle w:val="单元格样式4"/>
            </w:pPr>
            <w:r>
              <w:t xml:space="preserve">58.86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0.30</w:t>
            </w:r>
          </w:p>
        </w:tc>
        <w:tc>
          <w:tcPr>
            <w:tcW w:w="2551" w:type="dxa"/>
            <w:vAlign w:val="center"/>
          </w:tcPr>
          <w:p>
            <w:pPr>
              <w:pStyle w:val="单元格样式4"/>
            </w:pPr>
            <w:r>
              <w:t xml:space="preserve">0.30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426丰润区应急管理部门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426丰润区应急管理部门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426丰润区应急管理部门</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16.00</w:t>
            </w:r>
          </w:p>
        </w:tc>
        <w:tc>
          <w:tcPr>
            <w:tcW w:w="2381" w:type="dxa"/>
            <w:vAlign w:val="center"/>
          </w:tcPr>
          <w:p>
            <w:pPr>
              <w:pStyle w:val="单元格样式7"/>
            </w:pPr>
            <w:r>
              <w:t xml:space="preserve">16.00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16.00</w:t>
            </w:r>
          </w:p>
        </w:tc>
        <w:tc>
          <w:tcPr>
            <w:tcW w:w="2381" w:type="dxa"/>
            <w:vAlign w:val="center"/>
          </w:tcPr>
          <w:p>
            <w:pPr>
              <w:pStyle w:val="单元格样式4"/>
            </w:pPr>
            <w:r>
              <w:t xml:space="preserve">16.00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16.00</w:t>
            </w:r>
          </w:p>
        </w:tc>
        <w:tc>
          <w:tcPr>
            <w:tcW w:w="2381" w:type="dxa"/>
            <w:vAlign w:val="center"/>
          </w:tcPr>
          <w:p>
            <w:pPr>
              <w:pStyle w:val="单元格样式4"/>
            </w:pPr>
            <w:r>
              <w:t xml:space="preserve">16.00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16.00</w:t>
            </w:r>
          </w:p>
        </w:tc>
        <w:tc>
          <w:tcPr>
            <w:tcW w:w="2381" w:type="dxa"/>
            <w:vAlign w:val="center"/>
          </w:tcPr>
          <w:p>
            <w:pPr>
              <w:pStyle w:val="单元格样式4"/>
            </w:pPr>
            <w:r>
              <w:t xml:space="preserve">16.00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丰润区应急管理部门2025年部门预算信息公开情况说明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丰润区应急管理部门2025年部门预算信息公开情况说明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按照《中华人民共和国预算法》、《地方预决算公开操作规程》和《关于进一步推进预算公开工作的实施意见》规定，现将丰润区应急管理部门2025年部门预算公开如下：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丰润区应急管理局负责全区应急管理工作，指导区各级各部门应对安全生产类、自然灾害类等突发事件和综合防灾减灾救灾工作。</w:t>
      </w:r>
    </w:p>
    <w:p>
      <w:pPr>
        <w:pStyle w:val="插入文本样式-插入预算公开部门职责文件"/>
      </w:pPr>
      <w:r>
        <w:t xml:space="preserve">一、拟定应急管理、防震减灾、安全生产等政府规章，组织编制应急体系建设、综合防震减灾和安全生产规划。</w:t>
      </w:r>
    </w:p>
    <w:p>
      <w:pPr>
        <w:pStyle w:val="插入文本样式-插入预算公开部门职责文件"/>
      </w:pPr>
      <w:r>
        <w:t xml:space="preserve">二、组织编制区总体应急预案和安全生产类、自然灾害类专项预案，综合协调应急预案衔接工作，组织开展预案演练，推动应急避难设施建设。</w:t>
      </w:r>
    </w:p>
    <w:p>
      <w:pPr>
        <w:pStyle w:val="插入文本样式-插入预算公开部门职责文件"/>
      </w:pPr>
      <w:r>
        <w:t xml:space="preserve">三、建立监测预警和灾情报告制度，依法统一发布灾情。建立应急协调联动机制，推进指挥平台对接，衔接解放军和武警部队参与应急救援工作，指导各级及社会应急救援力量建设。</w:t>
      </w:r>
    </w:p>
    <w:p>
      <w:pPr>
        <w:pStyle w:val="插入文本样式-插入预算公开部门职责文件"/>
      </w:pPr>
      <w:r>
        <w:t xml:space="preserve">四、组织协调消防工作，指导各级消防监督、火灾预防、火灾扑救等工作。指导协调森林和草原火灾、水旱灾害、地质灾害等防治工作，负责地震灾害防御工作。</w:t>
      </w:r>
    </w:p>
    <w:p>
      <w:pPr>
        <w:pStyle w:val="插入文本样式-插入预算公开部门职责文件"/>
      </w:pPr>
      <w:r>
        <w:t xml:space="preserve">五、组织协调灾害救助工作，组织指导灾情核查、损失评估、救灾捐赠工作，管理、分配区救灾款物并监督使用。会同相关部门建立健全应急物资、救援装备信息平台和调拨制度，在救灾时统一调度。负责应急管理、防震减灾、安全生产宣传教育工作。</w:t>
      </w:r>
    </w:p>
    <w:p>
      <w:pPr>
        <w:pStyle w:val="插入文本样式-插入预算公开部门职责文件"/>
      </w:pPr>
      <w:r>
        <w:t xml:space="preserve">六、依法行使区安全生产综合监督管理职权，指导协调、监督检查区有关部门和区各乡镇、街道、开发区安全生产工作，组织开展安全生产巡查、考核工作。负责危险化学品企业安全监督管理综合工作。依法组织指导生产安全事故调查处理，监督事故查处和责任追究落实情况。组织开展自然灾害类突发事件的调查评估工作。</w:t>
      </w:r>
    </w:p>
    <w:p>
      <w:pPr>
        <w:pStyle w:val="插入文本样式-插入预算公开部门职责文件"/>
      </w:pPr>
      <w:r>
        <w:t xml:space="preserve">七、组织指导应急管理、防灾减灾、安全生产的科学技术推广应用和信息化建设工作。铁路无人看守道口的管护工作。承担唐山市丰润区安全生产委员会的具体工作，区委、区政府交办的其他任务。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丰润区应急管理部门</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r>
        <w:trPr>
          <w:trHeight w:val="369"/>
          <w:jc w:val="center"/>
        </w:trPr>
        <w:tc>
          <w:tcPr>
            <w:tcW w:w="5669" w:type="dxa"/>
            <w:vAlign w:val="center"/>
          </w:tcPr>
          <w:p>
            <w:pPr>
              <w:pStyle w:val="单元格样式2"/>
            </w:pPr>
            <w:r>
              <w:t xml:space="preserve">丰润区应急管理局消防队</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按照预算管理有关规定，目前部门预算的编制实行综合预算管理，即全部收入和支出都反映在预算中。丰润区应急管理部门机关及所属事业单位的收支包含在部门预算中。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2859.85万元，其中：一般公共预算收入2761.93万元，基金预算收入0.00万元，国有资本经营预算收入0.00万元，财政专户核拨收入0.00万元，单位资金收入0.00万元，上年结转结余97.92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丰润区应急管理部门年度部门预算中支出预算的总体情况。2025年支出预算2859.85万元，其中基本支出1999.72万元，包括人员经费1892.12万元和日常公用经费107.61万元；项目支出860.13万元，主要为人员经费占比66%，应急管理局在职112人。</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2025年预算收支安排2859.85万元，较2024年预算减少371.59万元，其中：基本支出减少459.25万元，主要为退休人员增加，在职人员减少。项目支出增加87.66万元，主要为中央、省重点项目增加</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2025年，我部门机关运行经费共计安排107.61万元，主要用于日常维修、办公用房水电费、办公用房取暖费、办公用房物业管理费等日常运行支出。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16.00万元，其中因公出国（境）费0.00万元；公务用车购置及运维费16.00万元（其中：公务用车购置费为0.00万元，公务用车运维费16.00万元)；公务接待费0.00万元。与2024年相比减少4.00万元，增减变化的主要原因是2025年较少两部车，两车以申请报废处理。</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负责全区应急管理工作，指导区各级各部门应对安全生产类、自然灾害类等突发事件和综合防灾减灾救灾工作。拟定应急管理、防震减灾、安全生产等政府规章，组织编制应急体系建设、综合防震减灾和安全生产规划。组织编制区总体应急预案和安全生产类、自然灾害类专项预案，综合协调应急预案衔接工作，组织开展预案演练，推动应急避难设施建设。建立监测预警和灾情报告制度，依法统一发布灾情。建立应急协调联动机制，推进指挥平台对接，衔接解放军和武警部队参与应急救援工作，指导各级及社会应急救援力量建设。负责防震减灾管理工作。组织协调消防工作，指导各级消防监督、火灾预防、火灾扑救等工作。指导协调森林和草原火灾、水旱灾害、地质灾害等防治工作，负责地震灾害防御工作，组织协调灾害救助工作，组织指导灾情核查、损失评估、救灾捐赠工作，管理、分配区救灾款物并监督使用。依法行使区安全生产综合监督管理职权，指导协调、监督检查区有关部门和区各乡镇、街道、开发区安全生产工作，组织开展安全生产巡查、考核工作。负责危险化学品企业安全监督管理综合工作。依法组织指导生产安全事故调查处理，监督事故查处和责任追究落实情况。组织开展自然灾害类突发事件的调查评估工作。会同相关部门建立健全应急物资、救援装备信息平台和调拨制度，在救灾时统一调度。负责应急管理、防震减灾、安全生产宣传教育工作，组织指导应急管理、防灾减灾、安全生产的科学技术推广应用和信息化建设工作。铁路无人看守道口的管护工作。承担唐山市丰润区安全生产委员会的具体工作，区委、区政府交办的其他任务。府交办的其他任务。</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1、加强安全生产执法监察检查</w:t>
      </w:r>
    </w:p>
    <w:p>
      <w:pPr>
        <w:pStyle w:val="插入文本样式-插入职责分类绩效目标文件"/>
      </w:pPr>
      <w:r>
        <w:t xml:space="preserve">绩效目标：使我区安全生产工作在全市应急系统位于先进行列</w:t>
      </w:r>
    </w:p>
    <w:p>
      <w:pPr>
        <w:pStyle w:val="插入文本样式-插入职责分类绩效目标文件"/>
      </w:pPr>
      <w:r>
        <w:t xml:space="preserve">绩效指标：依法行使区安全生产综合监督管理职权，指导协调、监督检查区有关部门和区各乡镇、街道、经济开发区安全生产工作，组织开展安全生产巡查、考核工作。完成情况占加强安全生产执法监察检查大于等于95%。</w:t>
      </w:r>
    </w:p>
    <w:p>
      <w:pPr>
        <w:pStyle w:val="插入文本样式-插入职责分类绩效目标文件"/>
      </w:pPr>
      <w:r>
        <w:t xml:space="preserve">2、加强重大危险源安全管理</w:t>
      </w:r>
    </w:p>
    <w:p>
      <w:pPr>
        <w:pStyle w:val="插入文本样式-插入职责分类绩效目标文件"/>
      </w:pPr>
      <w:r>
        <w:t xml:space="preserve">绩效目标：确保不出现重特大事故的发生。</w:t>
      </w:r>
    </w:p>
    <w:p>
      <w:pPr>
        <w:pStyle w:val="插入文本样式-插入职责分类绩效目标文件"/>
      </w:pPr>
      <w:r>
        <w:t xml:space="preserve">绩效指标：负责危险化学品企业安全监督管理综合工作和烟花爆竹安全生产监督管理工作。完成情况占加强重大危险源安全管理大于等于95%。</w:t>
      </w:r>
    </w:p>
    <w:p>
      <w:pPr>
        <w:pStyle w:val="插入文本样式-插入职责分类绩效目标文件"/>
      </w:pPr>
      <w:r>
        <w:t xml:space="preserve">3、构建和完善安全生产监管体系</w:t>
      </w:r>
    </w:p>
    <w:p>
      <w:pPr>
        <w:pStyle w:val="插入文本样式-插入职责分类绩效目标文件"/>
      </w:pPr>
      <w:r>
        <w:t xml:space="preserve">绩效目标：完善预案，提高预案适应程度。</w:t>
      </w:r>
    </w:p>
    <w:p>
      <w:pPr>
        <w:pStyle w:val="插入文本样式-插入职责分类绩效目标文件"/>
      </w:pPr>
      <w:r>
        <w:t xml:space="preserve">绩效指标：指导应急预案体系建设，建立完善事故灾难和自然灾害分级应对制度，组织编制区总体应急预案和安全生产类、自然灾害类专项预案，综合协调应急预案衔接工作，组织开展预案演练，推动应急避难设施建设。完成情况占构建和完善安全生产监管体系大于等于95%。</w:t>
      </w:r>
    </w:p>
    <w:p>
      <w:pPr>
        <w:pStyle w:val="插入文本样式-插入职责分类绩效目标文件"/>
      </w:pPr>
      <w:r>
        <w:t xml:space="preserve">4、促进安全生产科学技术研究与推广应用</w:t>
      </w:r>
    </w:p>
    <w:p>
      <w:pPr>
        <w:pStyle w:val="插入文本样式-插入职责分类绩效目标文件"/>
      </w:pPr>
      <w:r>
        <w:t xml:space="preserve">绩效目标：健全自然灾害信息资源获取和共享机制</w:t>
      </w:r>
    </w:p>
    <w:p>
      <w:pPr>
        <w:pStyle w:val="插入文本样式-插入职责分类绩效目标文件"/>
      </w:pPr>
      <w:r>
        <w:t xml:space="preserve">绩效指标：建立统一的全区应急管理信息系统，负责信息传输渠道的规划和布局，建立监测预警和灾情报告制度，健全自然灾害信息资源获取和共享机制，依法统一发布灾情。完成情况占促进安全生产科学技术研究与推广应用大于等于95%。</w:t>
      </w:r>
    </w:p>
    <w:p>
      <w:pPr>
        <w:pStyle w:val="插入文本样式-插入职责分类绩效目标文件"/>
      </w:pPr>
      <w:r>
        <w:t xml:space="preserve">5、加强高危重点行业、商贸及金属非金属矿山安全生产监管</w:t>
      </w:r>
    </w:p>
    <w:p>
      <w:pPr>
        <w:pStyle w:val="插入文本样式-插入职责分类绩效目标文件"/>
      </w:pPr>
      <w:r>
        <w:t xml:space="preserve">绩效目标：安全生产，保障国家、人民生命财产安全</w:t>
      </w:r>
    </w:p>
    <w:p>
      <w:pPr>
        <w:pStyle w:val="插入文本样式-插入职责分类绩效目标文件"/>
      </w:pPr>
      <w:r>
        <w:t xml:space="preserve">绩效指标：负责化工（含石油化工）、医药、危险化学品和烟花爆竹行业安全生产监督管理工作，承担危险化学品安全监督管理综合工作，负责全区危险化学品登记的监督管理工作。负责非煤矿山（含地质勘探、尾矿库）、水泥、砖瓦行业安全生产监督管理工作。负责金属冶炼、冶金压延、铸造、有色等冶金行业的安全监管。负责建材、机械、轻工、纺织、烟草、商贸等工商贸行业安全生产监督管理工作。完成情况占加强高危重点行业、商贸及金属非金属矿山安全生产监管大于等于95%。</w:t>
      </w:r>
    </w:p>
    <w:p>
      <w:pPr>
        <w:pStyle w:val="插入文本样式-插入职责分类绩效目标文件"/>
      </w:pPr>
      <w:r>
        <w:t xml:space="preserve">6、全区铁路道口安全管理</w:t>
      </w:r>
    </w:p>
    <w:p>
      <w:pPr>
        <w:pStyle w:val="插入文本样式-插入职责分类绩效目标文件"/>
      </w:pPr>
      <w:r>
        <w:t xml:space="preserve">绩效目标：不出现事故</w:t>
      </w:r>
    </w:p>
    <w:p>
      <w:pPr>
        <w:pStyle w:val="插入文本样式-插入职责分类绩效目标文件"/>
      </w:pPr>
      <w:r>
        <w:t xml:space="preserve">绩效指标：负责辖区内上级指定无人看管铁路道口安全管理工作。完成情况占全区铁路道口安全管理大于等于95%。</w:t>
      </w:r>
    </w:p>
    <w:p>
      <w:pPr>
        <w:pStyle w:val="插入文本样式-插入职责分类绩效目标文件"/>
      </w:pPr>
      <w:r>
        <w:t xml:space="preserve">7、综合事务管理</w:t>
      </w:r>
    </w:p>
    <w:p>
      <w:pPr>
        <w:pStyle w:val="插入文本样式-插入职责分类绩效目标文件"/>
      </w:pPr>
      <w:r>
        <w:t xml:space="preserve">绩效目标：高效应急能力，统一指挥，上下联动</w:t>
      </w:r>
    </w:p>
    <w:p>
      <w:pPr>
        <w:pStyle w:val="插入文本样式-插入职责分类绩效目标文件"/>
      </w:pPr>
      <w:r>
        <w:t xml:space="preserve">绩效指标：加强、优化、统筹全区应急能力建设，构建统一领导、权责一致、权威高效的应急能力体系，推动形成统一指挥、专常兼备、反应灵敏、上下联动、平战结合的应急管理体制。完成情况占综合事务管理大于等于95%。</w:t>
      </w:r>
    </w:p>
    <w:p>
      <w:pPr>
        <w:pStyle w:val="插入文本样式-插入职责分类绩效目标文件"/>
      </w:pPr>
      <w:r>
        <w:t xml:space="preserve">8、防灭火及社会抢险救援</w:t>
      </w:r>
    </w:p>
    <w:p>
      <w:pPr>
        <w:pStyle w:val="插入文本样式-插入职责分类绩效目标文件"/>
      </w:pPr>
      <w:r>
        <w:t xml:space="preserve">绩效目标：防灭火及社会抢险救援</w:t>
      </w:r>
    </w:p>
    <w:p>
      <w:pPr>
        <w:pStyle w:val="插入文本样式-插入职责分类绩效目标文件"/>
      </w:pPr>
      <w:r>
        <w:t xml:space="preserve">绩效指标：承担全区相关事故灾害应急指挥部的现场协调保障工作，指导各级及社会应急救援力量建设，组织指导应急管理社会动员工作。指导城镇、农村、森林、草原消防工作规划编制并推进落实，指导消防监督、火灾预防、火灾扑救工作。组织协调水旱灾害应急救援工作，组织协调台风防御工作。组织协调地震应急救援工作,组织重大地质灾害应急救援,推动避难设施建设,指导协调地质灾害防治相关工作。完成情况占防灭火及社会抢险救援大于等于95%。</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1、坚决贯彻党落实党中央和省委、市委、区委关于统计工作的方针政策和决策部署，坚持和加强党对统计工作的集中统一领导。</w:t>
      </w:r>
    </w:p>
    <w:p>
      <w:pPr>
        <w:pStyle w:val="插入文本样式-插入实现年度发展规划目标的保障措施文件"/>
      </w:pPr>
      <w:r>
        <w:t xml:space="preserve">2、完善制度建设。制定预算绩效管理制度、资金管理办法、工作保障制度，为全年预算绩效目标的实现奠定制度基础。</w:t>
      </w:r>
    </w:p>
    <w:p>
      <w:pPr>
        <w:pStyle w:val="插入文本样式-插入实现年度发展规划目标的保障措施文件"/>
      </w:pPr>
      <w:r>
        <w:t xml:space="preserve">3、加强支出管理。通过优化支出结构、编细编实预算、加快履行政府采购手续、尽快启动项目、及时支付资金、按规定及时下达资金等多种措施，确保支出进度达标。</w:t>
      </w:r>
    </w:p>
    <w:p>
      <w:pPr>
        <w:pStyle w:val="插入文本样式-插入实现年度发展规划目标的保障措施文件"/>
      </w:pPr>
      <w:r>
        <w:t xml:space="preserve">4、加强绩效运行监控。按财政局要求开展绩效运行监控，发现问题及时采取措施，确保绩效目标如期保质实现。不断增强预算绩效管理意识，切实提高财政资金的使用效益。加大宣传力度，强化预算绩效管理意识，促进预算绩效管理水平进一步提升。</w:t>
      </w:r>
    </w:p>
    <w:p>
      <w:pPr>
        <w:pStyle w:val="插入文本样式-插入实现年度发展规划目标的保障措施文件"/>
      </w:pPr>
      <w:r>
        <w:t xml:space="preserve">5、做好绩效自评。按要求开展上年度部门预算绩效自评和重点评价工作，对评价中发现的问题及时整改，调整优化支出结构，提高财政资金使用效益。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6、规范财务资产管理。完善财务管理制度，严格审批程序，加强固定资产登记、使用和报废处置管理，做到支出合理，物尽其用。</w:t>
      </w:r>
    </w:p>
    <w:p>
      <w:pPr>
        <w:pStyle w:val="插入文本样式-插入实现年度发展规划目标的保障措施文件"/>
      </w:pPr>
      <w:r>
        <w:t xml:space="preserve">7、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r>
        <w:t xml:space="preserve">8、加强宣传培训调研等。加强人员培训，提高职工业务素质；加强研，提出优化财政资金配置、提高资金使用效益的意见意见；加大宣传力度，强化预算绩效管理意识，促进预算绩效管理水平进一步提升。</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9、指导区各级各部门应对安全生产类、自然灾害类等突发事件和综合防灾减灾救灾工作。拟定应急管理、防震减灾、安全生产等政府规章，组织编制应急体系建设、综合防震减灾和安全生产规划。</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1、2025年安全生产应急管理检查专项业务费项目绩效目标表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13020825P00012510002D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2025年安全生产应急管理检查专项业务费项目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执法检查业务车辆日常维护保养</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1.执法检查业务车辆日常维护保养</w:t>
            </w:r>
          </w:p>
          <w:p>
            <w:pPr>
              <w:pStyle w:val="单元格样式2"/>
            </w:pPr>
            <w:r>
              <w:t xml:space="preserve">2.保障执法检查常运转..</w:t>
            </w:r>
          </w:p>
          <w:p>
            <w:pPr>
              <w:pStyle w:val="单元格样式2"/>
            </w:pPr>
            <w:r>
              <w:t xml:space="preserve">3.保障工作正常有序开展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执法检查用车数量</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保证各项工作顺利开展效率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执法检查用车维护时限</w:t>
            </w:r>
          </w:p>
        </w:tc>
        <w:tc>
          <w:tcPr>
            <w:tcW w:w="2268" w:type="dxa"/>
            <w:vAlign w:val="center"/>
          </w:tcPr>
          <w:p>
            <w:pPr>
              <w:pStyle w:val="单元格样式2"/>
            </w:pPr>
            <w:r>
              <w:t xml:space="preserve">2025年12月底完成</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燃油费、保险费、维修费每辆费用</w:t>
            </w:r>
          </w:p>
        </w:tc>
        <w:tc>
          <w:tcPr>
            <w:tcW w:w="2268" w:type="dxa"/>
            <w:vAlign w:val="center"/>
          </w:tcPr>
          <w:p>
            <w:pPr>
              <w:pStyle w:val="单元格样式2"/>
            </w:pPr>
            <w:r>
              <w:t xml:space="preserve">≤0.84万元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保障执法检查工作正常有序开展效果率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≥95百分比</w:t>
            </w:r>
          </w:p>
        </w:tc>
        <w:tc>
          <w:tcPr>
            <w:tcW w:w="1276" w:type="dxa"/>
            <w:vAlign w:val="center"/>
          </w:tcPr>
          <w:p>
            <w:pPr>
              <w:pStyle w:val="单元格样式2"/>
            </w:pPr>
            <w:r>
              <w:t xml:space="preserve">问卷调查</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2、2025年地震监测点维护项目绩效目标表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13020825P00012110003A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2025年地震监测点维护项目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保障工作正常开展，及时发布信息</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1.保障地震维护点正常工作</w:t>
            </w:r>
          </w:p>
          <w:p>
            <w:pPr>
              <w:pStyle w:val="单元格样式2"/>
            </w:pPr>
            <w:r>
              <w:t xml:space="preserve">2.保障工作正常开展，及时发布信息</w:t>
            </w:r>
          </w:p>
          <w:p>
            <w:pPr>
              <w:pStyle w:val="单元格样式2"/>
            </w:pPr>
            <w:r>
              <w:t xml:space="preserve">3.保障工作正常有序开展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对维护点进行日常维护月数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保障地震维护点正常工作效率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保障工作正常开展，及时发布信息</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每次地震点日常维护成本</w:t>
            </w:r>
          </w:p>
        </w:tc>
        <w:tc>
          <w:tcPr>
            <w:tcW w:w="2268" w:type="dxa"/>
            <w:vAlign w:val="center"/>
          </w:tcPr>
          <w:p>
            <w:pPr>
              <w:pStyle w:val="单元格样式2"/>
            </w:pPr>
            <w:r>
              <w:t xml:space="preserve">≤0.17万元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地震点工作正常效率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≥96百分比</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3、2025年农房保险项目绩效目标表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13020825P00012610003N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2025年农房保险项目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128.51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128.51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保证农村住房保险各项工作顺利开展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1.保证农村住房保险各项工作顺利开展</w:t>
            </w:r>
          </w:p>
          <w:p>
            <w:pPr>
              <w:pStyle w:val="单元格样式2"/>
            </w:pPr>
            <w:r>
              <w:t xml:space="preserve">2.保障农村住房保险工作正常办公</w:t>
            </w:r>
          </w:p>
          <w:p>
            <w:pPr>
              <w:pStyle w:val="单元格样式2"/>
            </w:pPr>
            <w:r>
              <w:t xml:space="preserve">3.保障农村住房保险工作正常有序开展</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缴纳农村住房保险月数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保证农村住房保险各项工作顺利开展率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缴纳农村住房保险时限</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缴纳农村住房保险每月费用</w:t>
            </w:r>
          </w:p>
        </w:tc>
        <w:tc>
          <w:tcPr>
            <w:tcW w:w="2268" w:type="dxa"/>
            <w:vAlign w:val="center"/>
          </w:tcPr>
          <w:p>
            <w:pPr>
              <w:pStyle w:val="单元格样式2"/>
            </w:pPr>
            <w:r>
              <w:t xml:space="preserve">≤10.7万元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保障农村住房保险工作正常有序开展率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≥95百分比</w:t>
            </w:r>
          </w:p>
        </w:tc>
        <w:tc>
          <w:tcPr>
            <w:tcW w:w="1276" w:type="dxa"/>
            <w:vAlign w:val="center"/>
          </w:tcPr>
          <w:p>
            <w:pPr>
              <w:pStyle w:val="单元格样式2"/>
            </w:pPr>
            <w:r>
              <w:t xml:space="preserve">行业标准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4、2025年聘请第三方协查项目安全隐患排查技术服务费（2023年11月21至2025年11月20日两年）项目绩效目标表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13020825P000122100030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2025年聘请第三方协查项目安全隐患排查技术服务费（2023年11月21至2025年11月20日两年）项目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对辖区内生产经营单位进行安全生产检查，排除安全隐患，减少事故的发生、保障生产经营单位正常运转及人员生命安全。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1.聘请第三方协查项目安全隐患排查</w:t>
            </w:r>
            <w:r>
              <w:rPr/>
              <w:tab/>
            </w:r>
            <w:r>
              <w:rPr/>
              <w:tab/>
            </w:r>
            <w:r>
              <w:rPr/>
              <w:tab/>
            </w:r>
            <w:r>
              <w:rPr/>
              <w:tab/>
            </w:r>
            <w:r>
              <w:rPr/>
              <w:tab/>
            </w:r>
          </w:p>
          <w:p>
            <w:pPr>
              <w:pStyle w:val="单元格样式2"/>
            </w:pPr>
          </w:p>
          <w:p>
            <w:pPr>
              <w:pStyle w:val="单元格样式2"/>
            </w:pPr>
            <w:r>
              <w:t xml:space="preserve">2.对辖区内生产经营单位进行安全生产检查，排除安全隐患，减少事故的发生、保障生产经营单位正常运转及人员生命安全。</w:t>
            </w:r>
          </w:p>
          <w:p>
            <w:pPr>
              <w:pStyle w:val="单元格样式2"/>
            </w:pPr>
            <w:r>
              <w:t xml:space="preserve">3.保障工作正常有序开展</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深入企业，排除安全隐患，消除事故</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排除安全隐患，消除事故发生效率</w:t>
            </w:r>
          </w:p>
        </w:tc>
        <w:tc>
          <w:tcPr>
            <w:tcW w:w="2268" w:type="dxa"/>
            <w:vAlign w:val="center"/>
          </w:tcPr>
          <w:p>
            <w:pPr>
              <w:pStyle w:val="单元格样式2"/>
            </w:pPr>
            <w:r>
              <w:t xml:space="preserve">≥97百分比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保障工作正常有序开展</w:t>
            </w:r>
          </w:p>
        </w:tc>
        <w:tc>
          <w:tcPr>
            <w:tcW w:w="2268" w:type="dxa"/>
            <w:vAlign w:val="center"/>
          </w:tcPr>
          <w:p>
            <w:pPr>
              <w:pStyle w:val="单元格样式2"/>
            </w:pPr>
            <w:r>
              <w:t xml:space="preserve">2025年12月底完成</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每家企业排除隐患所需成本</w:t>
            </w:r>
          </w:p>
        </w:tc>
        <w:tc>
          <w:tcPr>
            <w:tcW w:w="2268" w:type="dxa"/>
            <w:vAlign w:val="center"/>
          </w:tcPr>
          <w:p>
            <w:pPr>
              <w:pStyle w:val="单元格样式2"/>
            </w:pPr>
            <w:r>
              <w:t xml:space="preserve">≤17.92万元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排除安全隐患，保障人民生命财产安全，企业健康发展效率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≥98百分比</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5、2025年森林防灭火、防汛、救灾、安全生产等综合应急演练费项目绩效目标表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13020825P000128100032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2025年森林防灭火、防汛、救灾、安全生产等综合应急演练费项目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科学筹划提升应急突发事件处置能力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1.科学筹划提升应急突发事件处置能力，</w:t>
            </w:r>
            <w:r>
              <w:rPr/>
              <w:tab/>
            </w:r>
            <w:r>
              <w:rPr/>
              <w:tab/>
            </w:r>
            <w:r>
              <w:rPr/>
              <w:tab/>
            </w:r>
            <w:r>
              <w:rPr/>
              <w:tab/>
            </w:r>
            <w:r>
              <w:rPr/>
              <w:tab/>
            </w:r>
          </w:p>
          <w:p>
            <w:pPr>
              <w:pStyle w:val="单元格样式2"/>
            </w:pPr>
          </w:p>
          <w:p>
            <w:pPr>
              <w:pStyle w:val="单元格样式2"/>
            </w:pPr>
            <w:r>
              <w:t xml:space="preserve">2.提升应急工作保障能力。</w:t>
            </w:r>
            <w:r>
              <w:rPr/>
              <w:tab/>
            </w:r>
            <w:r>
              <w:rPr/>
              <w:tab/>
            </w:r>
            <w:r>
              <w:rPr/>
              <w:tab/>
            </w:r>
            <w:r>
              <w:rPr/>
              <w:tab/>
            </w:r>
            <w:r>
              <w:rPr/>
              <w:tab/>
            </w:r>
          </w:p>
          <w:p>
            <w:pPr>
              <w:pStyle w:val="单元格样式2"/>
            </w:pPr>
          </w:p>
          <w:p>
            <w:pPr>
              <w:pStyle w:val="单元格样式2"/>
            </w:pPr>
            <w:r>
              <w:t xml:space="preserve">3.保障防灾减灾正常有序开展，</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综合应急演练开展月数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综合应急演练开展效果率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综合应急演练工作完成时限</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综合应急演练工作每月成本</w:t>
            </w:r>
          </w:p>
        </w:tc>
        <w:tc>
          <w:tcPr>
            <w:tcW w:w="2268" w:type="dxa"/>
            <w:vAlign w:val="center"/>
          </w:tcPr>
          <w:p>
            <w:pPr>
              <w:pStyle w:val="单元格样式2"/>
            </w:pPr>
            <w:r>
              <w:t xml:space="preserve">≤0.84万元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提升应急工作保障能力工作开展效率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"文件要求</w:t>
            </w:r>
          </w:p>
          <w:p>
            <w:pPr>
              <w:pStyle w:val="单元格样式2"/>
            </w:pPr>
            <w:r>
              <w:t xml:space="preserve">"</w:t>
            </w:r>
            <w:r>
              <w:rPr/>
              <w:tab/>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6、2025年铁道口监护人员补贴（不含保险）绩效目标表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13020825P00012910003P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2025年铁道口监护人员补贴（不含保险）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202.92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202.92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安排监护员对铁路道口24小时对巡视，监护。 </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1."保障道口畅通，人员安全，对道口巡视，监护。</w:t>
            </w:r>
            <w:r>
              <w:rPr/>
              <w:tab/>
            </w:r>
            <w:r>
              <w:rPr/>
              <w:tab/>
            </w:r>
            <w:r>
              <w:rPr/>
              <w:t xml:space="preserve">"</w:t>
            </w:r>
            <w:r>
              <w:rPr/>
              <w:tab/>
            </w:r>
            <w:r>
              <w:rPr/>
              <w:tab/>
            </w:r>
            <w:r>
              <w:rPr/>
              <w:tab/>
            </w:r>
            <w:r>
              <w:rPr/>
              <w:tab/>
            </w:r>
            <w:r>
              <w:rPr/>
              <w:tab/>
            </w:r>
          </w:p>
          <w:p>
            <w:pPr>
              <w:pStyle w:val="单元格样式2"/>
            </w:pPr>
          </w:p>
          <w:p>
            <w:pPr>
              <w:pStyle w:val="单元格样式2"/>
            </w:pPr>
            <w:r>
              <w:t xml:space="preserve">2.安排监护员对铁路道口24小时对巡视，监护。 </w:t>
            </w:r>
          </w:p>
          <w:p>
            <w:pPr>
              <w:pStyle w:val="单元格样式2"/>
            </w:pPr>
            <w:r>
              <w:t xml:space="preserve">3.保障工作正常有序开展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对道口巡视，监护员人数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保障道口畅通，人员安全工作开展效率</w:t>
            </w:r>
          </w:p>
        </w:tc>
        <w:tc>
          <w:tcPr>
            <w:tcW w:w="2268" w:type="dxa"/>
            <w:vAlign w:val="center"/>
          </w:tcPr>
          <w:p>
            <w:pPr>
              <w:pStyle w:val="单元格样式2"/>
            </w:pPr>
            <w:r>
              <w:t xml:space="preserve">≥96百分比</w:t>
            </w:r>
          </w:p>
        </w:tc>
        <w:tc>
          <w:tcPr>
            <w:tcW w:w="1276" w:type="dxa"/>
            <w:vAlign w:val="center"/>
          </w:tcPr>
          <w:p>
            <w:pPr>
              <w:pStyle w:val="单元格样式2"/>
            </w:pPr>
          </w:p>
          <w:p>
            <w:pPr>
              <w:pStyle w:val="单元格样式2"/>
            </w:pPr>
            <w:r>
              <w:t xml:space="preserve">年初计划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年底达到年初制定目标</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铁道口监护人员补贴每月所需成本</w:t>
            </w:r>
          </w:p>
        </w:tc>
        <w:tc>
          <w:tcPr>
            <w:tcW w:w="2268" w:type="dxa"/>
            <w:vAlign w:val="center"/>
          </w:tcPr>
          <w:p>
            <w:pPr>
              <w:pStyle w:val="单元格样式2"/>
            </w:pPr>
            <w:r>
              <w:t xml:space="preserve">≤16.91万元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保障铁路道口畅通工作开展效率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≥98百分比</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7、2025年铁路道口的办公费、取暖费、杂费、设备更新、安全奖、防暑降温费、物业、水电费、劳保、意外伤害险、煤气费等费用项目绩效目标表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13020825P00013210002K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2025年铁路道口的办公费、取暖费、杂费、设备更新、安全奖、防暑降温费、物业、水电费、劳保、意外伤害险、煤气费等费用项目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保障道口畅通，人员安全，对道口巡视，监护。</w:t>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1.保障道口畅通，人员安全，对道口巡视，监护。</w:t>
            </w:r>
            <w:r>
              <w:rPr/>
              <w:tab/>
            </w:r>
          </w:p>
          <w:p>
            <w:pPr>
              <w:pStyle w:val="单元格样式2"/>
            </w:pPr>
          </w:p>
          <w:p>
            <w:pPr>
              <w:pStyle w:val="单元格样式2"/>
            </w:pPr>
            <w:r>
              <w:t xml:space="preserve">2.年底达到年初制定目标</w:t>
            </w:r>
          </w:p>
          <w:p>
            <w:pPr>
              <w:pStyle w:val="单元格样式2"/>
            </w:pPr>
            <w:r>
              <w:t xml:space="preserve">3.保障工作正常有序开展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对道口巡视，监护月数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保障道口畅通工作开展效率</w:t>
            </w:r>
          </w:p>
        </w:tc>
        <w:tc>
          <w:tcPr>
            <w:tcW w:w="2268" w:type="dxa"/>
            <w:vAlign w:val="center"/>
          </w:tcPr>
          <w:p>
            <w:pPr>
              <w:pStyle w:val="单元格样式2"/>
            </w:pPr>
            <w:r>
              <w:t xml:space="preserve">≥93百分比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年底达到年初制定目标</w:t>
            </w:r>
          </w:p>
        </w:tc>
        <w:tc>
          <w:tcPr>
            <w:tcW w:w="2268" w:type="dxa"/>
            <w:vAlign w:val="center"/>
          </w:tcPr>
          <w:p>
            <w:pPr>
              <w:pStyle w:val="单元格样式2"/>
            </w:pPr>
            <w:r>
              <w:t xml:space="preserve">2025年12月底完成</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每月道口维护所需成本</w:t>
            </w:r>
          </w:p>
        </w:tc>
        <w:tc>
          <w:tcPr>
            <w:tcW w:w="2268" w:type="dxa"/>
            <w:vAlign w:val="center"/>
          </w:tcPr>
          <w:p>
            <w:pPr>
              <w:pStyle w:val="单元格样式2"/>
            </w:pPr>
            <w:r>
              <w:t xml:space="preserve">≤1.25万元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保障铁路道口畅通工作取得成果效率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≥96百分比</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8、2025年网络维护费项目绩效目标表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13020825P00012310003M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2025年网络维护费项目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安全网是专网,按省市要求及工作实际，专网和外网的维护</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0.96</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1.安全网是专网,按省市要求及工作实际，专网和外网的维护</w:t>
            </w:r>
          </w:p>
          <w:p>
            <w:pPr>
              <w:pStyle w:val="单元格样式2"/>
            </w:pPr>
            <w:r>
              <w:t xml:space="preserve">2.保障上传下达畅通，传达到位</w:t>
            </w:r>
          </w:p>
          <w:p>
            <w:pPr>
              <w:pStyle w:val="单元格样式2"/>
            </w:pPr>
            <w:r>
              <w:t xml:space="preserve">3.保障工作正常有序开展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安全网是专网,按省市要求及工作实际，专网和外网的维护</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网络维护工作开展率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按时及时，确保到位率</w:t>
            </w:r>
          </w:p>
        </w:tc>
        <w:tc>
          <w:tcPr>
            <w:tcW w:w="2268" w:type="dxa"/>
            <w:vAlign w:val="center"/>
          </w:tcPr>
          <w:p>
            <w:pPr>
              <w:pStyle w:val="单元格样式2"/>
            </w:pPr>
            <w:r>
              <w:t xml:space="preserve">2025年12月底完成</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每次网络维护成本</w:t>
            </w:r>
          </w:p>
        </w:tc>
        <w:tc>
          <w:tcPr>
            <w:tcW w:w="2268" w:type="dxa"/>
            <w:vAlign w:val="center"/>
          </w:tcPr>
          <w:p>
            <w:pPr>
              <w:pStyle w:val="单元格样式2"/>
            </w:pPr>
            <w:r>
              <w:t xml:space="preserve">≤800元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网络维护工作开展效果率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9、2025年宣传、印刷费项目绩效目标表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13020825P00012410003B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2025年宣传、印刷费项目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印刷检查、处罚传法律文件、相关文件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1.印刷检查、处罚传法律文件、相关文件</w:t>
            </w:r>
          </w:p>
          <w:p>
            <w:pPr>
              <w:pStyle w:val="单元格样式2"/>
            </w:pPr>
            <w:r>
              <w:t xml:space="preserve">2.印刷宣传法律文件、安全生产检查文件。</w:t>
            </w:r>
          </w:p>
          <w:p>
            <w:pPr>
              <w:pStyle w:val="单元格样式2"/>
            </w:pPr>
            <w:r>
              <w:t xml:space="preserve">3.用于印刷执法传法律文件、文书。</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开展次数</w:t>
            </w:r>
          </w:p>
        </w:tc>
        <w:tc>
          <w:tcPr>
            <w:tcW w:w="5386" w:type="dxa"/>
            <w:vAlign w:val="center"/>
          </w:tcPr>
          <w:p>
            <w:pPr>
              <w:pStyle w:val="单元格样式2"/>
            </w:pPr>
            <w:r>
              <w:t xml:space="preserve">印刷安全生产文书使用检查单位</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开展文件及时传达，宣传效率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检验标准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w:t>
            </w:r>
          </w:p>
        </w:tc>
        <w:tc>
          <w:tcPr>
            <w:tcW w:w="5386" w:type="dxa"/>
            <w:vAlign w:val="center"/>
          </w:tcPr>
          <w:p>
            <w:pPr>
              <w:pStyle w:val="单元格样式2"/>
            </w:pPr>
            <w:r>
              <w:t xml:space="preserve">年底达到年初制定目标</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每家企业需印刷相关文书成本</w:t>
            </w:r>
          </w:p>
        </w:tc>
        <w:tc>
          <w:tcPr>
            <w:tcW w:w="2268" w:type="dxa"/>
            <w:vAlign w:val="center"/>
          </w:tcPr>
          <w:p>
            <w:pPr>
              <w:pStyle w:val="单元格样式2"/>
            </w:pPr>
            <w:r>
              <w:t xml:space="preserve">≤2500元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开展工作使企业了解及时上级精神、安全生产行业动态的效率。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10、2025年汛期基本物资费项目绩效目标表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13020825P00012710002Q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2025年汛期基本物资费项目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进一步提升全市水旱灾害防御工作效能及救灾物资应急保障能力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1.确保遇有突发水旱灾害时，防汛应急救灾物资充足可用。</w:t>
            </w:r>
          </w:p>
          <w:p>
            <w:pPr>
              <w:pStyle w:val="单元格样式2"/>
            </w:pPr>
            <w:r>
              <w:t xml:space="preserve">2.进一步提升全市水旱灾害防御工作效能及救灾物资应急保障能力</w:t>
            </w:r>
          </w:p>
          <w:p>
            <w:pPr>
              <w:pStyle w:val="单元格样式2"/>
            </w:pPr>
            <w:r>
              <w:t xml:space="preserve">3.保障抗旱应急物资储备有序开展</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防汛工作开心月数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保证物资初步工作顺利开展效率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防汛基本物资开展时限</w:t>
            </w:r>
          </w:p>
        </w:tc>
        <w:tc>
          <w:tcPr>
            <w:tcW w:w="2268" w:type="dxa"/>
            <w:vAlign w:val="center"/>
          </w:tcPr>
          <w:p>
            <w:pPr>
              <w:pStyle w:val="单元格样式2"/>
            </w:pPr>
            <w:r>
              <w:t xml:space="preserve">2025年12月底完成</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防汛物资每月成本</w:t>
            </w:r>
          </w:p>
        </w:tc>
        <w:tc>
          <w:tcPr>
            <w:tcW w:w="2268" w:type="dxa"/>
            <w:vAlign w:val="center"/>
          </w:tcPr>
          <w:p>
            <w:pPr>
              <w:pStyle w:val="单元格样式2"/>
            </w:pPr>
            <w:r>
              <w:t xml:space="preserve">≤4166元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保证危险化学品安全生产各项工作顺利开展效率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≥98百分比</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11、2025年应急救援大队救援人员工资及保险绩效目标表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13020825P00013010003U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2025年应急救援大队救援人员工资及保险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科学筹划提升应急突发事件处置能力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1.科学筹划提升应急突发事件处置能力，</w:t>
            </w:r>
          </w:p>
          <w:p>
            <w:pPr>
              <w:pStyle w:val="单元格样式2"/>
            </w:pPr>
            <w:r>
              <w:t xml:space="preserve">2.提升应急工作保障能力。</w:t>
            </w:r>
          </w:p>
          <w:p>
            <w:pPr>
              <w:pStyle w:val="单元格样式2"/>
            </w:pPr>
            <w:r>
              <w:t xml:space="preserve">3.保障防灾减灾正常有序开展，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应急救援大队救援员人数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提升应急救援能力效果率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开展工作时限</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每月所需成本</w:t>
            </w:r>
          </w:p>
        </w:tc>
        <w:tc>
          <w:tcPr>
            <w:tcW w:w="2268" w:type="dxa"/>
            <w:vAlign w:val="center"/>
          </w:tcPr>
          <w:p>
            <w:pPr>
              <w:pStyle w:val="单元格样式2"/>
            </w:pPr>
            <w:r>
              <w:t xml:space="preserve">≤4.9万元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保障火灾扑救抢险救援工作正常有序开展率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≥98百分比</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12、2025年执法服装费项目绩效目标表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13020825P00013110003H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2025年执法服装费项目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8.74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8.74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保障工作正常有序开展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1.保证各项工作顺利开展</w:t>
            </w:r>
            <w:r>
              <w:rPr/>
              <w:tab/>
            </w:r>
            <w:r>
              <w:rPr/>
              <w:tab/>
            </w:r>
            <w:r>
              <w:rPr/>
              <w:tab/>
            </w:r>
            <w:r>
              <w:rPr/>
              <w:tab/>
            </w:r>
            <w:r>
              <w:rPr/>
              <w:tab/>
            </w:r>
          </w:p>
          <w:p>
            <w:pPr>
              <w:pStyle w:val="单元格样式2"/>
            </w:pPr>
          </w:p>
          <w:p>
            <w:pPr>
              <w:pStyle w:val="单元格样式2"/>
            </w:pPr>
            <w:r>
              <w:t xml:space="preserve">2.保障正常办公顺利开展</w:t>
            </w:r>
            <w:r>
              <w:rPr/>
              <w:tab/>
            </w:r>
            <w:r>
              <w:rPr/>
              <w:tab/>
            </w:r>
            <w:r>
              <w:rPr/>
              <w:tab/>
            </w:r>
          </w:p>
          <w:p>
            <w:pPr>
              <w:pStyle w:val="单元格样式2"/>
            </w:pPr>
            <w:r>
              <w:t xml:space="preserve">3.保障工作正常有序开展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需配发执法服装人员数量</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保证各项工作顺利开展效率</w:t>
            </w:r>
          </w:p>
        </w:tc>
        <w:tc>
          <w:tcPr>
            <w:tcW w:w="2268" w:type="dxa"/>
            <w:vAlign w:val="center"/>
          </w:tcPr>
          <w:p>
            <w:pPr>
              <w:pStyle w:val="单元格样式2"/>
            </w:pPr>
            <w:r>
              <w:t xml:space="preserve">≥95百分百</w:t>
            </w:r>
          </w:p>
        </w:tc>
        <w:tc>
          <w:tcPr>
            <w:tcW w:w="1276" w:type="dxa"/>
            <w:vAlign w:val="center"/>
          </w:tcPr>
          <w:p>
            <w:pPr>
              <w:pStyle w:val="单元格样式2"/>
            </w:pPr>
            <w:r>
              <w:t xml:space="preserve">年初计划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需配发执法服装时限</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每年配发每人服装费用</w:t>
            </w:r>
          </w:p>
        </w:tc>
        <w:tc>
          <w:tcPr>
            <w:tcW w:w="2268" w:type="dxa"/>
            <w:vAlign w:val="center"/>
          </w:tcPr>
          <w:p>
            <w:pPr>
              <w:pStyle w:val="单元格样式2"/>
            </w:pPr>
            <w:r>
              <w:t xml:space="preserve">≤0.74万元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每年配发每人服装费用</w:t>
            </w:r>
          </w:p>
        </w:tc>
        <w:tc>
          <w:tcPr>
            <w:tcW w:w="2268" w:type="dxa"/>
            <w:vAlign w:val="center"/>
          </w:tcPr>
          <w:p>
            <w:pPr>
              <w:pStyle w:val="单元格样式2"/>
            </w:pPr>
            <w:r>
              <w:t xml:space="preserve">≥97百分百</w:t>
            </w:r>
          </w:p>
        </w:tc>
        <w:tc>
          <w:tcPr>
            <w:tcW w:w="1276" w:type="dxa"/>
            <w:vAlign w:val="center"/>
          </w:tcPr>
          <w:p>
            <w:pPr>
              <w:pStyle w:val="单元格样式2"/>
            </w:pPr>
            <w:r>
              <w:t xml:space="preserve">行业标准</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工作满意度</w:t>
            </w:r>
          </w:p>
        </w:tc>
        <w:tc>
          <w:tcPr>
            <w:tcW w:w="5386" w:type="dxa"/>
            <w:vAlign w:val="center"/>
          </w:tcPr>
          <w:p>
            <w:pPr>
              <w:pStyle w:val="单元格样式2"/>
            </w:pPr>
            <w:r>
              <w:t xml:space="preserve">合理科学开展工作</w:t>
            </w:r>
          </w:p>
        </w:tc>
        <w:tc>
          <w:tcPr>
            <w:tcW w:w="2268" w:type="dxa"/>
            <w:vAlign w:val="center"/>
          </w:tcPr>
          <w:p>
            <w:pPr>
              <w:pStyle w:val="单元格样式2"/>
            </w:pPr>
            <w:r>
              <w:t xml:space="preserve">≥98百分百</w:t>
            </w:r>
          </w:p>
        </w:tc>
        <w:tc>
          <w:tcPr>
            <w:tcW w:w="1276" w:type="dxa"/>
            <w:vAlign w:val="center"/>
          </w:tcPr>
          <w:p>
            <w:pPr>
              <w:pStyle w:val="单元格样式2"/>
            </w:pPr>
            <w:r>
              <w:t xml:space="preserve">文件要求</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13、2025年自然灾害救灾补助专项资金（省级）绩效目标表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13020825P000120100021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2025年自然灾害救灾补助专项资金（省级）</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106.38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106.38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保证农村住房保险各项工作顺利开展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1.保证农村住房保险各项工作顺利开展率</w:t>
            </w:r>
            <w:r>
              <w:rPr/>
              <w:tab/>
            </w:r>
            <w:r>
              <w:rPr/>
              <w:tab/>
            </w:r>
          </w:p>
          <w:p>
            <w:pPr>
              <w:pStyle w:val="单元格样式2"/>
            </w:pPr>
          </w:p>
          <w:p>
            <w:pPr>
              <w:pStyle w:val="单元格样式2"/>
            </w:pPr>
            <w:r>
              <w:t xml:space="preserve">2.保障农村住房保险工作正常有序开展</w:t>
            </w:r>
          </w:p>
          <w:p>
            <w:pPr>
              <w:pStyle w:val="单元格样式2"/>
            </w:pPr>
            <w:r>
              <w:t xml:space="preserve">3.保证各项工作顺利开展效率</w:t>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年度开展工作</w:t>
            </w:r>
          </w:p>
        </w:tc>
        <w:tc>
          <w:tcPr>
            <w:tcW w:w="5386" w:type="dxa"/>
            <w:vAlign w:val="center"/>
          </w:tcPr>
          <w:p>
            <w:pPr>
              <w:pStyle w:val="单元格样式2"/>
            </w:pPr>
            <w:r>
              <w:t xml:space="preserve">缴纳农村住房保险月数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开展效果</w:t>
            </w:r>
          </w:p>
        </w:tc>
        <w:tc>
          <w:tcPr>
            <w:tcW w:w="5386" w:type="dxa"/>
            <w:vAlign w:val="center"/>
          </w:tcPr>
          <w:p>
            <w:pPr>
              <w:pStyle w:val="单元格样式2"/>
            </w:pPr>
            <w:r>
              <w:t xml:space="preserve">保证农村住房保险各项工作顺利开展率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缴纳农村住房保险时限</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专项费使用</w:t>
            </w:r>
          </w:p>
        </w:tc>
        <w:tc>
          <w:tcPr>
            <w:tcW w:w="5386" w:type="dxa"/>
            <w:vAlign w:val="center"/>
          </w:tcPr>
          <w:p>
            <w:pPr>
              <w:pStyle w:val="单元格样式2"/>
            </w:pPr>
            <w:r>
              <w:t xml:space="preserve">缴纳农村住房保险每月费用</w:t>
            </w:r>
          </w:p>
        </w:tc>
        <w:tc>
          <w:tcPr>
            <w:tcW w:w="2268" w:type="dxa"/>
            <w:vAlign w:val="center"/>
          </w:tcPr>
          <w:p>
            <w:pPr>
              <w:pStyle w:val="单元格样式2"/>
            </w:pPr>
            <w:r>
              <w:t xml:space="preserve">≤8.9万元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保障农村住房保险工作正常有序开展率</w:t>
            </w:r>
          </w:p>
        </w:tc>
        <w:tc>
          <w:tcPr>
            <w:tcW w:w="2268" w:type="dxa"/>
            <w:vAlign w:val="center"/>
          </w:tcPr>
          <w:p>
            <w:pPr>
              <w:pStyle w:val="单元格样式2"/>
            </w:pPr>
            <w:r>
              <w:t xml:space="preserve">≥96百分比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取得效果</w:t>
            </w:r>
          </w:p>
        </w:tc>
        <w:tc>
          <w:tcPr>
            <w:tcW w:w="5386" w:type="dxa"/>
            <w:vAlign w:val="center"/>
          </w:tcPr>
          <w:p>
            <w:pPr>
              <w:pStyle w:val="单元格样式2"/>
            </w:pPr>
            <w:r>
              <w:t xml:space="preserve">保障农村住房保险工作正常有序开展率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14、增发2023年国债灾害应急能力提升工程（应急领域）补助资金项目绩效目标表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13020824P00016110004C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增发2023年国债灾害应急能力提升工程（应急领域）补助资金项目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49.58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49.58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关于下达增发2023年国债自然灾害应急能力提升工程（应急领域）补助资金文件精神，中央项目资金87.2万元。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1.确保灾害防治体系建工作设有序展开</w:t>
            </w:r>
          </w:p>
          <w:p>
            <w:pPr>
              <w:pStyle w:val="单元格样式2"/>
            </w:pPr>
            <w:r>
              <w:t xml:space="preserve">2.保证各项工作顺利开展</w:t>
            </w:r>
          </w:p>
          <w:p>
            <w:pPr>
              <w:pStyle w:val="单元格样式2"/>
            </w:pPr>
            <w:r>
              <w:t xml:space="preserve">3.保障工作正常有序开展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开展各项工作月数</w:t>
            </w:r>
          </w:p>
        </w:tc>
        <w:tc>
          <w:tcPr>
            <w:tcW w:w="5386" w:type="dxa"/>
            <w:vAlign w:val="center"/>
          </w:tcPr>
          <w:p>
            <w:pPr>
              <w:pStyle w:val="单元格样式2"/>
            </w:pPr>
            <w:r>
              <w:t xml:space="preserve">自然灾害救助资金项目开展月数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各项工作完成率</w:t>
            </w:r>
          </w:p>
        </w:tc>
        <w:tc>
          <w:tcPr>
            <w:tcW w:w="5386" w:type="dxa"/>
            <w:vAlign w:val="center"/>
          </w:tcPr>
          <w:p>
            <w:pPr>
              <w:pStyle w:val="单元格样式2"/>
            </w:pPr>
            <w:r>
              <w:t xml:space="preserve">自然灾害救助专项资金开展过程中质量控制</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各项工作完成时限</w:t>
            </w:r>
          </w:p>
        </w:tc>
        <w:tc>
          <w:tcPr>
            <w:tcW w:w="5386" w:type="dxa"/>
            <w:vAlign w:val="center"/>
          </w:tcPr>
          <w:p>
            <w:pPr>
              <w:pStyle w:val="单元格样式2"/>
            </w:pPr>
            <w:r>
              <w:t xml:space="preserve">按计划控制项目开展时间</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严格控制各项工作成本</w:t>
            </w:r>
          </w:p>
        </w:tc>
        <w:tc>
          <w:tcPr>
            <w:tcW w:w="5386" w:type="dxa"/>
            <w:vAlign w:val="center"/>
          </w:tcPr>
          <w:p>
            <w:pPr>
              <w:pStyle w:val="单元格样式2"/>
            </w:pPr>
            <w:r>
              <w:t xml:space="preserve">严格控制项目开展成本</w:t>
            </w:r>
          </w:p>
        </w:tc>
        <w:tc>
          <w:tcPr>
            <w:tcW w:w="2268" w:type="dxa"/>
            <w:vAlign w:val="center"/>
          </w:tcPr>
          <w:p>
            <w:pPr>
              <w:pStyle w:val="单元格样式2"/>
            </w:pPr>
            <w:r>
              <w:t xml:space="preserve">≤4.09万元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应急管理工作、安全生产类、自然灾害类等突发事件和综合防灾减灾救灾工作。</w:t>
            </w:r>
          </w:p>
        </w:tc>
        <w:tc>
          <w:tcPr>
            <w:tcW w:w="5386" w:type="dxa"/>
            <w:vAlign w:val="center"/>
          </w:tcPr>
          <w:p>
            <w:pPr>
              <w:pStyle w:val="单元格样式2"/>
            </w:pPr>
            <w:r>
              <w:t xml:space="preserve">自然灾害类等突发事件和综合防灾减灾救灾工作。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自然灾害防治工作取得社会效益</w:t>
            </w:r>
          </w:p>
        </w:tc>
        <w:tc>
          <w:tcPr>
            <w:tcW w:w="5386" w:type="dxa"/>
            <w:vAlign w:val="center"/>
          </w:tcPr>
          <w:p>
            <w:pPr>
              <w:pStyle w:val="单元格样式2"/>
            </w:pPr>
            <w:r>
              <w:t xml:space="preserve">自然灾害类专项预案，综合协调应急预案衔接工作，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15、增发2023年国债灾害应急能力提升工程（应急领域）补助资金项目（省级配套）绩效目标表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13020824P00016010002F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增发2023年国债灾害应急能力提升工程（应急领域）补助资金项目（省级配套）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关于下达增发2023年国债自然灾害应急能力提升工程（应急领域）补助资金文件精神，省级配套补助资金7.267万元。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1.保障工作正常有序开展</w:t>
            </w:r>
            <w:r>
              <w:rPr/>
              <w:tab/>
            </w:r>
            <w:r>
              <w:rPr/>
              <w:tab/>
            </w:r>
            <w:r>
              <w:rPr/>
              <w:tab/>
            </w:r>
            <w:r>
              <w:rPr/>
              <w:tab/>
            </w:r>
            <w:r>
              <w:rPr/>
              <w:tab/>
            </w:r>
          </w:p>
          <w:p>
            <w:pPr>
              <w:pStyle w:val="单元格样式2"/>
            </w:pPr>
            <w:r>
              <w:tab/>
            </w:r>
            <w:r>
              <w:rPr/>
              <w:tab/>
            </w:r>
            <w:r>
              <w:rPr/>
              <w:tab/>
            </w:r>
            <w:r>
              <w:rPr/>
              <w:tab/>
            </w:r>
            <w:r>
              <w:rPr/>
              <w:tab/>
            </w:r>
          </w:p>
          <w:p>
            <w:pPr>
              <w:pStyle w:val="单元格样式2"/>
            </w:pPr>
          </w:p>
          <w:p>
            <w:pPr>
              <w:pStyle w:val="单元格样式2"/>
            </w:pPr>
            <w:r>
              <w:t xml:space="preserve">2.确保灾害防治体系建工作设有序展开</w:t>
            </w:r>
          </w:p>
          <w:p>
            <w:pPr>
              <w:pStyle w:val="单元格样式2"/>
            </w:pPr>
          </w:p>
          <w:p>
            <w:pPr>
              <w:pStyle w:val="单元格样式2"/>
            </w:pPr>
            <w:r>
              <w:t xml:space="preserve">3.保证各项工作顺利开展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开展各项工作月数</w:t>
            </w:r>
          </w:p>
        </w:tc>
        <w:tc>
          <w:tcPr>
            <w:tcW w:w="5386" w:type="dxa"/>
            <w:vAlign w:val="center"/>
          </w:tcPr>
          <w:p>
            <w:pPr>
              <w:pStyle w:val="单元格样式2"/>
            </w:pPr>
            <w:r>
              <w:t xml:space="preserve">自然灾害救助资金项目开展月数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各项工作完成率</w:t>
            </w:r>
          </w:p>
        </w:tc>
        <w:tc>
          <w:tcPr>
            <w:tcW w:w="5386" w:type="dxa"/>
            <w:vAlign w:val="center"/>
          </w:tcPr>
          <w:p>
            <w:pPr>
              <w:pStyle w:val="单元格样式2"/>
            </w:pPr>
            <w:r>
              <w:t xml:space="preserve">自然灾害救助专项资金开展过程中质量控制</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各项工作完成时限</w:t>
            </w:r>
          </w:p>
        </w:tc>
        <w:tc>
          <w:tcPr>
            <w:tcW w:w="5386" w:type="dxa"/>
            <w:vAlign w:val="center"/>
          </w:tcPr>
          <w:p>
            <w:pPr>
              <w:pStyle w:val="单元格样式2"/>
            </w:pPr>
            <w:r>
              <w:t xml:space="preserve">按计划控制项目开展时间</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严格控制各项工作成本</w:t>
            </w:r>
          </w:p>
        </w:tc>
        <w:tc>
          <w:tcPr>
            <w:tcW w:w="5386" w:type="dxa"/>
            <w:vAlign w:val="center"/>
          </w:tcPr>
          <w:p>
            <w:pPr>
              <w:pStyle w:val="单元格样式2"/>
            </w:pPr>
            <w:r>
              <w:t xml:space="preserve">严格控制项目开展成本</w:t>
            </w:r>
          </w:p>
        </w:tc>
        <w:tc>
          <w:tcPr>
            <w:tcW w:w="2268" w:type="dxa"/>
            <w:vAlign w:val="center"/>
          </w:tcPr>
          <w:p>
            <w:pPr>
              <w:pStyle w:val="单元格样式2"/>
            </w:pPr>
            <w:r>
              <w:t xml:space="preserve">≤0.34万元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应急管理工作、安全生产类、自然灾害类等突发事件和综合防灾减灾救灾工作。</w:t>
            </w:r>
          </w:p>
        </w:tc>
        <w:tc>
          <w:tcPr>
            <w:tcW w:w="5386" w:type="dxa"/>
            <w:vAlign w:val="center"/>
          </w:tcPr>
          <w:p>
            <w:pPr>
              <w:pStyle w:val="单元格样式2"/>
            </w:pPr>
            <w:r>
              <w:t xml:space="preserve">自然灾害类等突发事件和综合防灾减灾救灾工作。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自然灾害防治工作取得社会效益</w:t>
            </w:r>
          </w:p>
        </w:tc>
        <w:tc>
          <w:tcPr>
            <w:tcW w:w="5386" w:type="dxa"/>
            <w:vAlign w:val="center"/>
          </w:tcPr>
          <w:p>
            <w:pPr>
              <w:pStyle w:val="单元格样式2"/>
            </w:pPr>
            <w:r>
              <w:t xml:space="preserve">自然灾害类专项预案，综合协调应急预案衔接工作，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16、增发2023年国债自然灾害能力提升工程（应急领域基层防灾防灾工程）补助资金项目绩效目标表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13020824P00016210005M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增发2023年国债自然灾害能力提升工程（应急领域基层防灾防灾工程）补助资金项目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40.78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40.78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唐财建（2024）15号增发2023年国债自然灾害能力提升工程（应急领域基层防灾防灾工程）补助资金项目(中央配套)</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1.确保灾害防治体系建工作设有序展开</w:t>
            </w:r>
          </w:p>
          <w:p>
            <w:pPr>
              <w:pStyle w:val="单元格样式2"/>
            </w:pPr>
            <w:r>
              <w:t xml:space="preserve">2.完善灾害防治体系</w:t>
            </w:r>
          </w:p>
          <w:p>
            <w:pPr>
              <w:pStyle w:val="单元格样式2"/>
            </w:pPr>
          </w:p>
          <w:p>
            <w:pPr>
              <w:pStyle w:val="单元格样式2"/>
            </w:pPr>
            <w:r>
              <w:t xml:space="preserve">3.保障灾害防治工作顺利开展</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开展各项工作月数</w:t>
            </w:r>
          </w:p>
        </w:tc>
        <w:tc>
          <w:tcPr>
            <w:tcW w:w="5386" w:type="dxa"/>
            <w:vAlign w:val="center"/>
          </w:tcPr>
          <w:p>
            <w:pPr>
              <w:pStyle w:val="单元格样式2"/>
            </w:pPr>
            <w:r>
              <w:t xml:space="preserve">自然灾害救助资金项目开展月数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各项工作完成率</w:t>
            </w:r>
          </w:p>
        </w:tc>
        <w:tc>
          <w:tcPr>
            <w:tcW w:w="5386" w:type="dxa"/>
            <w:vAlign w:val="center"/>
          </w:tcPr>
          <w:p>
            <w:pPr>
              <w:pStyle w:val="单元格样式2"/>
            </w:pPr>
            <w:r>
              <w:t xml:space="preserve">自然灾害救助专项资金开展过程中质量控制</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各项工作完成时限</w:t>
            </w:r>
          </w:p>
        </w:tc>
        <w:tc>
          <w:tcPr>
            <w:tcW w:w="5386" w:type="dxa"/>
            <w:vAlign w:val="center"/>
          </w:tcPr>
          <w:p>
            <w:pPr>
              <w:pStyle w:val="单元格样式2"/>
            </w:pPr>
            <w:r>
              <w:t xml:space="preserve">按计划控制项目开展时间</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严格控制各项工作成本</w:t>
            </w:r>
          </w:p>
        </w:tc>
        <w:tc>
          <w:tcPr>
            <w:tcW w:w="5386" w:type="dxa"/>
            <w:vAlign w:val="center"/>
          </w:tcPr>
          <w:p>
            <w:pPr>
              <w:pStyle w:val="单元格样式2"/>
            </w:pPr>
            <w:r>
              <w:t xml:space="preserve">严格控制项目开展成本</w:t>
            </w:r>
          </w:p>
        </w:tc>
        <w:tc>
          <w:tcPr>
            <w:tcW w:w="2268" w:type="dxa"/>
            <w:vAlign w:val="center"/>
          </w:tcPr>
          <w:p>
            <w:pPr>
              <w:pStyle w:val="单元格样式2"/>
            </w:pPr>
            <w:r>
              <w:t xml:space="preserve">≤3.4万元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应急管理工作、安全生产类、自然灾害类等突发事件和综合防灾减灾救灾工作。</w:t>
            </w:r>
          </w:p>
        </w:tc>
        <w:tc>
          <w:tcPr>
            <w:tcW w:w="5386" w:type="dxa"/>
            <w:vAlign w:val="center"/>
          </w:tcPr>
          <w:p>
            <w:pPr>
              <w:pStyle w:val="单元格样式2"/>
            </w:pPr>
            <w:r>
              <w:t xml:space="preserve">自然灾害类等突发事件和综合防灾减灾救灾工作。</w:t>
            </w:r>
          </w:p>
        </w:tc>
        <w:tc>
          <w:tcPr>
            <w:tcW w:w="2268" w:type="dxa"/>
            <w:vAlign w:val="center"/>
          </w:tcPr>
          <w:p>
            <w:pPr>
              <w:pStyle w:val="单元格样式2"/>
            </w:pPr>
            <w:r>
              <w:t xml:space="preserve">≥96百分比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自然灾害防治工作取得社会效益</w:t>
            </w:r>
          </w:p>
        </w:tc>
        <w:tc>
          <w:tcPr>
            <w:tcW w:w="5386" w:type="dxa"/>
            <w:vAlign w:val="center"/>
          </w:tcPr>
          <w:p>
            <w:pPr>
              <w:pStyle w:val="单元格样式2"/>
            </w:pPr>
            <w:r>
              <w:t xml:space="preserve">自然灾害类专项预案，综合协调应急预案衔接工作，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17、增发2023年国债自然灾害能力提升工程（应急领域基层防灾防灾工程）补助资金项目(省级配套)绩效目标表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13020824P000163100034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增发2023年国债自然灾害能力提升工程（应急领域基层防灾防灾工程）补助资金项目(省级配套)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唐财建（2024）16号增发2023年国债自然灾害能力提升工程（应急领域基层防灾防灾工程）补助资金项目(省级配套)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1.保障工作正常有序开展</w:t>
            </w:r>
            <w:r>
              <w:rPr/>
              <w:tab/>
            </w:r>
            <w:r>
              <w:rPr/>
              <w:tab/>
            </w:r>
            <w:r>
              <w:rPr/>
              <w:tab/>
            </w:r>
            <w:r>
              <w:rPr/>
              <w:tab/>
            </w:r>
            <w:r>
              <w:rPr/>
              <w:tab/>
            </w:r>
          </w:p>
          <w:p>
            <w:pPr>
              <w:pStyle w:val="单元格样式2"/>
            </w:pPr>
            <w:r>
              <w:tab/>
            </w:r>
            <w:r>
              <w:rPr/>
              <w:tab/>
            </w:r>
            <w:r>
              <w:rPr/>
              <w:tab/>
            </w:r>
            <w:r>
              <w:rPr/>
              <w:tab/>
            </w:r>
            <w:r>
              <w:rPr/>
              <w:tab/>
            </w:r>
          </w:p>
          <w:p>
            <w:pPr>
              <w:pStyle w:val="单元格样式2"/>
            </w:pPr>
          </w:p>
          <w:p>
            <w:pPr>
              <w:pStyle w:val="单元格样式2"/>
            </w:pPr>
            <w:r>
              <w:t xml:space="preserve">2.确保灾害防治体系建工作设有序展开</w:t>
            </w:r>
          </w:p>
          <w:p>
            <w:pPr>
              <w:pStyle w:val="单元格样式2"/>
            </w:pPr>
            <w:r>
              <w:t xml:space="preserve">3.保证各项工作顺利开展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开展各项工作月数</w:t>
            </w:r>
          </w:p>
        </w:tc>
        <w:tc>
          <w:tcPr>
            <w:tcW w:w="5386" w:type="dxa"/>
            <w:vAlign w:val="center"/>
          </w:tcPr>
          <w:p>
            <w:pPr>
              <w:pStyle w:val="单元格样式2"/>
            </w:pPr>
            <w:r>
              <w:t xml:space="preserve">自然灾害救助资金项目开展月数</w:t>
            </w:r>
          </w:p>
        </w:tc>
        <w:tc>
          <w:tcPr>
            <w:tcW w:w="2268" w:type="dxa"/>
            <w:vAlign w:val="center"/>
          </w:tcPr>
          <w:p>
            <w:pPr>
              <w:pStyle w:val="单元格样式2"/>
            </w:pPr>
            <w:r>
              <w:t xml:space="preserve">≥12月</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各项工作完成率</w:t>
            </w:r>
          </w:p>
        </w:tc>
        <w:tc>
          <w:tcPr>
            <w:tcW w:w="5386" w:type="dxa"/>
            <w:vAlign w:val="center"/>
          </w:tcPr>
          <w:p>
            <w:pPr>
              <w:pStyle w:val="单元格样式2"/>
            </w:pPr>
            <w:r>
              <w:t xml:space="preserve">自然灾害救助专项资金开展过程中质量控制</w:t>
            </w:r>
          </w:p>
        </w:tc>
        <w:tc>
          <w:tcPr>
            <w:tcW w:w="2268" w:type="dxa"/>
            <w:vAlign w:val="center"/>
          </w:tcPr>
          <w:p>
            <w:pPr>
              <w:pStyle w:val="单元格样式2"/>
            </w:pPr>
            <w:r>
              <w:t xml:space="preserve">≥96百分比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各项工作完成时限</w:t>
            </w:r>
          </w:p>
        </w:tc>
        <w:tc>
          <w:tcPr>
            <w:tcW w:w="5386" w:type="dxa"/>
            <w:vAlign w:val="center"/>
          </w:tcPr>
          <w:p>
            <w:pPr>
              <w:pStyle w:val="单元格样式2"/>
            </w:pPr>
            <w:r>
              <w:t xml:space="preserve">按计划控制项目开展时间</w:t>
            </w:r>
          </w:p>
        </w:tc>
        <w:tc>
          <w:tcPr>
            <w:tcW w:w="2268" w:type="dxa"/>
            <w:vAlign w:val="center"/>
          </w:tcPr>
          <w:p>
            <w:pPr>
              <w:pStyle w:val="单元格样式2"/>
            </w:pPr>
            <w:r>
              <w:t xml:space="preserve">2025年12月底完成</w:t>
            </w:r>
          </w:p>
          <w:p>
            <w:pPr>
              <w:pStyle w:val="单元格样式2"/>
            </w:pP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严格控制各项工作成本</w:t>
            </w:r>
          </w:p>
        </w:tc>
        <w:tc>
          <w:tcPr>
            <w:tcW w:w="5386" w:type="dxa"/>
            <w:vAlign w:val="center"/>
          </w:tcPr>
          <w:p>
            <w:pPr>
              <w:pStyle w:val="单元格样式2"/>
            </w:pPr>
            <w:r>
              <w:t xml:space="preserve">严格控制项目开展成本</w:t>
            </w:r>
          </w:p>
        </w:tc>
        <w:tc>
          <w:tcPr>
            <w:tcW w:w="2268" w:type="dxa"/>
            <w:vAlign w:val="center"/>
          </w:tcPr>
          <w:p>
            <w:pPr>
              <w:pStyle w:val="单元格样式2"/>
            </w:pPr>
            <w:r>
              <w:t xml:space="preserve">≤0.26万元</w:t>
            </w:r>
          </w:p>
        </w:tc>
        <w:tc>
          <w:tcPr>
            <w:tcW w:w="1276" w:type="dxa"/>
            <w:vAlign w:val="center"/>
          </w:tcPr>
          <w:p>
            <w:pPr>
              <w:pStyle w:val="单元格样式2"/>
            </w:pPr>
            <w:r>
              <w:t xml:space="preserve">预算标准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应急管理工作、安全生产类、自然灾害类等突发事件和综合防灾减灾救灾工作。</w:t>
            </w:r>
          </w:p>
        </w:tc>
        <w:tc>
          <w:tcPr>
            <w:tcW w:w="5386" w:type="dxa"/>
            <w:vAlign w:val="center"/>
          </w:tcPr>
          <w:p>
            <w:pPr>
              <w:pStyle w:val="单元格样式2"/>
            </w:pPr>
            <w:r>
              <w:t xml:space="preserve">自然灾害类等突发事件和综合防灾减灾救灾工作。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应急管理工作、安全生产类、自然灾害类等突发事件和综合防灾减灾救灾工作。</w:t>
            </w:r>
          </w:p>
        </w:tc>
        <w:tc>
          <w:tcPr>
            <w:tcW w:w="5386" w:type="dxa"/>
            <w:vAlign w:val="center"/>
          </w:tcPr>
          <w:p>
            <w:pPr>
              <w:pStyle w:val="单元格样式2"/>
            </w:pPr>
            <w:r>
              <w:t xml:space="preserve">自然灾害类等突发事件和综合防灾减灾救灾工作。</w:t>
            </w:r>
          </w:p>
        </w:tc>
        <w:tc>
          <w:tcPr>
            <w:tcW w:w="2268" w:type="dxa"/>
            <w:vAlign w:val="center"/>
          </w:tcPr>
          <w:p>
            <w:pPr>
              <w:pStyle w:val="单元格样式2"/>
            </w:pPr>
            <w:r>
              <w:t xml:space="preserve">≥95百分比</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自然灾害防治工作取得社会效益</w:t>
            </w:r>
          </w:p>
        </w:tc>
        <w:tc>
          <w:tcPr>
            <w:tcW w:w="5386" w:type="dxa"/>
            <w:vAlign w:val="center"/>
          </w:tcPr>
          <w:p>
            <w:pPr>
              <w:pStyle w:val="单元格样式2"/>
            </w:pPr>
            <w:r>
              <w:t xml:space="preserve">自然灾害类专项预案，综合协调应急预案衔接工作，</w:t>
            </w:r>
          </w:p>
        </w:tc>
        <w:tc>
          <w:tcPr>
            <w:tcW w:w="2268" w:type="dxa"/>
            <w:vAlign w:val="center"/>
          </w:tcPr>
          <w:p>
            <w:pPr>
              <w:pStyle w:val="单元格样式2"/>
            </w:pPr>
            <w:r>
              <w:t xml:space="preserve">≥97百分比</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426丰润区应急管理部门</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丰润区应急管理部门（含所属单位）上年末固定资产金额为2127004.00万元（详见下表）。本年度拟购置固定资产总额为2127004.00万元，已按要求列入政府采购预算，详见政府采购预算表。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426丰润区应急管理部门</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2127004.00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10</w:t>
            </w:r>
          </w:p>
        </w:tc>
        <w:tc>
          <w:tcPr>
            <w:tcW w:w="2835" w:type="dxa"/>
            <w:vAlign w:val="center"/>
          </w:tcPr>
          <w:p>
            <w:pPr>
              <w:pStyle w:val="单元格样式4"/>
            </w:pPr>
            <w:r>
              <w:t xml:space="preserve">1390426.00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163</w:t>
            </w:r>
          </w:p>
        </w:tc>
        <w:tc>
          <w:tcPr>
            <w:tcW w:w="2835" w:type="dxa"/>
            <w:vAlign w:val="center"/>
          </w:tcPr>
          <w:p>
            <w:pPr>
              <w:pStyle w:val="单元格样式4"/>
            </w:pPr>
            <w:r>
              <w:t xml:space="preserve">736578.00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2025-02-25T18:37:22Z</dcterms:created>
  <dcterms:modified xsi:type="dcterms:W3CDTF">2025-02-25T18:37:22Z</dcterms:modified>
</cp:coreProperties>
</file>