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20</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21</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24</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24</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24</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25</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319审计局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763.51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576.33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59.36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80.89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46.93</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763.51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763.51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763.51</w:t>
            </w:r>
          </w:p>
        </w:tc>
        <w:tc>
          <w:tcPr>
            <w:tcW w:w="4535" w:type="dxa"/>
            <w:vAlign w:val="center"/>
          </w:tcPr>
          <w:p>
            <w:pPr>
              <w:pStyle w:val="单元格样式6"/>
            </w:pPr>
            <w:r>
              <w:t xml:space="preserve">支出总计</w:t>
            </w:r>
          </w:p>
        </w:tc>
        <w:tc>
          <w:tcPr>
            <w:tcW w:w="2126" w:type="dxa"/>
            <w:vAlign w:val="center"/>
          </w:tcPr>
          <w:p>
            <w:pPr>
              <w:pStyle w:val="单元格样式7"/>
            </w:pPr>
            <w:r>
              <w:t xml:space="preserve">763.51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319审计局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763.51</w:t>
            </w:r>
          </w:p>
        </w:tc>
        <w:tc>
          <w:tcPr>
            <w:tcW w:w="1134" w:type="dxa"/>
            <w:vAlign w:val="center"/>
          </w:tcPr>
          <w:p>
            <w:pPr>
              <w:pStyle w:val="单元格样式7"/>
            </w:pPr>
            <w:r>
              <w:t xml:space="preserve">763.51</w:t>
            </w:r>
          </w:p>
        </w:tc>
        <w:tc>
          <w:tcPr>
            <w:tcW w:w="1134" w:type="dxa"/>
            <w:vAlign w:val="center"/>
          </w:tcPr>
          <w:p>
            <w:pPr>
              <w:pStyle w:val="单元格样式7"/>
            </w:pPr>
            <w:r>
              <w:t xml:space="preserve">763.51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576.33</w:t>
            </w:r>
          </w:p>
        </w:tc>
        <w:tc>
          <w:tcPr>
            <w:tcW w:w="1134" w:type="dxa"/>
            <w:vAlign w:val="center"/>
          </w:tcPr>
          <w:p>
            <w:pPr>
              <w:pStyle w:val="单元格样式4"/>
            </w:pPr>
            <w:r>
              <w:t xml:space="preserve">576.33</w:t>
            </w:r>
          </w:p>
        </w:tc>
        <w:tc>
          <w:tcPr>
            <w:tcW w:w="1134" w:type="dxa"/>
            <w:vAlign w:val="center"/>
          </w:tcPr>
          <w:p>
            <w:pPr>
              <w:pStyle w:val="单元格样式4"/>
            </w:pPr>
            <w:r>
              <w:t xml:space="preserve">576.33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20108</w:t>
            </w:r>
          </w:p>
        </w:tc>
        <w:tc>
          <w:tcPr>
            <w:tcW w:w="1559" w:type="dxa"/>
            <w:vAlign w:val="center"/>
          </w:tcPr>
          <w:p>
            <w:pPr>
              <w:pStyle w:val="单元格样式2"/>
            </w:pPr>
            <w:r>
              <w:t xml:space="preserve">审计事务</w:t>
            </w:r>
          </w:p>
        </w:tc>
        <w:tc>
          <w:tcPr>
            <w:tcW w:w="1134" w:type="dxa"/>
            <w:vAlign w:val="center"/>
          </w:tcPr>
          <w:p>
            <w:pPr>
              <w:pStyle w:val="单元格样式4"/>
            </w:pPr>
            <w:r>
              <w:t xml:space="preserve">576.33</w:t>
            </w:r>
          </w:p>
        </w:tc>
        <w:tc>
          <w:tcPr>
            <w:tcW w:w="1134" w:type="dxa"/>
            <w:vAlign w:val="center"/>
          </w:tcPr>
          <w:p>
            <w:pPr>
              <w:pStyle w:val="单元格样式4"/>
            </w:pPr>
            <w:r>
              <w:t xml:space="preserve">576.33</w:t>
            </w:r>
          </w:p>
        </w:tc>
        <w:tc>
          <w:tcPr>
            <w:tcW w:w="1134" w:type="dxa"/>
            <w:vAlign w:val="center"/>
          </w:tcPr>
          <w:p>
            <w:pPr>
              <w:pStyle w:val="单元格样式4"/>
            </w:pPr>
            <w:r>
              <w:t xml:space="preserve">576.33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563.33</w:t>
            </w:r>
          </w:p>
        </w:tc>
        <w:tc>
          <w:tcPr>
            <w:tcW w:w="1134" w:type="dxa"/>
            <w:vAlign w:val="center"/>
          </w:tcPr>
          <w:p>
            <w:pPr>
              <w:pStyle w:val="单元格样式4"/>
            </w:pPr>
            <w:r>
              <w:t xml:space="preserve">563.33</w:t>
            </w:r>
          </w:p>
        </w:tc>
        <w:tc>
          <w:tcPr>
            <w:tcW w:w="1134" w:type="dxa"/>
            <w:vAlign w:val="center"/>
          </w:tcPr>
          <w:p>
            <w:pPr>
              <w:pStyle w:val="单元格样式4"/>
            </w:pPr>
            <w:r>
              <w:t xml:space="preserve">563.33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2010805</w:t>
            </w:r>
          </w:p>
        </w:tc>
        <w:tc>
          <w:tcPr>
            <w:tcW w:w="1559" w:type="dxa"/>
            <w:vAlign w:val="center"/>
          </w:tcPr>
          <w:p>
            <w:pPr>
              <w:pStyle w:val="单元格样式2"/>
            </w:pPr>
            <w:r>
              <w:t xml:space="preserve">审计管理</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2010806</w:t>
            </w:r>
          </w:p>
        </w:tc>
        <w:tc>
          <w:tcPr>
            <w:tcW w:w="1559" w:type="dxa"/>
            <w:vAlign w:val="center"/>
          </w:tcPr>
          <w:p>
            <w:pPr>
              <w:pStyle w:val="单元格样式2"/>
            </w:pPr>
            <w:r>
              <w:t xml:space="preserve">信息化建设</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59.36</w:t>
            </w:r>
          </w:p>
        </w:tc>
        <w:tc>
          <w:tcPr>
            <w:tcW w:w="1134" w:type="dxa"/>
            <w:vAlign w:val="center"/>
          </w:tcPr>
          <w:p>
            <w:pPr>
              <w:pStyle w:val="单元格样式4"/>
            </w:pPr>
            <w:r>
              <w:t xml:space="preserve">59.36</w:t>
            </w:r>
          </w:p>
        </w:tc>
        <w:tc>
          <w:tcPr>
            <w:tcW w:w="1134" w:type="dxa"/>
            <w:vAlign w:val="center"/>
          </w:tcPr>
          <w:p>
            <w:pPr>
              <w:pStyle w:val="单元格样式4"/>
            </w:pPr>
            <w:r>
              <w:t xml:space="preserve">59.36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59.36</w:t>
            </w:r>
          </w:p>
        </w:tc>
        <w:tc>
          <w:tcPr>
            <w:tcW w:w="1134" w:type="dxa"/>
            <w:vAlign w:val="center"/>
          </w:tcPr>
          <w:p>
            <w:pPr>
              <w:pStyle w:val="单元格样式4"/>
            </w:pPr>
            <w:r>
              <w:t xml:space="preserve">59.36</w:t>
            </w:r>
          </w:p>
        </w:tc>
        <w:tc>
          <w:tcPr>
            <w:tcW w:w="1134" w:type="dxa"/>
            <w:vAlign w:val="center"/>
          </w:tcPr>
          <w:p>
            <w:pPr>
              <w:pStyle w:val="单元格样式4"/>
            </w:pPr>
            <w:r>
              <w:t xml:space="preserve">59.36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59.36</w:t>
            </w:r>
          </w:p>
        </w:tc>
        <w:tc>
          <w:tcPr>
            <w:tcW w:w="1134" w:type="dxa"/>
            <w:vAlign w:val="center"/>
          </w:tcPr>
          <w:p>
            <w:pPr>
              <w:pStyle w:val="单元格样式4"/>
            </w:pPr>
            <w:r>
              <w:t xml:space="preserve">59.36</w:t>
            </w:r>
          </w:p>
        </w:tc>
        <w:tc>
          <w:tcPr>
            <w:tcW w:w="1134" w:type="dxa"/>
            <w:vAlign w:val="center"/>
          </w:tcPr>
          <w:p>
            <w:pPr>
              <w:pStyle w:val="单元格样式4"/>
            </w:pPr>
            <w:r>
              <w:t xml:space="preserve">59.36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80.89</w:t>
            </w:r>
          </w:p>
        </w:tc>
        <w:tc>
          <w:tcPr>
            <w:tcW w:w="1134" w:type="dxa"/>
            <w:vAlign w:val="center"/>
          </w:tcPr>
          <w:p>
            <w:pPr>
              <w:pStyle w:val="单元格样式4"/>
            </w:pPr>
            <w:r>
              <w:t xml:space="preserve">80.89</w:t>
            </w:r>
          </w:p>
        </w:tc>
        <w:tc>
          <w:tcPr>
            <w:tcW w:w="1134" w:type="dxa"/>
            <w:vAlign w:val="center"/>
          </w:tcPr>
          <w:p>
            <w:pPr>
              <w:pStyle w:val="单元格样式4"/>
            </w:pPr>
            <w:r>
              <w:t xml:space="preserve">80.89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80.89</w:t>
            </w:r>
          </w:p>
        </w:tc>
        <w:tc>
          <w:tcPr>
            <w:tcW w:w="1134" w:type="dxa"/>
            <w:vAlign w:val="center"/>
          </w:tcPr>
          <w:p>
            <w:pPr>
              <w:pStyle w:val="单元格样式4"/>
            </w:pPr>
            <w:r>
              <w:t xml:space="preserve">80.89</w:t>
            </w:r>
          </w:p>
        </w:tc>
        <w:tc>
          <w:tcPr>
            <w:tcW w:w="1134" w:type="dxa"/>
            <w:vAlign w:val="center"/>
          </w:tcPr>
          <w:p>
            <w:pPr>
              <w:pStyle w:val="单元格样式4"/>
            </w:pPr>
            <w:r>
              <w:t xml:space="preserve">80.89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27.91</w:t>
            </w:r>
          </w:p>
        </w:tc>
        <w:tc>
          <w:tcPr>
            <w:tcW w:w="1134" w:type="dxa"/>
            <w:vAlign w:val="center"/>
          </w:tcPr>
          <w:p>
            <w:pPr>
              <w:pStyle w:val="单元格样式4"/>
            </w:pPr>
            <w:r>
              <w:t xml:space="preserve">27.91</w:t>
            </w:r>
          </w:p>
        </w:tc>
        <w:tc>
          <w:tcPr>
            <w:tcW w:w="1134" w:type="dxa"/>
            <w:vAlign w:val="center"/>
          </w:tcPr>
          <w:p>
            <w:pPr>
              <w:pStyle w:val="单元格样式4"/>
            </w:pPr>
            <w:r>
              <w:t xml:space="preserve">27.91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52.98</w:t>
            </w:r>
          </w:p>
        </w:tc>
        <w:tc>
          <w:tcPr>
            <w:tcW w:w="1134" w:type="dxa"/>
            <w:vAlign w:val="center"/>
          </w:tcPr>
          <w:p>
            <w:pPr>
              <w:pStyle w:val="单元格样式4"/>
            </w:pPr>
            <w:r>
              <w:t xml:space="preserve">52.98</w:t>
            </w:r>
          </w:p>
        </w:tc>
        <w:tc>
          <w:tcPr>
            <w:tcW w:w="1134" w:type="dxa"/>
            <w:vAlign w:val="center"/>
          </w:tcPr>
          <w:p>
            <w:pPr>
              <w:pStyle w:val="单元格样式4"/>
            </w:pPr>
            <w:r>
              <w:t xml:space="preserve">52.98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46.93</w:t>
            </w:r>
          </w:p>
        </w:tc>
        <w:tc>
          <w:tcPr>
            <w:tcW w:w="1134" w:type="dxa"/>
            <w:vAlign w:val="center"/>
          </w:tcPr>
          <w:p>
            <w:pPr>
              <w:pStyle w:val="单元格样式4"/>
            </w:pPr>
            <w:r>
              <w:t xml:space="preserve">46.93</w:t>
            </w:r>
          </w:p>
        </w:tc>
        <w:tc>
          <w:tcPr>
            <w:tcW w:w="1134" w:type="dxa"/>
            <w:vAlign w:val="center"/>
          </w:tcPr>
          <w:p>
            <w:pPr>
              <w:pStyle w:val="单元格样式4"/>
            </w:pPr>
            <w:r>
              <w:t xml:space="preserve">46.93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46.93</w:t>
            </w:r>
          </w:p>
        </w:tc>
        <w:tc>
          <w:tcPr>
            <w:tcW w:w="1134" w:type="dxa"/>
            <w:vAlign w:val="center"/>
          </w:tcPr>
          <w:p>
            <w:pPr>
              <w:pStyle w:val="单元格样式4"/>
            </w:pPr>
            <w:r>
              <w:t xml:space="preserve">46.93</w:t>
            </w:r>
          </w:p>
        </w:tc>
        <w:tc>
          <w:tcPr>
            <w:tcW w:w="1134" w:type="dxa"/>
            <w:vAlign w:val="center"/>
          </w:tcPr>
          <w:p>
            <w:pPr>
              <w:pStyle w:val="单元格样式4"/>
            </w:pPr>
            <w:r>
              <w:t xml:space="preserve">46.93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46.93</w:t>
            </w:r>
          </w:p>
        </w:tc>
        <w:tc>
          <w:tcPr>
            <w:tcW w:w="1134" w:type="dxa"/>
            <w:vAlign w:val="center"/>
          </w:tcPr>
          <w:p>
            <w:pPr>
              <w:pStyle w:val="单元格样式4"/>
            </w:pPr>
            <w:r>
              <w:t xml:space="preserve">46.93</w:t>
            </w:r>
          </w:p>
        </w:tc>
        <w:tc>
          <w:tcPr>
            <w:tcW w:w="1134" w:type="dxa"/>
            <w:vAlign w:val="center"/>
          </w:tcPr>
          <w:p>
            <w:pPr>
              <w:pStyle w:val="单元格样式4"/>
            </w:pPr>
            <w:r>
              <w:t xml:space="preserve">46.93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319审计局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763.51</w:t>
            </w:r>
          </w:p>
        </w:tc>
        <w:tc>
          <w:tcPr>
            <w:tcW w:w="1361" w:type="dxa"/>
            <w:vAlign w:val="center"/>
          </w:tcPr>
          <w:p>
            <w:pPr>
              <w:pStyle w:val="单元格样式7"/>
            </w:pPr>
            <w:r>
              <w:t xml:space="preserve">750.51</w:t>
            </w:r>
          </w:p>
        </w:tc>
        <w:tc>
          <w:tcPr>
            <w:tcW w:w="1361" w:type="dxa"/>
            <w:vAlign w:val="center"/>
          </w:tcPr>
          <w:p>
            <w:pPr>
              <w:pStyle w:val="单元格样式7"/>
            </w:pPr>
            <w:r>
              <w:t xml:space="preserve">13.00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576.33</w:t>
            </w:r>
          </w:p>
        </w:tc>
        <w:tc>
          <w:tcPr>
            <w:tcW w:w="1361" w:type="dxa"/>
            <w:vAlign w:val="center"/>
          </w:tcPr>
          <w:p>
            <w:pPr>
              <w:pStyle w:val="单元格样式4"/>
            </w:pPr>
            <w:r>
              <w:t xml:space="preserve">563.33</w:t>
            </w: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20108</w:t>
            </w:r>
          </w:p>
        </w:tc>
        <w:tc>
          <w:tcPr>
            <w:tcW w:w="4535" w:type="dxa"/>
            <w:vAlign w:val="center"/>
          </w:tcPr>
          <w:p>
            <w:pPr>
              <w:pStyle w:val="单元格样式2"/>
            </w:pPr>
            <w:r>
              <w:t xml:space="preserve">审计事务</w:t>
            </w:r>
          </w:p>
        </w:tc>
        <w:tc>
          <w:tcPr>
            <w:tcW w:w="1361" w:type="dxa"/>
            <w:vAlign w:val="center"/>
          </w:tcPr>
          <w:p>
            <w:pPr>
              <w:pStyle w:val="单元格样式4"/>
            </w:pPr>
            <w:r>
              <w:t xml:space="preserve">576.33</w:t>
            </w:r>
          </w:p>
        </w:tc>
        <w:tc>
          <w:tcPr>
            <w:tcW w:w="1361" w:type="dxa"/>
            <w:vAlign w:val="center"/>
          </w:tcPr>
          <w:p>
            <w:pPr>
              <w:pStyle w:val="单元格样式4"/>
            </w:pPr>
            <w:r>
              <w:t xml:space="preserve">563.33</w:t>
            </w: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563.33</w:t>
            </w:r>
          </w:p>
        </w:tc>
        <w:tc>
          <w:tcPr>
            <w:tcW w:w="1361" w:type="dxa"/>
            <w:vAlign w:val="center"/>
          </w:tcPr>
          <w:p>
            <w:pPr>
              <w:pStyle w:val="单元格样式4"/>
            </w:pPr>
            <w:r>
              <w:t xml:space="preserve">563.33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2010805</w:t>
            </w:r>
          </w:p>
        </w:tc>
        <w:tc>
          <w:tcPr>
            <w:tcW w:w="4535" w:type="dxa"/>
            <w:vAlign w:val="center"/>
          </w:tcPr>
          <w:p>
            <w:pPr>
              <w:pStyle w:val="单元格样式2"/>
            </w:pPr>
            <w:r>
              <w:t xml:space="preserve">审计管理</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2010806</w:t>
            </w:r>
          </w:p>
        </w:tc>
        <w:tc>
          <w:tcPr>
            <w:tcW w:w="4535" w:type="dxa"/>
            <w:vAlign w:val="center"/>
          </w:tcPr>
          <w:p>
            <w:pPr>
              <w:pStyle w:val="单元格样式2"/>
            </w:pPr>
            <w:r>
              <w:t xml:space="preserve">信息化建设</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59.36</w:t>
            </w:r>
          </w:p>
        </w:tc>
        <w:tc>
          <w:tcPr>
            <w:tcW w:w="1361" w:type="dxa"/>
            <w:vAlign w:val="center"/>
          </w:tcPr>
          <w:p>
            <w:pPr>
              <w:pStyle w:val="单元格样式4"/>
            </w:pPr>
            <w:r>
              <w:t xml:space="preserve">59.36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59.36</w:t>
            </w:r>
          </w:p>
        </w:tc>
        <w:tc>
          <w:tcPr>
            <w:tcW w:w="1361" w:type="dxa"/>
            <w:vAlign w:val="center"/>
          </w:tcPr>
          <w:p>
            <w:pPr>
              <w:pStyle w:val="单元格样式4"/>
            </w:pPr>
            <w:r>
              <w:t xml:space="preserve">59.36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59.36</w:t>
            </w:r>
          </w:p>
        </w:tc>
        <w:tc>
          <w:tcPr>
            <w:tcW w:w="1361" w:type="dxa"/>
            <w:vAlign w:val="center"/>
          </w:tcPr>
          <w:p>
            <w:pPr>
              <w:pStyle w:val="单元格样式4"/>
            </w:pPr>
            <w:r>
              <w:t xml:space="preserve">59.36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80.89</w:t>
            </w:r>
          </w:p>
        </w:tc>
        <w:tc>
          <w:tcPr>
            <w:tcW w:w="1361" w:type="dxa"/>
            <w:vAlign w:val="center"/>
          </w:tcPr>
          <w:p>
            <w:pPr>
              <w:pStyle w:val="单元格样式4"/>
            </w:pPr>
            <w:r>
              <w:t xml:space="preserve">80.89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80.89</w:t>
            </w:r>
          </w:p>
        </w:tc>
        <w:tc>
          <w:tcPr>
            <w:tcW w:w="1361" w:type="dxa"/>
            <w:vAlign w:val="center"/>
          </w:tcPr>
          <w:p>
            <w:pPr>
              <w:pStyle w:val="单元格样式4"/>
            </w:pPr>
            <w:r>
              <w:t xml:space="preserve">80.89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27.91</w:t>
            </w:r>
          </w:p>
        </w:tc>
        <w:tc>
          <w:tcPr>
            <w:tcW w:w="1361" w:type="dxa"/>
            <w:vAlign w:val="center"/>
          </w:tcPr>
          <w:p>
            <w:pPr>
              <w:pStyle w:val="单元格样式4"/>
            </w:pPr>
            <w:r>
              <w:t xml:space="preserve">27.91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52.98</w:t>
            </w:r>
          </w:p>
        </w:tc>
        <w:tc>
          <w:tcPr>
            <w:tcW w:w="1361" w:type="dxa"/>
            <w:vAlign w:val="center"/>
          </w:tcPr>
          <w:p>
            <w:pPr>
              <w:pStyle w:val="单元格样式4"/>
            </w:pPr>
            <w:r>
              <w:t xml:space="preserve">52.98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46.93</w:t>
            </w:r>
          </w:p>
        </w:tc>
        <w:tc>
          <w:tcPr>
            <w:tcW w:w="1361" w:type="dxa"/>
            <w:vAlign w:val="center"/>
          </w:tcPr>
          <w:p>
            <w:pPr>
              <w:pStyle w:val="单元格样式4"/>
            </w:pPr>
            <w:r>
              <w:t xml:space="preserve">46.93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46.93</w:t>
            </w:r>
          </w:p>
        </w:tc>
        <w:tc>
          <w:tcPr>
            <w:tcW w:w="1361" w:type="dxa"/>
            <w:vAlign w:val="center"/>
          </w:tcPr>
          <w:p>
            <w:pPr>
              <w:pStyle w:val="单元格样式4"/>
            </w:pPr>
            <w:r>
              <w:t xml:space="preserve">46.93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46.93</w:t>
            </w:r>
          </w:p>
        </w:tc>
        <w:tc>
          <w:tcPr>
            <w:tcW w:w="1361" w:type="dxa"/>
            <w:vAlign w:val="center"/>
          </w:tcPr>
          <w:p>
            <w:pPr>
              <w:pStyle w:val="单元格样式4"/>
            </w:pPr>
            <w:r>
              <w:t xml:space="preserve">46.93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319审计局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763.51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576.33</w:t>
            </w:r>
          </w:p>
        </w:tc>
        <w:tc>
          <w:tcPr>
            <w:tcW w:w="1474" w:type="dxa"/>
            <w:vAlign w:val="center"/>
          </w:tcPr>
          <w:p>
            <w:pPr>
              <w:pStyle w:val="单元格样式4"/>
            </w:pPr>
            <w:r>
              <w:t xml:space="preserve">576.33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59.36</w:t>
            </w:r>
          </w:p>
        </w:tc>
        <w:tc>
          <w:tcPr>
            <w:tcW w:w="1474" w:type="dxa"/>
            <w:vAlign w:val="center"/>
          </w:tcPr>
          <w:p>
            <w:pPr>
              <w:pStyle w:val="单元格样式4"/>
            </w:pPr>
            <w:r>
              <w:t xml:space="preserve">59.36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80.89</w:t>
            </w:r>
          </w:p>
        </w:tc>
        <w:tc>
          <w:tcPr>
            <w:tcW w:w="1474" w:type="dxa"/>
            <w:vAlign w:val="center"/>
          </w:tcPr>
          <w:p>
            <w:pPr>
              <w:pStyle w:val="单元格样式4"/>
            </w:pPr>
            <w:r>
              <w:t xml:space="preserve">80.89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46.93</w:t>
            </w:r>
          </w:p>
        </w:tc>
        <w:tc>
          <w:tcPr>
            <w:tcW w:w="1474" w:type="dxa"/>
            <w:vAlign w:val="center"/>
          </w:tcPr>
          <w:p>
            <w:pPr>
              <w:pStyle w:val="单元格样式4"/>
            </w:pPr>
            <w:r>
              <w:t xml:space="preserve">46.93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763.51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763.51</w:t>
            </w:r>
          </w:p>
        </w:tc>
        <w:tc>
          <w:tcPr>
            <w:tcW w:w="1474" w:type="dxa"/>
            <w:vAlign w:val="center"/>
          </w:tcPr>
          <w:p>
            <w:pPr>
              <w:pStyle w:val="单元格样式7"/>
            </w:pPr>
            <w:r>
              <w:t xml:space="preserve">763.51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763.51</w:t>
            </w:r>
          </w:p>
        </w:tc>
        <w:tc>
          <w:tcPr>
            <w:tcW w:w="3402" w:type="dxa"/>
            <w:vAlign w:val="center"/>
          </w:tcPr>
          <w:p>
            <w:pPr>
              <w:pStyle w:val="单元格样式6"/>
            </w:pPr>
            <w:r>
              <w:t xml:space="preserve">支出总计</w:t>
            </w:r>
          </w:p>
        </w:tc>
        <w:tc>
          <w:tcPr>
            <w:tcW w:w="1474" w:type="dxa"/>
            <w:vAlign w:val="center"/>
          </w:tcPr>
          <w:p>
            <w:pPr>
              <w:pStyle w:val="单元格样式7"/>
            </w:pPr>
            <w:r>
              <w:t xml:space="preserve">763.51</w:t>
            </w:r>
          </w:p>
        </w:tc>
        <w:tc>
          <w:tcPr>
            <w:tcW w:w="1474" w:type="dxa"/>
            <w:vAlign w:val="center"/>
          </w:tcPr>
          <w:p>
            <w:pPr>
              <w:pStyle w:val="单元格样式7"/>
            </w:pPr>
            <w:r>
              <w:t xml:space="preserve">763.51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319审计局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763.51</w:t>
            </w:r>
          </w:p>
        </w:tc>
        <w:tc>
          <w:tcPr>
            <w:tcW w:w="2551" w:type="dxa"/>
            <w:vAlign w:val="center"/>
          </w:tcPr>
          <w:p>
            <w:pPr>
              <w:pStyle w:val="单元格样式7"/>
            </w:pPr>
            <w:r>
              <w:t xml:space="preserve">750.51</w:t>
            </w:r>
          </w:p>
        </w:tc>
        <w:tc>
          <w:tcPr>
            <w:tcW w:w="2551" w:type="dxa"/>
            <w:vAlign w:val="center"/>
          </w:tcPr>
          <w:p>
            <w:pPr>
              <w:pStyle w:val="单元格样式7"/>
            </w:pPr>
            <w:r>
              <w:t xml:space="preserve">13.00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576.33</w:t>
            </w:r>
          </w:p>
        </w:tc>
        <w:tc>
          <w:tcPr>
            <w:tcW w:w="2551" w:type="dxa"/>
            <w:vAlign w:val="center"/>
          </w:tcPr>
          <w:p>
            <w:pPr>
              <w:pStyle w:val="单元格样式4"/>
            </w:pPr>
            <w:r>
              <w:t xml:space="preserve">563.33</w:t>
            </w: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20108</w:t>
            </w:r>
          </w:p>
        </w:tc>
        <w:tc>
          <w:tcPr>
            <w:tcW w:w="4535" w:type="dxa"/>
            <w:vAlign w:val="center"/>
          </w:tcPr>
          <w:p>
            <w:pPr>
              <w:pStyle w:val="单元格样式2"/>
            </w:pPr>
            <w:r>
              <w:t xml:space="preserve">审计事务</w:t>
            </w:r>
          </w:p>
        </w:tc>
        <w:tc>
          <w:tcPr>
            <w:tcW w:w="2551" w:type="dxa"/>
            <w:vAlign w:val="center"/>
          </w:tcPr>
          <w:p>
            <w:pPr>
              <w:pStyle w:val="单元格样式4"/>
            </w:pPr>
            <w:r>
              <w:t xml:space="preserve">576.33</w:t>
            </w:r>
          </w:p>
        </w:tc>
        <w:tc>
          <w:tcPr>
            <w:tcW w:w="2551" w:type="dxa"/>
            <w:vAlign w:val="center"/>
          </w:tcPr>
          <w:p>
            <w:pPr>
              <w:pStyle w:val="单元格样式4"/>
            </w:pPr>
            <w:r>
              <w:t xml:space="preserve">563.33</w:t>
            </w: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563.33</w:t>
            </w:r>
          </w:p>
        </w:tc>
        <w:tc>
          <w:tcPr>
            <w:tcW w:w="2551" w:type="dxa"/>
            <w:vAlign w:val="center"/>
          </w:tcPr>
          <w:p>
            <w:pPr>
              <w:pStyle w:val="单元格样式4"/>
            </w:pPr>
            <w:r>
              <w:t xml:space="preserve">563.33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2010805</w:t>
            </w:r>
          </w:p>
        </w:tc>
        <w:tc>
          <w:tcPr>
            <w:tcW w:w="4535" w:type="dxa"/>
            <w:vAlign w:val="center"/>
          </w:tcPr>
          <w:p>
            <w:pPr>
              <w:pStyle w:val="单元格样式2"/>
            </w:pPr>
            <w:r>
              <w:t xml:space="preserve">审计管理</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2010806</w:t>
            </w:r>
          </w:p>
        </w:tc>
        <w:tc>
          <w:tcPr>
            <w:tcW w:w="4535" w:type="dxa"/>
            <w:vAlign w:val="center"/>
          </w:tcPr>
          <w:p>
            <w:pPr>
              <w:pStyle w:val="单元格样式2"/>
            </w:pPr>
            <w:r>
              <w:t xml:space="preserve">信息化建设</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59.36</w:t>
            </w:r>
          </w:p>
        </w:tc>
        <w:tc>
          <w:tcPr>
            <w:tcW w:w="2551" w:type="dxa"/>
            <w:vAlign w:val="center"/>
          </w:tcPr>
          <w:p>
            <w:pPr>
              <w:pStyle w:val="单元格样式4"/>
            </w:pPr>
            <w:r>
              <w:t xml:space="preserve">59.36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59.36</w:t>
            </w:r>
          </w:p>
        </w:tc>
        <w:tc>
          <w:tcPr>
            <w:tcW w:w="2551" w:type="dxa"/>
            <w:vAlign w:val="center"/>
          </w:tcPr>
          <w:p>
            <w:pPr>
              <w:pStyle w:val="单元格样式4"/>
            </w:pPr>
            <w:r>
              <w:t xml:space="preserve">59.36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59.36</w:t>
            </w:r>
          </w:p>
        </w:tc>
        <w:tc>
          <w:tcPr>
            <w:tcW w:w="2551" w:type="dxa"/>
            <w:vAlign w:val="center"/>
          </w:tcPr>
          <w:p>
            <w:pPr>
              <w:pStyle w:val="单元格样式4"/>
            </w:pPr>
            <w:r>
              <w:t xml:space="preserve">59.36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80.89</w:t>
            </w:r>
          </w:p>
        </w:tc>
        <w:tc>
          <w:tcPr>
            <w:tcW w:w="2551" w:type="dxa"/>
            <w:vAlign w:val="center"/>
          </w:tcPr>
          <w:p>
            <w:pPr>
              <w:pStyle w:val="单元格样式4"/>
            </w:pPr>
            <w:r>
              <w:t xml:space="preserve">80.89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80.89</w:t>
            </w:r>
          </w:p>
        </w:tc>
        <w:tc>
          <w:tcPr>
            <w:tcW w:w="2551" w:type="dxa"/>
            <w:vAlign w:val="center"/>
          </w:tcPr>
          <w:p>
            <w:pPr>
              <w:pStyle w:val="单元格样式4"/>
            </w:pPr>
            <w:r>
              <w:t xml:space="preserve">80.89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27.91</w:t>
            </w:r>
          </w:p>
        </w:tc>
        <w:tc>
          <w:tcPr>
            <w:tcW w:w="2551" w:type="dxa"/>
            <w:vAlign w:val="center"/>
          </w:tcPr>
          <w:p>
            <w:pPr>
              <w:pStyle w:val="单元格样式4"/>
            </w:pPr>
            <w:r>
              <w:t xml:space="preserve">27.91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52.98</w:t>
            </w:r>
          </w:p>
        </w:tc>
        <w:tc>
          <w:tcPr>
            <w:tcW w:w="2551" w:type="dxa"/>
            <w:vAlign w:val="center"/>
          </w:tcPr>
          <w:p>
            <w:pPr>
              <w:pStyle w:val="单元格样式4"/>
            </w:pPr>
            <w:r>
              <w:t xml:space="preserve">52.98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46.93</w:t>
            </w:r>
          </w:p>
        </w:tc>
        <w:tc>
          <w:tcPr>
            <w:tcW w:w="2551" w:type="dxa"/>
            <w:vAlign w:val="center"/>
          </w:tcPr>
          <w:p>
            <w:pPr>
              <w:pStyle w:val="单元格样式4"/>
            </w:pPr>
            <w:r>
              <w:t xml:space="preserve">46.93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46.93</w:t>
            </w:r>
          </w:p>
        </w:tc>
        <w:tc>
          <w:tcPr>
            <w:tcW w:w="2551" w:type="dxa"/>
            <w:vAlign w:val="center"/>
          </w:tcPr>
          <w:p>
            <w:pPr>
              <w:pStyle w:val="单元格样式4"/>
            </w:pPr>
            <w:r>
              <w:t xml:space="preserve">46.93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46.93</w:t>
            </w:r>
          </w:p>
        </w:tc>
        <w:tc>
          <w:tcPr>
            <w:tcW w:w="2551" w:type="dxa"/>
            <w:vAlign w:val="center"/>
          </w:tcPr>
          <w:p>
            <w:pPr>
              <w:pStyle w:val="单元格样式4"/>
            </w:pPr>
            <w:r>
              <w:t xml:space="preserve">46.93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319审计局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750.51</w:t>
            </w:r>
          </w:p>
        </w:tc>
        <w:tc>
          <w:tcPr>
            <w:tcW w:w="2551" w:type="dxa"/>
            <w:vAlign w:val="center"/>
          </w:tcPr>
          <w:p>
            <w:pPr>
              <w:pStyle w:val="单元格样式7"/>
            </w:pPr>
            <w:r>
              <w:t xml:space="preserve">700.70</w:t>
            </w:r>
          </w:p>
        </w:tc>
        <w:tc>
          <w:tcPr>
            <w:tcW w:w="2551" w:type="dxa"/>
            <w:vAlign w:val="center"/>
          </w:tcPr>
          <w:p>
            <w:pPr>
              <w:pStyle w:val="单元格样式7"/>
            </w:pPr>
            <w:r>
              <w:t xml:space="preserve">49.81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629.82</w:t>
            </w:r>
          </w:p>
        </w:tc>
        <w:tc>
          <w:tcPr>
            <w:tcW w:w="2551" w:type="dxa"/>
            <w:vAlign w:val="center"/>
          </w:tcPr>
          <w:p>
            <w:pPr>
              <w:pStyle w:val="单元格样式4"/>
            </w:pPr>
            <w:r>
              <w:t xml:space="preserve">629.82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175.99</w:t>
            </w:r>
          </w:p>
        </w:tc>
        <w:tc>
          <w:tcPr>
            <w:tcW w:w="2551" w:type="dxa"/>
            <w:vAlign w:val="center"/>
          </w:tcPr>
          <w:p>
            <w:pPr>
              <w:pStyle w:val="单元格样式4"/>
            </w:pPr>
            <w:r>
              <w:t xml:space="preserve">175.99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148.79</w:t>
            </w:r>
          </w:p>
        </w:tc>
        <w:tc>
          <w:tcPr>
            <w:tcW w:w="2551" w:type="dxa"/>
            <w:vAlign w:val="center"/>
          </w:tcPr>
          <w:p>
            <w:pPr>
              <w:pStyle w:val="单元格样式4"/>
            </w:pPr>
            <w:r>
              <w:t xml:space="preserve">148.79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48.47</w:t>
            </w:r>
          </w:p>
        </w:tc>
        <w:tc>
          <w:tcPr>
            <w:tcW w:w="2551" w:type="dxa"/>
            <w:vAlign w:val="center"/>
          </w:tcPr>
          <w:p>
            <w:pPr>
              <w:pStyle w:val="单元格样式4"/>
            </w:pPr>
            <w:r>
              <w:t xml:space="preserve">48.47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66.75</w:t>
            </w:r>
          </w:p>
        </w:tc>
        <w:tc>
          <w:tcPr>
            <w:tcW w:w="2551" w:type="dxa"/>
            <w:vAlign w:val="center"/>
          </w:tcPr>
          <w:p>
            <w:pPr>
              <w:pStyle w:val="单元格样式4"/>
            </w:pPr>
            <w:r>
              <w:t xml:space="preserve">66.75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59.36</w:t>
            </w:r>
          </w:p>
        </w:tc>
        <w:tc>
          <w:tcPr>
            <w:tcW w:w="2551" w:type="dxa"/>
            <w:vAlign w:val="center"/>
          </w:tcPr>
          <w:p>
            <w:pPr>
              <w:pStyle w:val="单元格样式4"/>
            </w:pPr>
            <w:r>
              <w:t xml:space="preserve">59.36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27.91</w:t>
            </w:r>
          </w:p>
        </w:tc>
        <w:tc>
          <w:tcPr>
            <w:tcW w:w="2551" w:type="dxa"/>
            <w:vAlign w:val="center"/>
          </w:tcPr>
          <w:p>
            <w:pPr>
              <w:pStyle w:val="单元格样式4"/>
            </w:pPr>
            <w:r>
              <w:t xml:space="preserve">27.91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52.98</w:t>
            </w:r>
          </w:p>
        </w:tc>
        <w:tc>
          <w:tcPr>
            <w:tcW w:w="2551" w:type="dxa"/>
            <w:vAlign w:val="center"/>
          </w:tcPr>
          <w:p>
            <w:pPr>
              <w:pStyle w:val="单元格样式4"/>
            </w:pPr>
            <w:r>
              <w:t xml:space="preserve">52.98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2.65</w:t>
            </w:r>
          </w:p>
        </w:tc>
        <w:tc>
          <w:tcPr>
            <w:tcW w:w="2551" w:type="dxa"/>
            <w:vAlign w:val="center"/>
          </w:tcPr>
          <w:p>
            <w:pPr>
              <w:pStyle w:val="单元格样式4"/>
            </w:pPr>
            <w:r>
              <w:t xml:space="preserve">2.65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46.93</w:t>
            </w:r>
          </w:p>
        </w:tc>
        <w:tc>
          <w:tcPr>
            <w:tcW w:w="2551" w:type="dxa"/>
            <w:vAlign w:val="center"/>
          </w:tcPr>
          <w:p>
            <w:pPr>
              <w:pStyle w:val="单元格样式4"/>
            </w:pPr>
            <w:r>
              <w:t xml:space="preserve">46.93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49.81</w:t>
            </w:r>
          </w:p>
        </w:tc>
        <w:tc>
          <w:tcPr>
            <w:tcW w:w="2551" w:type="dxa"/>
            <w:vAlign w:val="center"/>
          </w:tcPr>
          <w:p>
            <w:pPr>
              <w:pStyle w:val="单元格样式4"/>
            </w:pPr>
          </w:p>
        </w:tc>
        <w:tc>
          <w:tcPr>
            <w:tcW w:w="2551" w:type="dxa"/>
            <w:vAlign w:val="center"/>
          </w:tcPr>
          <w:p>
            <w:pPr>
              <w:pStyle w:val="单元格样式4"/>
            </w:pPr>
            <w:r>
              <w:t xml:space="preserve">49.81</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9.16</w:t>
            </w:r>
          </w:p>
        </w:tc>
        <w:tc>
          <w:tcPr>
            <w:tcW w:w="2551" w:type="dxa"/>
            <w:vAlign w:val="center"/>
          </w:tcPr>
          <w:p>
            <w:pPr>
              <w:pStyle w:val="单元格样式4"/>
            </w:pPr>
          </w:p>
        </w:tc>
        <w:tc>
          <w:tcPr>
            <w:tcW w:w="2551" w:type="dxa"/>
            <w:vAlign w:val="center"/>
          </w:tcPr>
          <w:p>
            <w:pPr>
              <w:pStyle w:val="单元格样式4"/>
            </w:pPr>
            <w:r>
              <w:t xml:space="preserve">9.16</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14.11</w:t>
            </w:r>
          </w:p>
        </w:tc>
        <w:tc>
          <w:tcPr>
            <w:tcW w:w="2551" w:type="dxa"/>
            <w:vAlign w:val="center"/>
          </w:tcPr>
          <w:p>
            <w:pPr>
              <w:pStyle w:val="单元格样式4"/>
            </w:pPr>
          </w:p>
        </w:tc>
        <w:tc>
          <w:tcPr>
            <w:tcW w:w="2551" w:type="dxa"/>
            <w:vAlign w:val="center"/>
          </w:tcPr>
          <w:p>
            <w:pPr>
              <w:pStyle w:val="单元格样式4"/>
            </w:pPr>
            <w:r>
              <w:t xml:space="preserve">14.11</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1.38</w:t>
            </w:r>
          </w:p>
        </w:tc>
        <w:tc>
          <w:tcPr>
            <w:tcW w:w="2551" w:type="dxa"/>
            <w:vAlign w:val="center"/>
          </w:tcPr>
          <w:p>
            <w:pPr>
              <w:pStyle w:val="单元格样式4"/>
            </w:pPr>
          </w:p>
        </w:tc>
        <w:tc>
          <w:tcPr>
            <w:tcW w:w="2551" w:type="dxa"/>
            <w:vAlign w:val="center"/>
          </w:tcPr>
          <w:p>
            <w:pPr>
              <w:pStyle w:val="单元格样式4"/>
            </w:pPr>
            <w:r>
              <w:t xml:space="preserve">1.38</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1.58</w:t>
            </w:r>
          </w:p>
        </w:tc>
        <w:tc>
          <w:tcPr>
            <w:tcW w:w="2551" w:type="dxa"/>
            <w:vAlign w:val="center"/>
          </w:tcPr>
          <w:p>
            <w:pPr>
              <w:pStyle w:val="单元格样式4"/>
            </w:pPr>
          </w:p>
        </w:tc>
        <w:tc>
          <w:tcPr>
            <w:tcW w:w="2551" w:type="dxa"/>
            <w:vAlign w:val="center"/>
          </w:tcPr>
          <w:p>
            <w:pPr>
              <w:pStyle w:val="单元格样式4"/>
            </w:pPr>
            <w:r>
              <w:t xml:space="preserve">1.58</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19.08</w:t>
            </w:r>
          </w:p>
        </w:tc>
        <w:tc>
          <w:tcPr>
            <w:tcW w:w="2551" w:type="dxa"/>
            <w:vAlign w:val="center"/>
          </w:tcPr>
          <w:p>
            <w:pPr>
              <w:pStyle w:val="单元格样式4"/>
            </w:pPr>
          </w:p>
        </w:tc>
        <w:tc>
          <w:tcPr>
            <w:tcW w:w="2551" w:type="dxa"/>
            <w:vAlign w:val="center"/>
          </w:tcPr>
          <w:p>
            <w:pPr>
              <w:pStyle w:val="单元格样式4"/>
            </w:pPr>
            <w:r>
              <w:t xml:space="preserve">19.08</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70.89</w:t>
            </w:r>
          </w:p>
        </w:tc>
        <w:tc>
          <w:tcPr>
            <w:tcW w:w="2551" w:type="dxa"/>
            <w:vAlign w:val="center"/>
          </w:tcPr>
          <w:p>
            <w:pPr>
              <w:pStyle w:val="单元格样式4"/>
            </w:pPr>
            <w:r>
              <w:t xml:space="preserve">70.89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70.89</w:t>
            </w:r>
          </w:p>
        </w:tc>
        <w:tc>
          <w:tcPr>
            <w:tcW w:w="2551" w:type="dxa"/>
            <w:vAlign w:val="center"/>
          </w:tcPr>
          <w:p>
            <w:pPr>
              <w:pStyle w:val="单元格样式4"/>
            </w:pPr>
            <w:r>
              <w:t xml:space="preserve">70.89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319审计局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319审计局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319审计局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4.00</w:t>
            </w:r>
          </w:p>
        </w:tc>
        <w:tc>
          <w:tcPr>
            <w:tcW w:w="2381" w:type="dxa"/>
            <w:vAlign w:val="center"/>
          </w:tcPr>
          <w:p>
            <w:pPr>
              <w:pStyle w:val="单元格样式7"/>
            </w:pPr>
            <w:r>
              <w:t xml:space="preserve">4.00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审计局2025年部门预算信息公开情况说明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审计局2025年部门预算信息公开情况说明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按照《中华人民共和国预算法》、《地方预决算公开操作规程》和《关于进一步推进预算公开工作的实施意见》规定，现将审计局2025年部门预算公开如下：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　　丰润区审计局的主要职责是：在区委审计委员会领导下，组织领导、协调监督全区审计机关的业务，编制全区审计工作规划，确定年度工作重点，参与拟定有关审计、财经方面的政策规定，制定审计规章制度并监督执行情况；向区政府报告和向区政府有关部门通报审计情况，提出制定和完善有关政策法规、工作措施的建议依据《中华人民共和国审计法》规定的直接审计事项及其他法律法规规定的审计事项；审计监督区本级预算执行情况和其他财政收支，向政府提交区级预算执行情况的审计结果报告，受区政府委托向区人大常委会提出预算执行情况和其他财政收支审计工作报告；组织实施对贯彻执行国家财经方针政策和宏观调控措施情况的行业审计、专项审计和审计调查；参加对国有金融机构、非银行金融机构资产、负债和损益状况的审计监督；组织实施对科局级以下党政领导干部和国有及国有控股企业领导人进行任期经济责任审计；组织实施对内部审计的指导与监督，组织审计专业培训;监督社会审计组织的审计业务质量；承办区政府和上级审计机关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审计局本级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按照预算管理有关规定，目前部门预算的编制实行综合预算管理，即全部收入和支出都反映在预算中。审计局机关及所属事业单位的收支包含在部门预算中。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763.51万元，其中：一般公共预算收入763.51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审计局年度部门预算中支出预算的总体情况。2025年支出预算763.51万元，其中基本支出750.51万元，包括人员经费700.70万元和日常公用经费49.81万元；项目支出13.00万元，主要为审计专项业务费8万元,数据分析室费用2万元,审计软件维护费3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763.51万元，较2024年预算减少363.90万元，其中：基本支出增加36.10万元，主要为主要为人员经费增加34.11万元，由于人员正常调资。正常公用经费增加1.99万元。项目支出减少400.00万元，主要为审计中介业务费400万元。</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2025年，我部门机关运行经费共计安排49.81万元，主要用于日常维修、办公用房水电费、办公用房取暖费、办公用房物业管理费等日常运行支出。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4.00万元，其中因公出国（境）费0.00万元；公务用车购置及运维费4.00万元（其中：公务用车购置费为0.00万元，公务用车运维费4.00万元)；公务接待费0.00万元。与2024年相比减少0.20万元，增减变化的主要原因是减少公务接待费0.2万元</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　唐山市丰润区审计局主管全区审计工作。通过审计财政、财务收支真实、合法和效益，维护国家财政经济秩序、促进廉政建设、保障国民经济的健康发展。通过专项审计调查，综合分析，向有关部门反映情况，揭露问题、提出解决问题的建议，为政府决策提供依据。贯彻落实相关法律法规，提高审计质量和审计机关法制管理水平。指导和监督内部审计工作，受理内审业务咨询，协调内部审计和国家审计间工作，保障内部审计工作的顺利进行。按照审计全覆盖要求，强化政府投资审计，加快审计节奏，最大限度节省财政资金。加快推进数据分析平台建设，不断创新大数据审计技术方法，提升审计效率和质量。</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　　　　　 1.管理审计工作  </w:t>
      </w:r>
    </w:p>
    <w:p>
      <w:pPr>
        <w:pStyle w:val="插入文本样式-插入职责分类绩效目标文件"/>
      </w:pPr>
      <w:r>
        <w:t xml:space="preserve">　　　　　 绩效目标：通过开展审计工作，提升全区各乡镇、单位财政财务管理水平，提高财政资金使用绩效，促进经济高质量发展。</w:t>
      </w:r>
    </w:p>
    <w:p>
      <w:pPr>
        <w:pStyle w:val="插入文本样式-插入职责分类绩效目标文件"/>
      </w:pPr>
      <w:r>
        <w:t xml:space="preserve">　　　　　绩效指标：已完成审计计划占计划总数的比例大于等于95%</w:t>
      </w:r>
    </w:p>
    <w:p>
      <w:pPr>
        <w:pStyle w:val="插入文本样式-插入职责分类绩效目标文件"/>
      </w:pPr>
      <w:r>
        <w:t xml:space="preserve">　　　　　  2.进行审计法制管理和内部审计管理</w:t>
      </w:r>
    </w:p>
    <w:p>
      <w:pPr>
        <w:pStyle w:val="插入文本样式-插入职责分类绩效目标文件"/>
      </w:pPr>
      <w:r>
        <w:t xml:space="preserve">　　　　　绩效目标：通过建立健全法规，加大内部审计管理制度提高审计质量和审计机关法制管理水平。</w:t>
      </w:r>
    </w:p>
    <w:p>
      <w:pPr>
        <w:pStyle w:val="插入文本样式-插入职责分类绩效目标文件"/>
      </w:pPr>
      <w:r>
        <w:t xml:space="preserve">　　　　　绩效指标：已进行内审业务指导、监督检查的单位占全部内审单位的比率大于等于95%。</w:t>
      </w:r>
    </w:p>
    <w:p>
      <w:pPr>
        <w:pStyle w:val="插入文本样式-插入职责分类绩效目标文件"/>
      </w:pPr>
      <w:r>
        <w:t xml:space="preserve">　　　　　  3.完成区本级预算执行审计报告</w:t>
      </w:r>
    </w:p>
    <w:p>
      <w:pPr>
        <w:pStyle w:val="插入文本样式-插入职责分类绩效目标文件"/>
      </w:pPr>
      <w:r>
        <w:t xml:space="preserve">　　　　　绩效目标：按时完成区本级预算执行审计工作，组织起草区政府向区人大常委会提出区本级预算执行和其他财政收支情况的审计工作报告、审计查出问题整改情况报告。</w:t>
      </w:r>
    </w:p>
    <w:p>
      <w:pPr>
        <w:pStyle w:val="插入文本样式-插入职责分类绩效目标文件"/>
      </w:pPr>
      <w:r>
        <w:t xml:space="preserve">　　　　　绩效指标：区本级预算执行和其他财政收支情况的审计工作报告通过率大于等于95%.</w:t>
      </w:r>
    </w:p>
    <w:p>
      <w:pPr>
        <w:pStyle w:val="插入文本样式-插入职责分类绩效目标文件"/>
      </w:pPr>
      <w:r>
        <w:t xml:space="preserve">　　　　　  4.进行领导干部经济责任审计</w:t>
      </w:r>
    </w:p>
    <w:p>
      <w:pPr>
        <w:pStyle w:val="插入文本样式-插入职责分类绩效目标文件"/>
      </w:pPr>
      <w:r>
        <w:t xml:space="preserve">　　　　　绩效目标：按规定对区管党政主要领导干部及其他单位主要负责人实施经济责任审计和自然资源资产离任审计</w:t>
      </w:r>
    </w:p>
    <w:p>
      <w:pPr>
        <w:pStyle w:val="插入文本样式-插入职责分类绩效目标文件"/>
      </w:pPr>
      <w:r>
        <w:t xml:space="preserve">　　　　　绩效指标：被审计单位根据审计建议制定的整改措施率大于等于95%</w:t>
      </w:r>
    </w:p>
    <w:p>
      <w:pPr>
        <w:pStyle w:val="插入文本样式-插入职责分类绩效目标文件"/>
      </w:pPr>
      <w:r>
        <w:t xml:space="preserve">5.审计发现问题整改</w:t>
      </w:r>
    </w:p>
    <w:p>
      <w:pPr>
        <w:pStyle w:val="插入文本样式-插入职责分类绩效目标文件"/>
      </w:pPr>
      <w:r>
        <w:t xml:space="preserve">绩效目标：加强审计发现问题整改</w:t>
      </w:r>
    </w:p>
    <w:p>
      <w:pPr>
        <w:pStyle w:val="插入文本样式-插入职责分类绩效目标文件"/>
      </w:pPr>
      <w:r>
        <w:t xml:space="preserve">绩效指标：审计整改情况与审计发现问题比率大于等于95%</w:t>
      </w:r>
    </w:p>
    <w:p>
      <w:pPr>
        <w:pStyle w:val="插入文本样式-插入职责分类绩效目标文件"/>
      </w:pPr>
      <w:r>
        <w:t xml:space="preserve">　 6.推进审计信息化建设</w:t>
      </w:r>
    </w:p>
    <w:p>
      <w:pPr>
        <w:pStyle w:val="插入文本样式-插入职责分类绩效目标文件"/>
      </w:pPr>
      <w:r>
        <w:t xml:space="preserve">绩效目标：按照审计全覆盖要求，加快推进数据分析平台建设，不断创新大数据审计技术方法，提升审计效率和质量。</w:t>
      </w:r>
    </w:p>
    <w:p>
      <w:pPr>
        <w:pStyle w:val="插入文本样式-插入职责分类绩效目标文件"/>
      </w:pPr>
      <w:r>
        <w:t xml:space="preserve">绩效指标：采集分析一级预算单位（部门）财政财务数据大于等于95%。</w:t>
      </w:r>
    </w:p>
    <w:p>
      <w:pPr>
        <w:pStyle w:val="插入文本样式-插入职责分类绩效目标文件"/>
      </w:pPr>
      <w:r>
        <w:t xml:space="preserve">　　7.综合业务管理</w:t>
      </w:r>
    </w:p>
    <w:p>
      <w:pPr>
        <w:pStyle w:val="插入文本样式-插入职责分类绩效目标文件"/>
      </w:pPr>
      <w:r>
        <w:t xml:space="preserve">绩效目标：通过开展系统综合业务管理和机关综合事务管理，充分发挥参谋助手作用和综合协调作用，推进审计事业健康发展。</w:t>
      </w:r>
    </w:p>
    <w:p>
      <w:pPr>
        <w:pStyle w:val="插入文本样式-插入职责分类绩效目标文件"/>
      </w:pPr>
      <w:r>
        <w:t xml:space="preserve">绩效指标：在对审计人员依法审计、廉洁审计、文明审计方面投诉的审计项目数量占合部审计项目的比例小于等于5%</w:t>
      </w:r>
    </w:p>
    <w:p>
      <w:pPr>
        <w:pStyle w:val="插入文本样式-插入职责分类绩效目标文件"/>
      </w:pP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　　　　　（一）全面推进干部队伍建设。加强人员培训，坚持以人为本，改革创新，全面提高审计人员依法审计能力和审计工作水平，逐步建立健全适应审计事业科学发展需要的干部管理和人力资源管理体制和机制，着力打造政治过硬、业务精通、作风优良、廉洁自律、文明和谐的审计干部队伍。</w:t>
      </w:r>
    </w:p>
    <w:p>
      <w:pPr>
        <w:pStyle w:val="插入文本样式-插入实现年度发展规划目标的保障措施文件"/>
      </w:pPr>
      <w:r>
        <w:t xml:space="preserve">　　　　　（二）全面推进审计法治化建设。进一步加强审计规章制度建设，规范审计行为，推进依法审计，更加注重依法审计、文明审计，加强审计整改力度，提升审计质量控制，进一步规范审计行为，提高审计工作的法治化、规范化水平。</w:t>
      </w:r>
    </w:p>
    <w:p>
      <w:pPr>
        <w:pStyle w:val="插入文本样式-插入实现年度发展规划目标的保障措施文件"/>
      </w:pPr>
      <w:r>
        <w:t xml:space="preserve">　　　　　（三）全面推进审计信息化建设。不断推进“金审三期”工作，通过数据分析室建设，进一步探索以信息数字化为基础，以联网直审为内容的大数据审计新格局，探索适应信息化环境的审计方式。</w:t>
      </w:r>
    </w:p>
    <w:p>
      <w:pPr>
        <w:pStyle w:val="插入文本样式-插入实现年度发展规划目标的保障措施文件"/>
      </w:pPr>
      <w:r>
        <w:t xml:space="preserve">　　　　　 （四）不断加强绩效管理，采取措施预做准备，控制偏差，保证绩效目标的实现。</w:t>
      </w:r>
    </w:p>
    <w:p>
      <w:pPr>
        <w:pStyle w:val="插入文本样式-插入实现年度发展规划目标的保障措施文件"/>
      </w:pPr>
      <w:r>
        <w:t xml:space="preserve">　　　　　1、完善制度建设。制定预算绩效管理制度、资金管理办法、工作保障制度，为全年预算绩效目标的实现奠定制度基础。</w:t>
      </w:r>
    </w:p>
    <w:p>
      <w:pPr>
        <w:pStyle w:val="插入文本样式-插入实现年度发展规划目标的保障措施文件"/>
      </w:pPr>
      <w:r>
        <w:t xml:space="preserve">　　　　　2、加强支出管理。通过优化支出结构、编细编实预算、加快履行政府采购手续、尽快启动项目、及时支付资金、按规定及时下达资金等多种措施，确保支出进度达标。</w:t>
      </w:r>
    </w:p>
    <w:p>
      <w:pPr>
        <w:pStyle w:val="插入文本样式-插入实现年度发展规划目标的保障措施文件"/>
      </w:pPr>
      <w:r>
        <w:t xml:space="preserve">　　　　　3、加强绩效运行监控。按要求开展绩效运行监控，发现问题及时采取措施，确保绩效目标如期保质实现。</w:t>
      </w:r>
    </w:p>
    <w:p>
      <w:pPr>
        <w:pStyle w:val="插入文本样式-插入实现年度发展规划目标的保障措施文件"/>
      </w:pPr>
      <w:r>
        <w:t xml:space="preserve">　　　　　4、做好绩效自评。按要求开展上年度部门预算绩效自评和重点评价工作，对评价中发现的问题及时整改，调整优化支出结构，提高财政资金使用效益。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　　　　　5、规范财务资产管理。完善财务管理制度，严格审批程序，加强固定资产登记、使用和报废处置管理，做到支出合理，物尽其用。</w:t>
      </w:r>
    </w:p>
    <w:p>
      <w:pPr>
        <w:pStyle w:val="插入文本样式-插入实现年度发展规划目标的保障措施文件"/>
      </w:pPr>
      <w:r>
        <w:t xml:space="preserve">　　　　　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　　　　　7、加强宣传培训调研等。加强人员培训，提高职工业务素质；加强调研，提出优化财政资金配置、提高资金使用效益的意见意见；加大宣传力度，强化预算绩效管理意识，促进预算绩效管理水平进一步提升。</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1、审计软件维护费绩效目标表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13020825P00026510001E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审计软件维护费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确保网络和数据安全，加强审计数据安全存储，加强审计现场计算机、电子数据和审计资料的安全保管。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0.75</w:t>
            </w:r>
          </w:p>
        </w:tc>
        <w:tc>
          <w:tcPr>
            <w:tcW w:w="2835" w:type="dxa"/>
            <w:vAlign w:val="center"/>
          </w:tcPr>
          <w:p>
            <w:pPr>
              <w:pStyle w:val="单元格样式3"/>
            </w:pPr>
            <w:r>
              <w:t xml:space="preserve">1.50</w:t>
            </w:r>
          </w:p>
        </w:tc>
        <w:tc>
          <w:tcPr>
            <w:tcW w:w="2551" w:type="dxa"/>
            <w:vAlign w:val="center"/>
          </w:tcPr>
          <w:p>
            <w:pPr>
              <w:pStyle w:val="单元格样式3"/>
            </w:pPr>
            <w:r>
              <w:t xml:space="preserve">2.25</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1.加强政府投资建设项目的审计监督，按照年度计划完成全年投资审计任务。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审计投资项目计划完成数量</w:t>
            </w:r>
          </w:p>
        </w:tc>
        <w:tc>
          <w:tcPr>
            <w:tcW w:w="5386" w:type="dxa"/>
            <w:vAlign w:val="center"/>
          </w:tcPr>
          <w:p>
            <w:pPr>
              <w:pStyle w:val="单元格样式2"/>
            </w:pPr>
            <w:r>
              <w:t xml:space="preserve">≥1个</w:t>
            </w:r>
          </w:p>
        </w:tc>
        <w:tc>
          <w:tcPr>
            <w:tcW w:w="2268" w:type="dxa"/>
            <w:vAlign w:val="center"/>
          </w:tcPr>
          <w:p>
            <w:pPr>
              <w:pStyle w:val="单元格样式2"/>
            </w:pPr>
            <w:r>
              <w:t xml:space="preserve">≥1个</w:t>
            </w:r>
          </w:p>
        </w:tc>
        <w:tc>
          <w:tcPr>
            <w:tcW w:w="1276" w:type="dxa"/>
            <w:vAlign w:val="center"/>
          </w:tcPr>
          <w:p>
            <w:pPr>
              <w:pStyle w:val="单元格样式2"/>
            </w:pPr>
            <w:r>
              <w:t xml:space="preserve">行业内部要求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处理数据能力</w:t>
            </w:r>
          </w:p>
        </w:tc>
        <w:tc>
          <w:tcPr>
            <w:tcW w:w="5386" w:type="dxa"/>
            <w:vAlign w:val="center"/>
          </w:tcPr>
          <w:p>
            <w:pPr>
              <w:pStyle w:val="单元格样式2"/>
            </w:pPr>
            <w:r>
              <w:t xml:space="preserve">≥99%</w:t>
            </w:r>
          </w:p>
        </w:tc>
        <w:tc>
          <w:tcPr>
            <w:tcW w:w="2268" w:type="dxa"/>
            <w:vAlign w:val="center"/>
          </w:tcPr>
          <w:p>
            <w:pPr>
              <w:pStyle w:val="单元格样式2"/>
            </w:pPr>
            <w:r>
              <w:t xml:space="preserve">≥99百分比</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项目完成时限 </w:t>
            </w:r>
          </w:p>
        </w:tc>
        <w:tc>
          <w:tcPr>
            <w:tcW w:w="5386" w:type="dxa"/>
            <w:vAlign w:val="center"/>
          </w:tcPr>
          <w:p>
            <w:pPr>
              <w:pStyle w:val="单元格样式2"/>
            </w:pPr>
            <w:r>
              <w:t xml:space="preserve">2025年底以前</w:t>
            </w:r>
          </w:p>
        </w:tc>
        <w:tc>
          <w:tcPr>
            <w:tcW w:w="2268" w:type="dxa"/>
            <w:vAlign w:val="center"/>
          </w:tcPr>
          <w:p>
            <w:pPr>
              <w:pStyle w:val="单元格样式2"/>
            </w:pPr>
            <w:r>
              <w:t xml:space="preserve">2025年底以前</w:t>
            </w:r>
          </w:p>
        </w:tc>
        <w:tc>
          <w:tcPr>
            <w:tcW w:w="1276" w:type="dxa"/>
            <w:vAlign w:val="center"/>
          </w:tcPr>
          <w:p>
            <w:pPr>
              <w:pStyle w:val="单元格样式2"/>
            </w:pPr>
            <w:r>
              <w:t xml:space="preserve">一般行业准则</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w:t>
            </w:r>
          </w:p>
        </w:tc>
        <w:tc>
          <w:tcPr>
            <w:tcW w:w="5386" w:type="dxa"/>
            <w:vAlign w:val="center"/>
          </w:tcPr>
          <w:p>
            <w:pPr>
              <w:pStyle w:val="单元格样式2"/>
            </w:pPr>
            <w:r>
              <w:t xml:space="preserve">≤0.75万/每季度</w:t>
            </w:r>
          </w:p>
        </w:tc>
        <w:tc>
          <w:tcPr>
            <w:tcW w:w="2268" w:type="dxa"/>
            <w:vAlign w:val="center"/>
          </w:tcPr>
          <w:p>
            <w:pPr>
              <w:pStyle w:val="单元格样式2"/>
            </w:pPr>
            <w:r>
              <w:t xml:space="preserve">≤0.75万/每季度</w:t>
            </w:r>
          </w:p>
        </w:tc>
        <w:tc>
          <w:tcPr>
            <w:tcW w:w="1276" w:type="dxa"/>
            <w:vAlign w:val="center"/>
          </w:tcPr>
          <w:p>
            <w:pPr>
              <w:pStyle w:val="单元格样式2"/>
            </w:pPr>
            <w:r>
              <w:t xml:space="preserve">审计行业规定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提高审计效率</w:t>
            </w:r>
          </w:p>
        </w:tc>
        <w:tc>
          <w:tcPr>
            <w:tcW w:w="5386" w:type="dxa"/>
            <w:vAlign w:val="center"/>
          </w:tcPr>
          <w:p>
            <w:pPr>
              <w:pStyle w:val="单元格样式2"/>
            </w:pPr>
            <w:r>
              <w:t xml:space="preserve">≥95%</w:t>
            </w:r>
          </w:p>
        </w:tc>
        <w:tc>
          <w:tcPr>
            <w:tcW w:w="2268" w:type="dxa"/>
            <w:vAlign w:val="center"/>
          </w:tcPr>
          <w:p>
            <w:pPr>
              <w:pStyle w:val="单元格样式2"/>
            </w:pPr>
            <w:r>
              <w:t xml:space="preserve">≥95百分比</w:t>
            </w:r>
          </w:p>
        </w:tc>
        <w:tc>
          <w:tcPr>
            <w:tcW w:w="1276" w:type="dxa"/>
            <w:vAlign w:val="center"/>
          </w:tcPr>
          <w:p>
            <w:pPr>
              <w:pStyle w:val="单元格样式2"/>
            </w:pPr>
            <w:r>
              <w:t xml:space="preserve">一般行业准则</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被审计单位满意度</w:t>
            </w:r>
          </w:p>
        </w:tc>
        <w:tc>
          <w:tcPr>
            <w:tcW w:w="5386" w:type="dxa"/>
            <w:vAlign w:val="center"/>
          </w:tcPr>
          <w:p>
            <w:pPr>
              <w:pStyle w:val="单元格样式2"/>
            </w:pPr>
            <w:r>
              <w:t xml:space="preserve">≥95%</w:t>
            </w:r>
          </w:p>
        </w:tc>
        <w:tc>
          <w:tcPr>
            <w:tcW w:w="2268" w:type="dxa"/>
            <w:vAlign w:val="center"/>
          </w:tcPr>
          <w:p>
            <w:pPr>
              <w:pStyle w:val="单元格样式2"/>
            </w:pPr>
            <w:r>
              <w:t xml:space="preserve">≥95百分比</w:t>
            </w:r>
          </w:p>
        </w:tc>
        <w:tc>
          <w:tcPr>
            <w:tcW w:w="1276" w:type="dxa"/>
            <w:vAlign w:val="center"/>
          </w:tcPr>
          <w:p>
            <w:pPr>
              <w:pStyle w:val="单元格样式2"/>
            </w:pPr>
            <w:r>
              <w:t xml:space="preserve">一般行业准则</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2、审计数据分析室费用绩效目标表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13020825P00020710003M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审计数据分析室费用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单位数据采集分析工作，同时完成了部分单位的电子数据采集；为提高审计工作效率，维护升级计算机。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1.通过信息化手段、运用大数据技术，实现审计全覆盖。推动审计工作全面进步整体提升。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采集一级预算单位电子数据量</w:t>
            </w:r>
          </w:p>
        </w:tc>
        <w:tc>
          <w:tcPr>
            <w:tcW w:w="5386" w:type="dxa"/>
            <w:vAlign w:val="center"/>
          </w:tcPr>
          <w:p>
            <w:pPr>
              <w:pStyle w:val="单元格样式2"/>
            </w:pPr>
            <w:r>
              <w:t xml:space="preserve">≥10个</w:t>
            </w:r>
          </w:p>
        </w:tc>
        <w:tc>
          <w:tcPr>
            <w:tcW w:w="2268" w:type="dxa"/>
            <w:vAlign w:val="center"/>
          </w:tcPr>
          <w:p>
            <w:pPr>
              <w:pStyle w:val="单元格样式2"/>
            </w:pPr>
            <w:r>
              <w:t xml:space="preserve">≥10个</w:t>
            </w:r>
          </w:p>
        </w:tc>
        <w:tc>
          <w:tcPr>
            <w:tcW w:w="1276" w:type="dxa"/>
            <w:vAlign w:val="center"/>
          </w:tcPr>
          <w:p>
            <w:pPr>
              <w:pStyle w:val="单元格样式2"/>
            </w:pPr>
            <w:r>
              <w:t xml:space="preserve">行业内部要求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处理数据能力</w:t>
            </w:r>
          </w:p>
        </w:tc>
        <w:tc>
          <w:tcPr>
            <w:tcW w:w="5386" w:type="dxa"/>
            <w:vAlign w:val="center"/>
          </w:tcPr>
          <w:p>
            <w:pPr>
              <w:pStyle w:val="单元格样式2"/>
            </w:pPr>
            <w:r>
              <w:t xml:space="preserve">≥95%</w:t>
            </w:r>
          </w:p>
        </w:tc>
        <w:tc>
          <w:tcPr>
            <w:tcW w:w="2268" w:type="dxa"/>
            <w:vAlign w:val="center"/>
          </w:tcPr>
          <w:p>
            <w:pPr>
              <w:pStyle w:val="单元格样式2"/>
            </w:pPr>
            <w:r>
              <w:t xml:space="preserve">≥95百分比</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项目完成时限 </w:t>
            </w:r>
          </w:p>
        </w:tc>
        <w:tc>
          <w:tcPr>
            <w:tcW w:w="5386" w:type="dxa"/>
            <w:vAlign w:val="center"/>
          </w:tcPr>
          <w:p>
            <w:pPr>
              <w:pStyle w:val="单元格样式2"/>
            </w:pPr>
            <w:r>
              <w:t xml:space="preserve">2025年底以前</w:t>
            </w:r>
          </w:p>
        </w:tc>
        <w:tc>
          <w:tcPr>
            <w:tcW w:w="2268" w:type="dxa"/>
            <w:vAlign w:val="center"/>
          </w:tcPr>
          <w:p>
            <w:pPr>
              <w:pStyle w:val="单元格样式2"/>
            </w:pPr>
            <w:r>
              <w:t xml:space="preserve">2025年底以前</w:t>
            </w:r>
          </w:p>
        </w:tc>
        <w:tc>
          <w:tcPr>
            <w:tcW w:w="1276" w:type="dxa"/>
            <w:vAlign w:val="center"/>
          </w:tcPr>
          <w:p>
            <w:pPr>
              <w:pStyle w:val="单元格样式2"/>
            </w:pPr>
            <w:r>
              <w:t xml:space="preserve">一般行业准则</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w:t>
            </w:r>
          </w:p>
        </w:tc>
        <w:tc>
          <w:tcPr>
            <w:tcW w:w="5386" w:type="dxa"/>
            <w:vAlign w:val="center"/>
          </w:tcPr>
          <w:p>
            <w:pPr>
              <w:pStyle w:val="单元格样式2"/>
            </w:pPr>
            <w:r>
              <w:t xml:space="preserve">≤0.5万/每季度</w:t>
            </w:r>
          </w:p>
        </w:tc>
        <w:tc>
          <w:tcPr>
            <w:tcW w:w="2268" w:type="dxa"/>
            <w:vAlign w:val="center"/>
          </w:tcPr>
          <w:p>
            <w:pPr>
              <w:pStyle w:val="单元格样式2"/>
            </w:pPr>
            <w:r>
              <w:t xml:space="preserve">≤0.5万/每季度</w:t>
            </w:r>
          </w:p>
        </w:tc>
        <w:tc>
          <w:tcPr>
            <w:tcW w:w="1276" w:type="dxa"/>
            <w:vAlign w:val="center"/>
          </w:tcPr>
          <w:p>
            <w:pPr>
              <w:pStyle w:val="单元格样式2"/>
            </w:pPr>
            <w:r>
              <w:t xml:space="preserve">行业内部要求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审计工作全面进步整体提升</w:t>
            </w:r>
          </w:p>
        </w:tc>
        <w:tc>
          <w:tcPr>
            <w:tcW w:w="5386" w:type="dxa"/>
            <w:vAlign w:val="center"/>
          </w:tcPr>
          <w:p>
            <w:pPr>
              <w:pStyle w:val="单元格样式2"/>
            </w:pPr>
            <w:r>
              <w:t xml:space="preserve">≥95%</w:t>
            </w:r>
          </w:p>
        </w:tc>
        <w:tc>
          <w:tcPr>
            <w:tcW w:w="2268" w:type="dxa"/>
            <w:vAlign w:val="center"/>
          </w:tcPr>
          <w:p>
            <w:pPr>
              <w:pStyle w:val="单元格样式2"/>
            </w:pPr>
            <w:r>
              <w:t xml:space="preserve">≥95百分比</w:t>
            </w:r>
          </w:p>
        </w:tc>
        <w:tc>
          <w:tcPr>
            <w:tcW w:w="1276" w:type="dxa"/>
            <w:vAlign w:val="center"/>
          </w:tcPr>
          <w:p>
            <w:pPr>
              <w:pStyle w:val="单元格样式2"/>
            </w:pPr>
            <w:r>
              <w:t xml:space="preserve">审计行业规定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被审计单位满意度</w:t>
            </w:r>
          </w:p>
        </w:tc>
        <w:tc>
          <w:tcPr>
            <w:tcW w:w="5386" w:type="dxa"/>
            <w:vAlign w:val="center"/>
          </w:tcPr>
          <w:p>
            <w:pPr>
              <w:pStyle w:val="单元格样式2"/>
            </w:pPr>
            <w:r>
              <w:t xml:space="preserve">≥95%</w:t>
            </w:r>
          </w:p>
        </w:tc>
        <w:tc>
          <w:tcPr>
            <w:tcW w:w="2268" w:type="dxa"/>
            <w:vAlign w:val="center"/>
          </w:tcPr>
          <w:p>
            <w:pPr>
              <w:pStyle w:val="单元格样式2"/>
            </w:pPr>
            <w:r>
              <w:t xml:space="preserve">≥95百分比</w:t>
            </w:r>
          </w:p>
        </w:tc>
        <w:tc>
          <w:tcPr>
            <w:tcW w:w="1276" w:type="dxa"/>
            <w:vAlign w:val="center"/>
          </w:tcPr>
          <w:p>
            <w:pPr>
              <w:pStyle w:val="单元格样式2"/>
            </w:pPr>
            <w:r>
              <w:t xml:space="preserve">一般行业准则</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3、审计专项业务经费</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13020825P00026310002N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审计专项业务经费</w:t>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组织研究全区审计监督发展战略、规划、重大政策和改革方案，综合协调推进审计项目实施、审计结果运用等重大事项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4.00</w:t>
            </w:r>
          </w:p>
        </w:tc>
        <w:tc>
          <w:tcPr>
            <w:tcW w:w="2551" w:type="dxa"/>
            <w:vAlign w:val="center"/>
          </w:tcPr>
          <w:p>
            <w:pPr>
              <w:pStyle w:val="单元格样式3"/>
            </w:pPr>
            <w:r>
              <w:t xml:space="preserve">6.00</w:t>
            </w:r>
          </w:p>
        </w:tc>
        <w:tc>
          <w:tcPr>
            <w:tcW w:w="3544" w:type="dxa"/>
            <w:gridSpan w:val="2"/>
            <w:vAlign w:val="center"/>
          </w:tcPr>
          <w:p>
            <w:pPr>
              <w:pStyle w:val="单元格样式3"/>
            </w:pPr>
            <w:r>
              <w:t xml:space="preserve">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1.依法履行区委审计委员办公室职责，组织研究全区审计监督发展战略、规划、重大政策和改革方案.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筹备区委审计委员会会议</w:t>
            </w:r>
          </w:p>
        </w:tc>
        <w:tc>
          <w:tcPr>
            <w:tcW w:w="5386" w:type="dxa"/>
            <w:vAlign w:val="center"/>
          </w:tcPr>
          <w:p>
            <w:pPr>
              <w:pStyle w:val="单元格样式2"/>
            </w:pPr>
            <w:r>
              <w:t xml:space="preserve">≥1次</w:t>
            </w:r>
          </w:p>
        </w:tc>
        <w:tc>
          <w:tcPr>
            <w:tcW w:w="2268" w:type="dxa"/>
            <w:vAlign w:val="center"/>
          </w:tcPr>
          <w:p>
            <w:pPr>
              <w:pStyle w:val="单元格样式2"/>
            </w:pPr>
            <w:r>
              <w:t xml:space="preserve">≥1次</w:t>
            </w:r>
          </w:p>
        </w:tc>
        <w:tc>
          <w:tcPr>
            <w:tcW w:w="1276" w:type="dxa"/>
            <w:vAlign w:val="center"/>
          </w:tcPr>
          <w:p>
            <w:pPr>
              <w:pStyle w:val="单元格样式2"/>
            </w:pPr>
            <w:r>
              <w:t xml:space="preserve">行业内部要求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质量控制</w:t>
            </w:r>
          </w:p>
        </w:tc>
        <w:tc>
          <w:tcPr>
            <w:tcW w:w="5386" w:type="dxa"/>
            <w:vAlign w:val="center"/>
          </w:tcPr>
          <w:p>
            <w:pPr>
              <w:pStyle w:val="单元格样式2"/>
            </w:pPr>
            <w:r>
              <w:t xml:space="preserve">≥95%</w:t>
            </w:r>
          </w:p>
        </w:tc>
        <w:tc>
          <w:tcPr>
            <w:tcW w:w="2268" w:type="dxa"/>
            <w:vAlign w:val="center"/>
          </w:tcPr>
          <w:p>
            <w:pPr>
              <w:pStyle w:val="单元格样式2"/>
            </w:pPr>
            <w:r>
              <w:t xml:space="preserve">≥95百分比</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vAlign w:val="center"/>
          </w:tcPr>
          <w:p>
            <w:pPr>
              <w:pStyle w:val="单元格样式2"/>
            </w:pPr>
            <w:r>
              <w:t xml:space="preserve">2025年底以前</w:t>
            </w:r>
          </w:p>
        </w:tc>
        <w:tc>
          <w:tcPr>
            <w:tcW w:w="2268" w:type="dxa"/>
            <w:vAlign w:val="center"/>
          </w:tcPr>
          <w:p>
            <w:pPr>
              <w:pStyle w:val="单元格样式2"/>
            </w:pPr>
            <w:r>
              <w:t xml:space="preserve">2025年底以前</w:t>
            </w:r>
          </w:p>
        </w:tc>
        <w:tc>
          <w:tcPr>
            <w:tcW w:w="1276" w:type="dxa"/>
            <w:vAlign w:val="center"/>
          </w:tcPr>
          <w:p>
            <w:pPr>
              <w:pStyle w:val="单元格样式2"/>
            </w:pPr>
            <w:r>
              <w:t xml:space="preserve">一般行业准则</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w:t>
            </w:r>
          </w:p>
        </w:tc>
        <w:tc>
          <w:tcPr>
            <w:tcW w:w="5386" w:type="dxa"/>
            <w:vAlign w:val="center"/>
          </w:tcPr>
          <w:p>
            <w:pPr>
              <w:pStyle w:val="单元格样式2"/>
            </w:pPr>
            <w:r>
              <w:t xml:space="preserve">≤2万/每季度</w:t>
            </w:r>
          </w:p>
        </w:tc>
        <w:tc>
          <w:tcPr>
            <w:tcW w:w="2268" w:type="dxa"/>
            <w:vAlign w:val="center"/>
          </w:tcPr>
          <w:p>
            <w:pPr>
              <w:pStyle w:val="单元格样式2"/>
            </w:pPr>
            <w:r>
              <w:t xml:space="preserve">≤2万/每季度</w:t>
            </w:r>
          </w:p>
        </w:tc>
        <w:tc>
          <w:tcPr>
            <w:tcW w:w="1276" w:type="dxa"/>
            <w:vAlign w:val="center"/>
          </w:tcPr>
          <w:p>
            <w:pPr>
              <w:pStyle w:val="单元格样式2"/>
            </w:pPr>
            <w:r>
              <w:t xml:space="preserve">审计行业规定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落实审计发现问题整改</w:t>
            </w:r>
          </w:p>
        </w:tc>
        <w:tc>
          <w:tcPr>
            <w:tcW w:w="5386" w:type="dxa"/>
            <w:vAlign w:val="center"/>
          </w:tcPr>
          <w:p>
            <w:pPr>
              <w:pStyle w:val="单元格样式2"/>
            </w:pPr>
            <w:r>
              <w:t xml:space="preserve">≥95%</w:t>
            </w:r>
          </w:p>
        </w:tc>
        <w:tc>
          <w:tcPr>
            <w:tcW w:w="2268" w:type="dxa"/>
            <w:vAlign w:val="center"/>
          </w:tcPr>
          <w:p>
            <w:pPr>
              <w:pStyle w:val="单元格样式2"/>
            </w:pPr>
            <w:r>
              <w:t xml:space="preserve">≥95百分比</w:t>
            </w:r>
          </w:p>
        </w:tc>
        <w:tc>
          <w:tcPr>
            <w:tcW w:w="1276" w:type="dxa"/>
            <w:vAlign w:val="center"/>
          </w:tcPr>
          <w:p>
            <w:pPr>
              <w:pStyle w:val="单元格样式2"/>
            </w:pPr>
            <w:r>
              <w:t xml:space="preserve">行业内部要求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被审计单位满意度</w:t>
            </w:r>
          </w:p>
        </w:tc>
        <w:tc>
          <w:tcPr>
            <w:tcW w:w="5386" w:type="dxa"/>
            <w:vAlign w:val="center"/>
          </w:tcPr>
          <w:p>
            <w:pPr>
              <w:pStyle w:val="单元格样式2"/>
            </w:pPr>
            <w:r>
              <w:t xml:space="preserve">≥95%</w:t>
            </w:r>
          </w:p>
        </w:tc>
        <w:tc>
          <w:tcPr>
            <w:tcW w:w="2268" w:type="dxa"/>
            <w:vAlign w:val="center"/>
          </w:tcPr>
          <w:p>
            <w:pPr>
              <w:pStyle w:val="单元格样式2"/>
            </w:pPr>
            <w:r>
              <w:t xml:space="preserve">≥95百分比</w:t>
            </w:r>
          </w:p>
        </w:tc>
        <w:tc>
          <w:tcPr>
            <w:tcW w:w="1276" w:type="dxa"/>
            <w:vAlign w:val="center"/>
          </w:tcPr>
          <w:p>
            <w:pPr>
              <w:pStyle w:val="单元格样式2"/>
            </w:pPr>
            <w:r>
              <w:t xml:space="preserve">一般行业准则</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319审计局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审计局（含所属单位）上年末固定资产金额为968801.99万元（详见下表）。本年度拟购置固定资产总额为0.00万元，已按要求列入政府采购预算，详见政府采购预算表。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319审计局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968801.99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397780.00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187</w:t>
            </w:r>
          </w:p>
        </w:tc>
        <w:tc>
          <w:tcPr>
            <w:tcW w:w="2835" w:type="dxa"/>
            <w:vAlign w:val="center"/>
          </w:tcPr>
          <w:p>
            <w:pPr>
              <w:pStyle w:val="单元格样式4"/>
            </w:pPr>
            <w:r>
              <w:t xml:space="preserve">571021.99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2025-02-18T14:20:44Z</dcterms:created>
  <dcterms:modified xsi:type="dcterms:W3CDTF">2025-02-18T14:20:44Z</dcterms:modified>
</cp:coreProperties>
</file>