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一、审计局本级收支预算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一、审计局本级收支预算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763.51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576.33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59.36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80.89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46.93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763.51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763.51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763.51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763.51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763.51</w:t>
            </w:r>
          </w:p>
        </w:tc>
        <w:tc>
          <w:tcPr>
            <w:tcW w:w="1134" w:type="dxa"/>
            <w:vAlign w:val="center"/>
          </w:tcPr>
          <w:p>
            <w:pPr>
              <w:pStyle w:val="单元格样式7"/>
            </w:pPr>
            <w:r>
              <w:t xml:space="preserve">763.51</w:t>
            </w:r>
          </w:p>
        </w:tc>
        <w:tc>
          <w:tcPr>
            <w:tcW w:w="1134" w:type="dxa"/>
            <w:vAlign w:val="center"/>
          </w:tcPr>
          <w:p>
            <w:pPr>
              <w:pStyle w:val="单元格样式7"/>
            </w:pPr>
            <w:r>
              <w:t xml:space="preserve">763.51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r>
              <w:t xml:space="preserve">576.33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563.33</w:t>
            </w:r>
          </w:p>
        </w:tc>
        <w:tc>
          <w:tcPr>
            <w:tcW w:w="1134" w:type="dxa"/>
            <w:vAlign w:val="center"/>
          </w:tcPr>
          <w:p>
            <w:pPr>
              <w:pStyle w:val="单元格样式4"/>
            </w:pPr>
            <w:r>
              <w:t xml:space="preserve">563.33</w:t>
            </w:r>
          </w:p>
        </w:tc>
        <w:tc>
          <w:tcPr>
            <w:tcW w:w="1134" w:type="dxa"/>
            <w:vAlign w:val="center"/>
          </w:tcPr>
          <w:p>
            <w:pPr>
              <w:pStyle w:val="单元格样式4"/>
            </w:pPr>
            <w:r>
              <w:t xml:space="preserve">563.33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2010805</w:t>
            </w:r>
          </w:p>
        </w:tc>
        <w:tc>
          <w:tcPr>
            <w:tcW w:w="1559" w:type="dxa"/>
            <w:vAlign w:val="center"/>
          </w:tcPr>
          <w:p>
            <w:pPr>
              <w:pStyle w:val="单元格样式2"/>
            </w:pPr>
            <w:r>
              <w:t xml:space="preserve">审计管理</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2010806</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r>
              <w:t xml:space="preserve">59.36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r>
              <w:t xml:space="preserve">80.89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27.91</w:t>
            </w:r>
          </w:p>
        </w:tc>
        <w:tc>
          <w:tcPr>
            <w:tcW w:w="1134" w:type="dxa"/>
            <w:vAlign w:val="center"/>
          </w:tcPr>
          <w:p>
            <w:pPr>
              <w:pStyle w:val="单元格样式4"/>
            </w:pPr>
            <w:r>
              <w:t xml:space="preserve">27.91</w:t>
            </w:r>
          </w:p>
        </w:tc>
        <w:tc>
          <w:tcPr>
            <w:tcW w:w="1134" w:type="dxa"/>
            <w:vAlign w:val="center"/>
          </w:tcPr>
          <w:p>
            <w:pPr>
              <w:pStyle w:val="单元格样式4"/>
            </w:pPr>
            <w:r>
              <w:t xml:space="preserve">27.91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r>
              <w:t xml:space="preserve">46.93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763.51</w:t>
            </w:r>
          </w:p>
        </w:tc>
        <w:tc>
          <w:tcPr>
            <w:tcW w:w="1361" w:type="dxa"/>
            <w:vAlign w:val="center"/>
          </w:tcPr>
          <w:p>
            <w:pPr>
              <w:pStyle w:val="单元格样式7"/>
            </w:pPr>
            <w:r>
              <w:t xml:space="preserve">750.51</w:t>
            </w:r>
          </w:p>
        </w:tc>
        <w:tc>
          <w:tcPr>
            <w:tcW w:w="1361" w:type="dxa"/>
            <w:vAlign w:val="center"/>
          </w:tcPr>
          <w:p>
            <w:pPr>
              <w:pStyle w:val="单元格样式7"/>
            </w:pPr>
            <w:r>
              <w:t xml:space="preserve">13.00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576.33</w:t>
            </w:r>
          </w:p>
        </w:tc>
        <w:tc>
          <w:tcPr>
            <w:tcW w:w="1361" w:type="dxa"/>
            <w:vAlign w:val="center"/>
          </w:tcPr>
          <w:p>
            <w:pPr>
              <w:pStyle w:val="单元格样式4"/>
            </w:pPr>
            <w:r>
              <w:t xml:space="preserve">563.33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576.33</w:t>
            </w:r>
          </w:p>
        </w:tc>
        <w:tc>
          <w:tcPr>
            <w:tcW w:w="1361" w:type="dxa"/>
            <w:vAlign w:val="center"/>
          </w:tcPr>
          <w:p>
            <w:pPr>
              <w:pStyle w:val="单元格样式4"/>
            </w:pPr>
            <w:r>
              <w:t xml:space="preserve">563.33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563.33</w:t>
            </w:r>
          </w:p>
        </w:tc>
        <w:tc>
          <w:tcPr>
            <w:tcW w:w="1361" w:type="dxa"/>
            <w:vAlign w:val="center"/>
          </w:tcPr>
          <w:p>
            <w:pPr>
              <w:pStyle w:val="单元格样式4"/>
            </w:pPr>
            <w:r>
              <w:t xml:space="preserve">563.33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2010805</w:t>
            </w:r>
          </w:p>
        </w:tc>
        <w:tc>
          <w:tcPr>
            <w:tcW w:w="4535" w:type="dxa"/>
            <w:vAlign w:val="center"/>
          </w:tcPr>
          <w:p>
            <w:pPr>
              <w:pStyle w:val="单元格样式2"/>
            </w:pPr>
            <w:r>
              <w:t xml:space="preserve">审计管理</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2010806</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59.36</w:t>
            </w:r>
          </w:p>
        </w:tc>
        <w:tc>
          <w:tcPr>
            <w:tcW w:w="1361" w:type="dxa"/>
            <w:vAlign w:val="center"/>
          </w:tcPr>
          <w:p>
            <w:pPr>
              <w:pStyle w:val="单元格样式4"/>
            </w:pPr>
            <w:r>
              <w:t xml:space="preserve">59.36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80.89</w:t>
            </w:r>
          </w:p>
        </w:tc>
        <w:tc>
          <w:tcPr>
            <w:tcW w:w="1361" w:type="dxa"/>
            <w:vAlign w:val="center"/>
          </w:tcPr>
          <w:p>
            <w:pPr>
              <w:pStyle w:val="单元格样式4"/>
            </w:pPr>
            <w:r>
              <w:t xml:space="preserve">80.89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80.89</w:t>
            </w:r>
          </w:p>
        </w:tc>
        <w:tc>
          <w:tcPr>
            <w:tcW w:w="1361" w:type="dxa"/>
            <w:vAlign w:val="center"/>
          </w:tcPr>
          <w:p>
            <w:pPr>
              <w:pStyle w:val="单元格样式4"/>
            </w:pPr>
            <w:r>
              <w:t xml:space="preserve">80.89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27.91</w:t>
            </w:r>
          </w:p>
        </w:tc>
        <w:tc>
          <w:tcPr>
            <w:tcW w:w="1361" w:type="dxa"/>
            <w:vAlign w:val="center"/>
          </w:tcPr>
          <w:p>
            <w:pPr>
              <w:pStyle w:val="单元格样式4"/>
            </w:pPr>
            <w:r>
              <w:t xml:space="preserve">27.91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52.98</w:t>
            </w:r>
          </w:p>
        </w:tc>
        <w:tc>
          <w:tcPr>
            <w:tcW w:w="1361" w:type="dxa"/>
            <w:vAlign w:val="center"/>
          </w:tcPr>
          <w:p>
            <w:pPr>
              <w:pStyle w:val="单元格样式4"/>
            </w:pPr>
            <w:r>
              <w:t xml:space="preserve">52.98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46.93</w:t>
            </w:r>
          </w:p>
        </w:tc>
        <w:tc>
          <w:tcPr>
            <w:tcW w:w="1361" w:type="dxa"/>
            <w:vAlign w:val="center"/>
          </w:tcPr>
          <w:p>
            <w:pPr>
              <w:pStyle w:val="单元格样式4"/>
            </w:pPr>
            <w:r>
              <w:t xml:space="preserve">46.93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763.51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576.33</w:t>
            </w:r>
          </w:p>
        </w:tc>
        <w:tc>
          <w:tcPr>
            <w:tcW w:w="1474" w:type="dxa"/>
            <w:vAlign w:val="center"/>
          </w:tcPr>
          <w:p>
            <w:pPr>
              <w:pStyle w:val="单元格样式4"/>
            </w:pPr>
            <w:r>
              <w:t xml:space="preserve">576.33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59.36</w:t>
            </w:r>
          </w:p>
        </w:tc>
        <w:tc>
          <w:tcPr>
            <w:tcW w:w="1474" w:type="dxa"/>
            <w:vAlign w:val="center"/>
          </w:tcPr>
          <w:p>
            <w:pPr>
              <w:pStyle w:val="单元格样式4"/>
            </w:pPr>
            <w:r>
              <w:t xml:space="preserve">59.36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80.89</w:t>
            </w:r>
          </w:p>
        </w:tc>
        <w:tc>
          <w:tcPr>
            <w:tcW w:w="1474" w:type="dxa"/>
            <w:vAlign w:val="center"/>
          </w:tcPr>
          <w:p>
            <w:pPr>
              <w:pStyle w:val="单元格样式4"/>
            </w:pPr>
            <w:r>
              <w:t xml:space="preserve">80.89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46.93</w:t>
            </w:r>
          </w:p>
        </w:tc>
        <w:tc>
          <w:tcPr>
            <w:tcW w:w="1474" w:type="dxa"/>
            <w:vAlign w:val="center"/>
          </w:tcPr>
          <w:p>
            <w:pPr>
              <w:pStyle w:val="单元格样式4"/>
            </w:pPr>
            <w:r>
              <w:t xml:space="preserve">46.93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763.51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763.51</w:t>
            </w:r>
          </w:p>
        </w:tc>
        <w:tc>
          <w:tcPr>
            <w:tcW w:w="1474" w:type="dxa"/>
            <w:vAlign w:val="center"/>
          </w:tcPr>
          <w:p>
            <w:pPr>
              <w:pStyle w:val="单元格样式7"/>
            </w:pPr>
            <w:r>
              <w:t xml:space="preserve">763.51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763.51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763.51</w:t>
            </w:r>
          </w:p>
        </w:tc>
        <w:tc>
          <w:tcPr>
            <w:tcW w:w="1474" w:type="dxa"/>
            <w:vAlign w:val="center"/>
          </w:tcPr>
          <w:p>
            <w:pPr>
              <w:pStyle w:val="单元格样式7"/>
            </w:pPr>
            <w:r>
              <w:t xml:space="preserve">763.51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763.51</w:t>
            </w:r>
          </w:p>
        </w:tc>
        <w:tc>
          <w:tcPr>
            <w:tcW w:w="2551" w:type="dxa"/>
            <w:vAlign w:val="center"/>
          </w:tcPr>
          <w:p>
            <w:pPr>
              <w:pStyle w:val="单元格样式7"/>
            </w:pPr>
            <w:r>
              <w:t xml:space="preserve">750.51</w:t>
            </w:r>
          </w:p>
        </w:tc>
        <w:tc>
          <w:tcPr>
            <w:tcW w:w="2551" w:type="dxa"/>
            <w:vAlign w:val="center"/>
          </w:tcPr>
          <w:p>
            <w:pPr>
              <w:pStyle w:val="单元格样式7"/>
            </w:pPr>
            <w:r>
              <w:t xml:space="preserve">13.00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576.33</w:t>
            </w:r>
          </w:p>
        </w:tc>
        <w:tc>
          <w:tcPr>
            <w:tcW w:w="2551" w:type="dxa"/>
            <w:vAlign w:val="center"/>
          </w:tcPr>
          <w:p>
            <w:pPr>
              <w:pStyle w:val="单元格样式4"/>
            </w:pPr>
            <w:r>
              <w:t xml:space="preserve">563.33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576.33</w:t>
            </w:r>
          </w:p>
        </w:tc>
        <w:tc>
          <w:tcPr>
            <w:tcW w:w="2551" w:type="dxa"/>
            <w:vAlign w:val="center"/>
          </w:tcPr>
          <w:p>
            <w:pPr>
              <w:pStyle w:val="单元格样式4"/>
            </w:pPr>
            <w:r>
              <w:t xml:space="preserve">563.33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563.33</w:t>
            </w:r>
          </w:p>
        </w:tc>
        <w:tc>
          <w:tcPr>
            <w:tcW w:w="2551" w:type="dxa"/>
            <w:vAlign w:val="center"/>
          </w:tcPr>
          <w:p>
            <w:pPr>
              <w:pStyle w:val="单元格样式4"/>
            </w:pPr>
            <w:r>
              <w:t xml:space="preserve">563.33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2010805</w:t>
            </w:r>
          </w:p>
        </w:tc>
        <w:tc>
          <w:tcPr>
            <w:tcW w:w="4535" w:type="dxa"/>
            <w:vAlign w:val="center"/>
          </w:tcPr>
          <w:p>
            <w:pPr>
              <w:pStyle w:val="单元格样式2"/>
            </w:pPr>
            <w:r>
              <w:t xml:space="preserve">审计管理</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2010806</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80.89</w:t>
            </w:r>
          </w:p>
        </w:tc>
        <w:tc>
          <w:tcPr>
            <w:tcW w:w="2551" w:type="dxa"/>
            <w:vAlign w:val="center"/>
          </w:tcPr>
          <w:p>
            <w:pPr>
              <w:pStyle w:val="单元格样式4"/>
            </w:pPr>
            <w:r>
              <w:t xml:space="preserve">80.89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80.89</w:t>
            </w:r>
          </w:p>
        </w:tc>
        <w:tc>
          <w:tcPr>
            <w:tcW w:w="2551" w:type="dxa"/>
            <w:vAlign w:val="center"/>
          </w:tcPr>
          <w:p>
            <w:pPr>
              <w:pStyle w:val="单元格样式4"/>
            </w:pPr>
            <w:r>
              <w:t xml:space="preserve">80.89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27.91</w:t>
            </w:r>
          </w:p>
        </w:tc>
        <w:tc>
          <w:tcPr>
            <w:tcW w:w="2551" w:type="dxa"/>
            <w:vAlign w:val="center"/>
          </w:tcPr>
          <w:p>
            <w:pPr>
              <w:pStyle w:val="单元格样式4"/>
            </w:pPr>
            <w:r>
              <w:t xml:space="preserve">27.91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750.51</w:t>
            </w:r>
          </w:p>
        </w:tc>
        <w:tc>
          <w:tcPr>
            <w:tcW w:w="2551" w:type="dxa"/>
            <w:vAlign w:val="center"/>
          </w:tcPr>
          <w:p>
            <w:pPr>
              <w:pStyle w:val="单元格样式7"/>
            </w:pPr>
            <w:r>
              <w:t xml:space="preserve">700.70</w:t>
            </w:r>
          </w:p>
        </w:tc>
        <w:tc>
          <w:tcPr>
            <w:tcW w:w="2551" w:type="dxa"/>
            <w:vAlign w:val="center"/>
          </w:tcPr>
          <w:p>
            <w:pPr>
              <w:pStyle w:val="单元格样式7"/>
            </w:pPr>
            <w:r>
              <w:t xml:space="preserve">49.81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629.82</w:t>
            </w:r>
          </w:p>
        </w:tc>
        <w:tc>
          <w:tcPr>
            <w:tcW w:w="2551" w:type="dxa"/>
            <w:vAlign w:val="center"/>
          </w:tcPr>
          <w:p>
            <w:pPr>
              <w:pStyle w:val="单元格样式4"/>
            </w:pPr>
            <w:r>
              <w:t xml:space="preserve">629.82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175.99</w:t>
            </w:r>
          </w:p>
        </w:tc>
        <w:tc>
          <w:tcPr>
            <w:tcW w:w="2551" w:type="dxa"/>
            <w:vAlign w:val="center"/>
          </w:tcPr>
          <w:p>
            <w:pPr>
              <w:pStyle w:val="单元格样式4"/>
            </w:pPr>
            <w:r>
              <w:t xml:space="preserve">175.99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148.79</w:t>
            </w:r>
          </w:p>
        </w:tc>
        <w:tc>
          <w:tcPr>
            <w:tcW w:w="2551" w:type="dxa"/>
            <w:vAlign w:val="center"/>
          </w:tcPr>
          <w:p>
            <w:pPr>
              <w:pStyle w:val="单元格样式4"/>
            </w:pPr>
            <w:r>
              <w:t xml:space="preserve">148.79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48.47</w:t>
            </w:r>
          </w:p>
        </w:tc>
        <w:tc>
          <w:tcPr>
            <w:tcW w:w="2551" w:type="dxa"/>
            <w:vAlign w:val="center"/>
          </w:tcPr>
          <w:p>
            <w:pPr>
              <w:pStyle w:val="单元格样式4"/>
            </w:pPr>
            <w:r>
              <w:t xml:space="preserve">48.47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66.75</w:t>
            </w:r>
          </w:p>
        </w:tc>
        <w:tc>
          <w:tcPr>
            <w:tcW w:w="2551" w:type="dxa"/>
            <w:vAlign w:val="center"/>
          </w:tcPr>
          <w:p>
            <w:pPr>
              <w:pStyle w:val="单元格样式4"/>
            </w:pPr>
            <w:r>
              <w:t xml:space="preserve">66.75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59.36</w:t>
            </w:r>
          </w:p>
        </w:tc>
        <w:tc>
          <w:tcPr>
            <w:tcW w:w="2551" w:type="dxa"/>
            <w:vAlign w:val="center"/>
          </w:tcPr>
          <w:p>
            <w:pPr>
              <w:pStyle w:val="单元格样式4"/>
            </w:pPr>
            <w:r>
              <w:t xml:space="preserve">59.36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27.91</w:t>
            </w:r>
          </w:p>
        </w:tc>
        <w:tc>
          <w:tcPr>
            <w:tcW w:w="2551" w:type="dxa"/>
            <w:vAlign w:val="center"/>
          </w:tcPr>
          <w:p>
            <w:pPr>
              <w:pStyle w:val="单元格样式4"/>
            </w:pPr>
            <w:r>
              <w:t xml:space="preserve">27.91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2.65</w:t>
            </w:r>
          </w:p>
        </w:tc>
        <w:tc>
          <w:tcPr>
            <w:tcW w:w="2551" w:type="dxa"/>
            <w:vAlign w:val="center"/>
          </w:tcPr>
          <w:p>
            <w:pPr>
              <w:pStyle w:val="单元格样式4"/>
            </w:pPr>
            <w:r>
              <w:t xml:space="preserve">2.65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46.93</w:t>
            </w:r>
          </w:p>
        </w:tc>
        <w:tc>
          <w:tcPr>
            <w:tcW w:w="2551" w:type="dxa"/>
            <w:vAlign w:val="center"/>
          </w:tcPr>
          <w:p>
            <w:pPr>
              <w:pStyle w:val="单元格样式4"/>
            </w:pPr>
            <w:r>
              <w:t xml:space="preserve">46.93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49.81</w:t>
            </w:r>
          </w:p>
        </w:tc>
        <w:tc>
          <w:tcPr>
            <w:tcW w:w="2551" w:type="dxa"/>
            <w:vAlign w:val="center"/>
          </w:tcPr>
          <w:p>
            <w:pPr>
              <w:pStyle w:val="单元格样式4"/>
            </w:pPr>
          </w:p>
        </w:tc>
        <w:tc>
          <w:tcPr>
            <w:tcW w:w="2551" w:type="dxa"/>
            <w:vAlign w:val="center"/>
          </w:tcPr>
          <w:p>
            <w:pPr>
              <w:pStyle w:val="单元格样式4"/>
            </w:pPr>
            <w:r>
              <w:t xml:space="preserve">49.81</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9.16</w:t>
            </w:r>
          </w:p>
        </w:tc>
        <w:tc>
          <w:tcPr>
            <w:tcW w:w="2551" w:type="dxa"/>
            <w:vAlign w:val="center"/>
          </w:tcPr>
          <w:p>
            <w:pPr>
              <w:pStyle w:val="单元格样式4"/>
            </w:pPr>
          </w:p>
        </w:tc>
        <w:tc>
          <w:tcPr>
            <w:tcW w:w="2551" w:type="dxa"/>
            <w:vAlign w:val="center"/>
          </w:tcPr>
          <w:p>
            <w:pPr>
              <w:pStyle w:val="单元格样式4"/>
            </w:pPr>
            <w:r>
              <w:t xml:space="preserve">9.16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14.11</w:t>
            </w:r>
          </w:p>
        </w:tc>
        <w:tc>
          <w:tcPr>
            <w:tcW w:w="2551" w:type="dxa"/>
            <w:vAlign w:val="center"/>
          </w:tcPr>
          <w:p>
            <w:pPr>
              <w:pStyle w:val="单元格样式4"/>
            </w:pPr>
          </w:p>
        </w:tc>
        <w:tc>
          <w:tcPr>
            <w:tcW w:w="2551" w:type="dxa"/>
            <w:vAlign w:val="center"/>
          </w:tcPr>
          <w:p>
            <w:pPr>
              <w:pStyle w:val="单元格样式4"/>
            </w:pPr>
            <w:r>
              <w:t xml:space="preserve">14.11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1.58</w:t>
            </w:r>
          </w:p>
        </w:tc>
        <w:tc>
          <w:tcPr>
            <w:tcW w:w="2551" w:type="dxa"/>
            <w:vAlign w:val="center"/>
          </w:tcPr>
          <w:p>
            <w:pPr>
              <w:pStyle w:val="单元格样式4"/>
            </w:pPr>
          </w:p>
        </w:tc>
        <w:tc>
          <w:tcPr>
            <w:tcW w:w="2551" w:type="dxa"/>
            <w:vAlign w:val="center"/>
          </w:tcPr>
          <w:p>
            <w:pPr>
              <w:pStyle w:val="单元格样式4"/>
            </w:pPr>
            <w:r>
              <w:t xml:space="preserve">1.58</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19.08</w:t>
            </w:r>
          </w:p>
        </w:tc>
        <w:tc>
          <w:tcPr>
            <w:tcW w:w="2551" w:type="dxa"/>
            <w:vAlign w:val="center"/>
          </w:tcPr>
          <w:p>
            <w:pPr>
              <w:pStyle w:val="单元格样式4"/>
            </w:pPr>
          </w:p>
        </w:tc>
        <w:tc>
          <w:tcPr>
            <w:tcW w:w="2551" w:type="dxa"/>
            <w:vAlign w:val="center"/>
          </w:tcPr>
          <w:p>
            <w:pPr>
              <w:pStyle w:val="单元格样式4"/>
            </w:pPr>
            <w:r>
              <w:t xml:space="preserve">19.08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70.89</w:t>
            </w:r>
          </w:p>
        </w:tc>
        <w:tc>
          <w:tcPr>
            <w:tcW w:w="2551" w:type="dxa"/>
            <w:vAlign w:val="center"/>
          </w:tcPr>
          <w:p>
            <w:pPr>
              <w:pStyle w:val="单元格样式4"/>
            </w:pPr>
            <w:r>
              <w:t xml:space="preserve">70.89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70.89</w:t>
            </w:r>
          </w:p>
        </w:tc>
        <w:tc>
          <w:tcPr>
            <w:tcW w:w="2551" w:type="dxa"/>
            <w:vAlign w:val="center"/>
          </w:tcPr>
          <w:p>
            <w:pPr>
              <w:pStyle w:val="单元格样式4"/>
            </w:pPr>
            <w:r>
              <w:t xml:space="preserve">70.89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4.00</w:t>
            </w:r>
          </w:p>
        </w:tc>
        <w:tc>
          <w:tcPr>
            <w:tcW w:w="2381" w:type="dxa"/>
            <w:vAlign w:val="center"/>
          </w:tcPr>
          <w:p>
            <w:pPr>
              <w:pStyle w:val="单元格样式7"/>
            </w:pPr>
            <w:r>
              <w:t xml:space="preserve">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审计局本级2025年单位预算信息公开情况说明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按照《中华人民共和国预算法》、《地方预决算公开操作规程》和《关于进一步推进预算公开工作的实施意见》规定，现将审计局本级2025年单位预算公开如下：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763.51万元，其中：一般公共预算收入763.51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审计局本级年度单位预算中支出预算的总体情况。2025年支出预算763.51万元，其中基本支出750.51万元，包括人员经费700.70万元和日常公用经费49.81万元；项目支出13.00万元，主要为审计专项业务费8万元,数据分析室费用2万元,审计软件维护费3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763.51万元，较2024年预算减少363.90万元，其中：基本支出增加36.10万元，主要为主要为人员经费增加34.11万元，由于人员正常调资。正常公用经费增加1.99万元。项目支出减少400.00万元，主要为审计中介业务费400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2025年，我单位机关运行经费共计安排49.81万元，主要用于日常维修、办公用房水电费、办公用房取暖费、办公用房物业管理费等日常运行支出。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4.00万元，其中因公出国（境）费0.00万元；公务用车购置及运维费4.00万元（其中：公务用车购置费为0.00万元，公务用车运维费4.00万元)；公务接待费0.00万元。与2024年相比减少0.20万元，增减变化的主要原因是减少公务接待费0.2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1、审计软件维护费绩效目标表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13020825P00026510001E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审计软件维护费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确保网络和数据安全，加强审计数据安全存储，加强审计现场计算机、电子数据和审计资料的安全保管。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0.75</w:t>
            </w:r>
          </w:p>
        </w:tc>
        <w:tc>
          <w:tcPr>
            <w:tcW w:w="2835" w:type="dxa"/>
            <w:vAlign w:val="center"/>
          </w:tcPr>
          <w:p>
            <w:pPr>
              <w:pStyle w:val="单元格样式3"/>
            </w:pPr>
            <w:r>
              <w:t xml:space="preserve">1.50</w:t>
            </w:r>
          </w:p>
        </w:tc>
        <w:tc>
          <w:tcPr>
            <w:tcW w:w="2551" w:type="dxa"/>
            <w:vAlign w:val="center"/>
          </w:tcPr>
          <w:p>
            <w:pPr>
              <w:pStyle w:val="单元格样式3"/>
            </w:pPr>
            <w:r>
              <w:t xml:space="preserve">2.25</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1.加强政府投资建设项目的审计监督，按照年度计划完成全年投资审计任务。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审计投资项目计划完成数量</w:t>
            </w:r>
          </w:p>
        </w:tc>
        <w:tc>
          <w:tcPr>
            <w:tcW w:w="5386" w:type="dxa"/>
            <w:vAlign w:val="center"/>
          </w:tcPr>
          <w:p>
            <w:pPr>
              <w:pStyle w:val="单元格样式2"/>
            </w:pPr>
            <w:r>
              <w:t xml:space="preserve">≥1个</w:t>
            </w:r>
          </w:p>
        </w:tc>
        <w:tc>
          <w:tcPr>
            <w:tcW w:w="2268" w:type="dxa"/>
            <w:vAlign w:val="center"/>
          </w:tcPr>
          <w:p>
            <w:pPr>
              <w:pStyle w:val="单元格样式2"/>
            </w:pPr>
            <w:r>
              <w:t xml:space="preserve">≥1个</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处理数据能力</w:t>
            </w:r>
          </w:p>
        </w:tc>
        <w:tc>
          <w:tcPr>
            <w:tcW w:w="5386" w:type="dxa"/>
            <w:vAlign w:val="center"/>
          </w:tcPr>
          <w:p>
            <w:pPr>
              <w:pStyle w:val="单元格样式2"/>
            </w:pPr>
            <w:r>
              <w:t xml:space="preserve">≥99%</w:t>
            </w:r>
          </w:p>
        </w:tc>
        <w:tc>
          <w:tcPr>
            <w:tcW w:w="2268" w:type="dxa"/>
            <w:vAlign w:val="center"/>
          </w:tcPr>
          <w:p>
            <w:pPr>
              <w:pStyle w:val="单元格样式2"/>
            </w:pPr>
            <w:r>
              <w:t xml:space="preserve">≥99百分比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 </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≤0.75万/每季度</w:t>
            </w:r>
          </w:p>
        </w:tc>
        <w:tc>
          <w:tcPr>
            <w:tcW w:w="2268" w:type="dxa"/>
            <w:vAlign w:val="center"/>
          </w:tcPr>
          <w:p>
            <w:pPr>
              <w:pStyle w:val="单元格样式2"/>
            </w:pPr>
            <w:r>
              <w:t xml:space="preserve">≤0.75万/每季度</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提高审计效率</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2、审计数据分析室费用绩效目标表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13020825P00020710003M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审计数据分析室费用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单位数据采集分析工作，同时完成了部分单位的电子数据采集；为提高审计工作效率，维护升级计算机。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1.通过信息化手段、运用大数据技术，实现审计全覆盖。推动审计工作全面进步整体提升。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采集一级预算单位电子数据量</w:t>
            </w:r>
          </w:p>
        </w:tc>
        <w:tc>
          <w:tcPr>
            <w:tcW w:w="5386" w:type="dxa"/>
            <w:vAlign w:val="center"/>
          </w:tcPr>
          <w:p>
            <w:pPr>
              <w:pStyle w:val="单元格样式2"/>
            </w:pPr>
            <w:r>
              <w:t xml:space="preserve">≥10个</w:t>
            </w:r>
          </w:p>
        </w:tc>
        <w:tc>
          <w:tcPr>
            <w:tcW w:w="2268" w:type="dxa"/>
            <w:vAlign w:val="center"/>
          </w:tcPr>
          <w:p>
            <w:pPr>
              <w:pStyle w:val="单元格样式2"/>
            </w:pPr>
            <w:r>
              <w:t xml:space="preserve">≥10个</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处理数据能力</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 </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≤0.5万/每季度</w:t>
            </w:r>
          </w:p>
        </w:tc>
        <w:tc>
          <w:tcPr>
            <w:tcW w:w="2268" w:type="dxa"/>
            <w:vAlign w:val="center"/>
          </w:tcPr>
          <w:p>
            <w:pPr>
              <w:pStyle w:val="单元格样式2"/>
            </w:pPr>
            <w:r>
              <w:t xml:space="preserve">≤0.5万/每季度</w:t>
            </w:r>
          </w:p>
        </w:tc>
        <w:tc>
          <w:tcPr>
            <w:tcW w:w="1276" w:type="dxa"/>
            <w:vAlign w:val="center"/>
          </w:tcPr>
          <w:p>
            <w:pPr>
              <w:pStyle w:val="单元格样式2"/>
            </w:pPr>
            <w:r>
              <w:t xml:space="preserve">行业内部要求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审计工作全面进步整体提升</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3、审计专项业务经费</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13020825P00026310002N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审计专项业务经费</w:t>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组织研究全区审计监督发展战略、规划、重大政策和改革方案，综合协调推进审计项目实施、审计结果运用等重大事项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1.依法履行区委审计委员办公室职责，组织研究全区审计监督发展战略、规划、重大政策和改革方案.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筹备区委审计委员会会议</w:t>
            </w:r>
          </w:p>
        </w:tc>
        <w:tc>
          <w:tcPr>
            <w:tcW w:w="5386" w:type="dxa"/>
            <w:vAlign w:val="center"/>
          </w:tcPr>
          <w:p>
            <w:pPr>
              <w:pStyle w:val="单元格样式2"/>
            </w:pPr>
            <w:r>
              <w:t xml:space="preserve">≥1次</w:t>
            </w:r>
          </w:p>
        </w:tc>
        <w:tc>
          <w:tcPr>
            <w:tcW w:w="2268" w:type="dxa"/>
            <w:vAlign w:val="center"/>
          </w:tcPr>
          <w:p>
            <w:pPr>
              <w:pStyle w:val="单元格样式2"/>
            </w:pPr>
            <w:r>
              <w:t xml:space="preserve">≥1次</w:t>
            </w:r>
          </w:p>
        </w:tc>
        <w:tc>
          <w:tcPr>
            <w:tcW w:w="1276" w:type="dxa"/>
            <w:vAlign w:val="center"/>
          </w:tcPr>
          <w:p>
            <w:pPr>
              <w:pStyle w:val="单元格样式2"/>
            </w:pPr>
            <w:r>
              <w:t xml:space="preserve">行业内部要求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质量控制</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w:t>
            </w:r>
          </w:p>
        </w:tc>
        <w:tc>
          <w:tcPr>
            <w:tcW w:w="5386" w:type="dxa"/>
            <w:vAlign w:val="center"/>
          </w:tcPr>
          <w:p>
            <w:pPr>
              <w:pStyle w:val="单元格样式2"/>
            </w:pPr>
            <w:r>
              <w:t xml:space="preserve">2025年底以前</w:t>
            </w:r>
          </w:p>
        </w:tc>
        <w:tc>
          <w:tcPr>
            <w:tcW w:w="2268" w:type="dxa"/>
            <w:vAlign w:val="center"/>
          </w:tcPr>
          <w:p>
            <w:pPr>
              <w:pStyle w:val="单元格样式2"/>
            </w:pPr>
            <w:r>
              <w:t xml:space="preserve">2025年底以前</w:t>
            </w:r>
          </w:p>
        </w:tc>
        <w:tc>
          <w:tcPr>
            <w:tcW w:w="1276" w:type="dxa"/>
            <w:vAlign w:val="center"/>
          </w:tcPr>
          <w:p>
            <w:pPr>
              <w:pStyle w:val="单元格样式2"/>
            </w:pPr>
            <w:r>
              <w:t xml:space="preserve">一般行业准则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w:t>
            </w:r>
          </w:p>
        </w:tc>
        <w:tc>
          <w:tcPr>
            <w:tcW w:w="5386" w:type="dxa"/>
            <w:vAlign w:val="center"/>
          </w:tcPr>
          <w:p>
            <w:pPr>
              <w:pStyle w:val="单元格样式2"/>
            </w:pPr>
            <w:r>
              <w:t xml:space="preserve">≤2万/每季度</w:t>
            </w:r>
          </w:p>
        </w:tc>
        <w:tc>
          <w:tcPr>
            <w:tcW w:w="2268" w:type="dxa"/>
            <w:vAlign w:val="center"/>
          </w:tcPr>
          <w:p>
            <w:pPr>
              <w:pStyle w:val="单元格样式2"/>
            </w:pPr>
            <w:r>
              <w:t xml:space="preserve">≤2万/每季度</w:t>
            </w:r>
          </w:p>
        </w:tc>
        <w:tc>
          <w:tcPr>
            <w:tcW w:w="1276" w:type="dxa"/>
            <w:vAlign w:val="center"/>
          </w:tcPr>
          <w:p>
            <w:pPr>
              <w:pStyle w:val="单元格样式2"/>
            </w:pPr>
            <w:r>
              <w:t xml:space="preserve">审计行业规定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落实审计发现问题整改</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行业内部要求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被审计单位满意度</w:t>
            </w:r>
          </w:p>
        </w:tc>
        <w:tc>
          <w:tcPr>
            <w:tcW w:w="5386" w:type="dxa"/>
            <w:vAlign w:val="center"/>
          </w:tcPr>
          <w:p>
            <w:pPr>
              <w:pStyle w:val="单元格样式2"/>
            </w:pPr>
            <w:r>
              <w:t xml:space="preserve">≥95%</w:t>
            </w:r>
          </w:p>
        </w:tc>
        <w:tc>
          <w:tcPr>
            <w:tcW w:w="2268" w:type="dxa"/>
            <w:vAlign w:val="center"/>
          </w:tcPr>
          <w:p>
            <w:pPr>
              <w:pStyle w:val="单元格样式2"/>
            </w:pPr>
            <w:r>
              <w:t xml:space="preserve">≥95百分比</w:t>
            </w:r>
          </w:p>
        </w:tc>
        <w:tc>
          <w:tcPr>
            <w:tcW w:w="1276" w:type="dxa"/>
            <w:vAlign w:val="center"/>
          </w:tcPr>
          <w:p>
            <w:pPr>
              <w:pStyle w:val="单元格样式2"/>
            </w:pPr>
            <w:r>
              <w:t xml:space="preserve">一般行业准则</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审计局本级上年末固定资产金额为968801.99万元（详见下表）。本年度拟购置固定资产总额为0.00万元，已按要求列入政府采购预算，详见政府采购预算表。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319001审计局本级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968801.99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397780.00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187</w:t>
            </w:r>
          </w:p>
        </w:tc>
        <w:tc>
          <w:tcPr>
            <w:tcW w:w="2835" w:type="dxa"/>
            <w:vAlign w:val="center"/>
          </w:tcPr>
          <w:p>
            <w:pPr>
              <w:pStyle w:val="单元格样式4"/>
            </w:pPr>
            <w:r>
              <w:t xml:space="preserve">571021.99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2025-02-18T14:22:43Z</dcterms:created>
  <dcterms:modified xsi:type="dcterms:W3CDTF">2025-02-18T14:22:43Z</dcterms:modified>
</cp:coreProperties>
</file>