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240" w:lineRule="atLeast"/>
        <w:rPr>
          <w:rFonts w:ascii="??_GB2312" w:hAnsi="宋体" w:cs="宋体"/>
          <w:sz w:val="32"/>
          <w:szCs w:val="32"/>
        </w:rPr>
      </w:pPr>
    </w:p>
    <w:p>
      <w:pPr>
        <w:pStyle w:val="12"/>
        <w:spacing w:line="560" w:lineRule="exact"/>
        <w:jc w:val="center"/>
        <w:rPr>
          <w:rFonts w:ascii="??_GB2312" w:hAnsi="宋体" w:cs="宋体"/>
          <w:sz w:val="32"/>
          <w:szCs w:val="32"/>
        </w:rPr>
      </w:pPr>
      <w:r>
        <w:rPr>
          <w:rFonts w:hint="eastAsia" w:ascii="??_GB2312" w:hAnsi="宋体" w:eastAsia="宋体" w:cs="宋体"/>
          <w:sz w:val="32"/>
          <w:szCs w:val="32"/>
          <w:lang w:val="en-US" w:eastAsia="zh-CN"/>
        </w:rPr>
        <w:t xml:space="preserve">                                 </w:t>
      </w:r>
      <w:r>
        <w:rPr>
          <w:rFonts w:ascii="??_GB2312" w:hAnsi="宋体" w:eastAsia="Times New Roman" w:cs="宋体"/>
          <w:sz w:val="32"/>
          <w:szCs w:val="32"/>
        </w:rPr>
        <w:t>丰审环字〔20</w:t>
      </w:r>
      <w:r>
        <w:rPr>
          <w:rFonts w:hint="eastAsia" w:ascii="??_GB2312" w:hAnsi="宋体" w:eastAsia="Times New Roman" w:cs="宋体"/>
          <w:sz w:val="32"/>
          <w:szCs w:val="32"/>
        </w:rPr>
        <w:t>2</w:t>
      </w:r>
      <w:r>
        <w:rPr>
          <w:rFonts w:hint="eastAsia" w:ascii="??_GB2312" w:hAnsi="宋体" w:eastAsia="宋体" w:cs="宋体"/>
          <w:sz w:val="32"/>
          <w:szCs w:val="32"/>
          <w:lang w:val="en-US" w:eastAsia="zh-CN"/>
        </w:rPr>
        <w:t>4</w:t>
      </w:r>
      <w:r>
        <w:rPr>
          <w:rFonts w:ascii="??_GB2312" w:hAnsi="宋体" w:eastAsia="Times New Roman" w:cs="宋体"/>
          <w:sz w:val="32"/>
          <w:szCs w:val="32"/>
        </w:rPr>
        <w:t>〕</w:t>
      </w:r>
      <w:r>
        <w:rPr>
          <w:rFonts w:hint="eastAsia" w:ascii="??_GB2312" w:hAnsi="宋体" w:eastAsia="宋体" w:cs="宋体"/>
          <w:sz w:val="32"/>
          <w:szCs w:val="32"/>
          <w:lang w:val="en-US" w:eastAsia="zh-CN"/>
        </w:rPr>
        <w:t>099</w:t>
      </w:r>
      <w:r>
        <w:rPr>
          <w:rFonts w:ascii="??_GB2312" w:hAnsi="宋体" w:eastAsia="Times New Roman" w:cs="宋体"/>
          <w:sz w:val="32"/>
          <w:szCs w:val="32"/>
        </w:rPr>
        <w:t>号</w:t>
      </w:r>
    </w:p>
    <w:p>
      <w:pPr>
        <w:pStyle w:val="12"/>
        <w:spacing w:line="560" w:lineRule="exact"/>
        <w:jc w:val="center"/>
        <w:rPr>
          <w:rFonts w:ascii="??_GB2312" w:hAnsi="宋体" w:cs="宋体"/>
          <w:sz w:val="32"/>
          <w:szCs w:val="32"/>
        </w:rPr>
      </w:pPr>
    </w:p>
    <w:p>
      <w:pPr>
        <w:pStyle w:val="12"/>
        <w:spacing w:line="560" w:lineRule="exact"/>
        <w:jc w:val="center"/>
        <w:rPr>
          <w:rFonts w:ascii="黑体" w:hAnsi="黑体" w:eastAsia="黑体" w:cs="黑体"/>
          <w:w w:val="97"/>
          <w:sz w:val="44"/>
          <w:szCs w:val="44"/>
        </w:rPr>
      </w:pPr>
      <w:r>
        <w:rPr>
          <w:rFonts w:hint="eastAsia" w:ascii="黑体" w:hAnsi="黑体" w:eastAsia="黑体" w:cs="黑体"/>
          <w:w w:val="97"/>
          <w:sz w:val="44"/>
          <w:szCs w:val="44"/>
        </w:rPr>
        <w:t>唐山市丰润区行政审批局</w:t>
      </w:r>
    </w:p>
    <w:p>
      <w:pPr>
        <w:pStyle w:val="16"/>
        <w:spacing w:line="560" w:lineRule="exact"/>
        <w:jc w:val="center"/>
        <w:rPr>
          <w:rFonts w:hint="eastAsia" w:ascii="黑体" w:hAnsi="黑体" w:eastAsia="黑体" w:cs="黑体"/>
          <w:w w:val="97"/>
          <w:sz w:val="44"/>
          <w:szCs w:val="44"/>
        </w:rPr>
      </w:pPr>
      <w:r>
        <w:rPr>
          <w:rFonts w:hint="eastAsia" w:ascii="黑体" w:hAnsi="黑体" w:eastAsia="黑体" w:cs="黑体"/>
          <w:color w:val="auto"/>
          <w:w w:val="97"/>
          <w:kern w:val="2"/>
          <w:sz w:val="44"/>
          <w:szCs w:val="44"/>
        </w:rPr>
        <w:t>关于</w:t>
      </w:r>
      <w:r>
        <w:rPr>
          <w:rFonts w:hint="eastAsia" w:ascii="黑体" w:hAnsi="黑体" w:eastAsia="黑体" w:cs="黑体"/>
          <w:color w:val="auto"/>
          <w:w w:val="97"/>
          <w:kern w:val="2"/>
          <w:sz w:val="44"/>
          <w:szCs w:val="44"/>
          <w:lang w:val="en-US" w:eastAsia="zh-CN"/>
        </w:rPr>
        <w:t>唐山爱信齿轮有限责任公司宝马新能源车电动驱动系统总成项目</w:t>
      </w:r>
      <w:r>
        <w:rPr>
          <w:rFonts w:hint="eastAsia" w:ascii="黑体" w:hAnsi="黑体" w:eastAsia="黑体" w:cs="黑体"/>
          <w:color w:val="auto"/>
          <w:w w:val="97"/>
          <w:kern w:val="2"/>
          <w:sz w:val="44"/>
          <w:szCs w:val="44"/>
        </w:rPr>
        <w:t>项目</w:t>
      </w:r>
      <w:r>
        <w:rPr>
          <w:rFonts w:hint="eastAsia" w:ascii="黑体" w:hAnsi="黑体" w:eastAsia="黑体" w:cs="黑体"/>
          <w:w w:val="97"/>
          <w:sz w:val="44"/>
          <w:szCs w:val="44"/>
        </w:rPr>
        <w:t>影响报告书</w:t>
      </w:r>
    </w:p>
    <w:p>
      <w:pPr>
        <w:pStyle w:val="16"/>
        <w:spacing w:line="560" w:lineRule="exact"/>
        <w:jc w:val="center"/>
        <w:rPr>
          <w:rFonts w:ascii="黑体" w:hAnsi="黑体" w:eastAsia="黑体" w:cs="黑体"/>
          <w:w w:val="97"/>
          <w:sz w:val="44"/>
          <w:szCs w:val="44"/>
        </w:rPr>
      </w:pPr>
      <w:r>
        <w:rPr>
          <w:rFonts w:hint="eastAsia" w:ascii="黑体" w:hAnsi="黑体" w:eastAsia="黑体" w:cs="黑体"/>
          <w:w w:val="97"/>
          <w:sz w:val="44"/>
          <w:szCs w:val="44"/>
        </w:rPr>
        <w:t>的批复</w:t>
      </w:r>
    </w:p>
    <w:p>
      <w:pPr>
        <w:spacing w:line="560" w:lineRule="exact"/>
        <w:jc w:val="center"/>
        <w:rPr>
          <w:rFonts w:ascii="宋体"/>
          <w:sz w:val="44"/>
          <w:szCs w:val="44"/>
        </w:rPr>
      </w:pPr>
    </w:p>
    <w:p>
      <w:pPr>
        <w:pStyle w:val="16"/>
        <w:spacing w:line="560" w:lineRule="exact"/>
        <w:jc w:val="both"/>
        <w:rPr>
          <w:rFonts w:ascii="仿宋" w:hAnsi="仿宋" w:eastAsia="仿宋" w:cs="仿宋"/>
          <w:bCs/>
          <w:sz w:val="32"/>
          <w:szCs w:val="32"/>
        </w:rPr>
      </w:pPr>
      <w:r>
        <w:rPr>
          <w:rFonts w:hint="eastAsia" w:ascii="仿宋" w:hAnsi="仿宋" w:eastAsia="仿宋" w:cs="仿宋"/>
          <w:bCs/>
          <w:sz w:val="32"/>
          <w:szCs w:val="32"/>
        </w:rPr>
        <w:t>唐山爱信齿轮有限责任公司：</w:t>
      </w:r>
    </w:p>
    <w:p>
      <w:pPr>
        <w:pStyle w:val="16"/>
        <w:spacing w:line="560" w:lineRule="exact"/>
        <w:rPr>
          <w:rFonts w:ascii="仿宋" w:hAnsi="仿宋" w:eastAsia="仿宋" w:cs="仿宋"/>
          <w:bCs/>
          <w:color w:val="auto"/>
          <w:kern w:val="2"/>
          <w:sz w:val="32"/>
          <w:szCs w:val="32"/>
        </w:rPr>
      </w:pPr>
      <w:r>
        <w:rPr>
          <w:rFonts w:hint="eastAsia" w:ascii="仿宋" w:hAnsi="仿宋" w:eastAsia="仿宋" w:cs="仿宋"/>
          <w:bCs/>
          <w:sz w:val="32"/>
          <w:szCs w:val="32"/>
        </w:rPr>
        <w:t xml:space="preserve">    所报《唐山爱信齿轮有限责任公司宝马新能源车电动驱动系统总成项目》（以下简称《报告书》）审批申请及相关材料收悉。根据环评报告书结论和专家评审意见，结合工程环境影响特点及公众参与调查结论，经研究，现批复如下：</w:t>
      </w:r>
    </w:p>
    <w:p>
      <w:pPr>
        <w:pStyle w:val="16"/>
        <w:spacing w:line="560" w:lineRule="exact"/>
        <w:ind w:firstLine="632" w:firstLineChars="200"/>
        <w:rPr>
          <w:rFonts w:hint="eastAsia" w:ascii="仿宋" w:hAnsi="仿宋" w:eastAsia="仿宋" w:cs="仿宋"/>
          <w:bCs/>
          <w:sz w:val="32"/>
          <w:szCs w:val="32"/>
        </w:rPr>
      </w:pPr>
      <w:r>
        <w:rPr>
          <w:rFonts w:hint="eastAsia" w:ascii="仿宋" w:hAnsi="仿宋" w:eastAsia="仿宋" w:cs="仿宋"/>
          <w:bCs/>
          <w:sz w:val="32"/>
          <w:szCs w:val="32"/>
        </w:rPr>
        <w:t>唐山爱信齿轮有限责任公司宝马新能源车电动驱动系统总成项目</w:t>
      </w:r>
      <w:r>
        <w:rPr>
          <w:rFonts w:hint="eastAsia" w:eastAsia="仿宋" w:cs="仿宋"/>
          <w:bCs/>
          <w:sz w:val="32"/>
          <w:szCs w:val="32"/>
          <w:lang w:val="en-US" w:eastAsia="zh-CN"/>
        </w:rPr>
        <w:t>位</w:t>
      </w:r>
      <w:r>
        <w:rPr>
          <w:rFonts w:hint="eastAsia" w:ascii="仿宋" w:hAnsi="仿宋" w:eastAsia="仿宋" w:cs="仿宋"/>
          <w:bCs/>
          <w:color w:val="auto"/>
          <w:kern w:val="2"/>
          <w:sz w:val="32"/>
          <w:szCs w:val="32"/>
        </w:rPr>
        <w:t>于唐山爱信齿轮有限责任公司院内原有厂房</w:t>
      </w:r>
      <w:r>
        <w:rPr>
          <w:rFonts w:ascii="仿宋" w:hAnsi="仿宋" w:eastAsia="仿宋" w:cs="仿宋"/>
          <w:bCs/>
          <w:sz w:val="32"/>
          <w:szCs w:val="32"/>
        </w:rPr>
        <w:t>，</w:t>
      </w:r>
      <w:r>
        <w:rPr>
          <w:rFonts w:hint="eastAsia" w:ascii="仿宋" w:hAnsi="仿宋" w:eastAsia="仿宋" w:cs="仿宋"/>
          <w:bCs/>
          <w:sz w:val="32"/>
          <w:szCs w:val="32"/>
        </w:rPr>
        <w:t>项目总投资160000万元，其中一期投资100000万元，二期投资60000万元。环保投资为150万元，其中一期投资138万元，二期投资12万元。项目建成后</w:t>
      </w:r>
      <w:r>
        <w:rPr>
          <w:rFonts w:hint="eastAsia" w:eastAsia="仿宋" w:cs="仿宋"/>
          <w:bCs/>
          <w:sz w:val="32"/>
          <w:szCs w:val="32"/>
          <w:lang w:val="en-US" w:eastAsia="zh-CN"/>
        </w:rPr>
        <w:t>,</w:t>
      </w:r>
      <w:r>
        <w:rPr>
          <w:rFonts w:hint="eastAsia" w:ascii="仿宋" w:hAnsi="仿宋" w:eastAsia="仿宋" w:cs="仿宋"/>
          <w:bCs/>
          <w:sz w:val="32"/>
          <w:szCs w:val="32"/>
        </w:rPr>
        <w:t>产品为电动单元(eAxle)，一期生产规模为24万台/年，二期生产规模为24万台/a。</w:t>
      </w:r>
    </w:p>
    <w:p>
      <w:pPr>
        <w:pStyle w:val="16"/>
        <w:spacing w:line="560" w:lineRule="exact"/>
        <w:ind w:firstLine="632" w:firstLineChars="200"/>
        <w:jc w:val="both"/>
        <w:rPr>
          <w:rFonts w:ascii="仿宋" w:hAnsi="仿宋" w:eastAsia="仿宋" w:cs="仿宋"/>
          <w:bCs/>
          <w:sz w:val="32"/>
          <w:szCs w:val="32"/>
        </w:rPr>
      </w:pPr>
      <w:r>
        <w:rPr>
          <w:rFonts w:hint="eastAsia" w:ascii="仿宋" w:hAnsi="仿宋" w:eastAsia="仿宋" w:cs="仿宋"/>
          <w:bCs/>
          <w:sz w:val="32"/>
          <w:szCs w:val="32"/>
        </w:rPr>
        <w:t>根据你</w:t>
      </w:r>
      <w:r>
        <w:rPr>
          <w:rFonts w:hint="eastAsia" w:eastAsia="仿宋" w:cs="仿宋"/>
          <w:bCs/>
          <w:sz w:val="32"/>
          <w:szCs w:val="32"/>
          <w:lang w:val="en-US" w:eastAsia="zh-CN"/>
        </w:rPr>
        <w:t>单位</w:t>
      </w:r>
      <w:r>
        <w:rPr>
          <w:rFonts w:hint="eastAsia" w:ascii="仿宋" w:hAnsi="仿宋" w:eastAsia="仿宋" w:cs="仿宋"/>
          <w:bCs/>
          <w:sz w:val="32"/>
          <w:szCs w:val="32"/>
        </w:rPr>
        <w:t>所报《报告书》以及报告书专家评审意见、项目公众参与意见，从环境保护角度分析，我局原则同意《报告书》结论。</w:t>
      </w:r>
    </w:p>
    <w:p>
      <w:pPr>
        <w:numPr>
          <w:ilvl w:val="0"/>
          <w:numId w:val="1"/>
        </w:numPr>
        <w:spacing w:line="560" w:lineRule="exact"/>
        <w:ind w:firstLine="640"/>
        <w:rPr>
          <w:rFonts w:ascii="仿宋" w:hAnsi="仿宋" w:eastAsia="仿宋" w:cs="仿宋"/>
          <w:bCs/>
          <w:sz w:val="32"/>
          <w:szCs w:val="32"/>
        </w:rPr>
      </w:pPr>
      <w:r>
        <w:rPr>
          <w:rFonts w:hint="eastAsia" w:ascii="仿宋" w:hAnsi="仿宋" w:eastAsia="仿宋" w:cs="仿宋"/>
          <w:bCs/>
          <w:sz w:val="32"/>
          <w:szCs w:val="32"/>
        </w:rPr>
        <w:t>你</w:t>
      </w:r>
      <w:r>
        <w:rPr>
          <w:rFonts w:hint="eastAsia" w:ascii="仿宋" w:hAnsi="仿宋" w:eastAsia="仿宋" w:cs="仿宋"/>
          <w:bCs/>
          <w:sz w:val="32"/>
          <w:szCs w:val="32"/>
          <w:lang w:val="en-US" w:eastAsia="zh-CN"/>
        </w:rPr>
        <w:t>单位</w:t>
      </w:r>
      <w:r>
        <w:rPr>
          <w:rFonts w:hint="eastAsia" w:ascii="仿宋" w:hAnsi="仿宋" w:eastAsia="仿宋" w:cs="仿宋"/>
          <w:bCs/>
          <w:sz w:val="32"/>
          <w:szCs w:val="32"/>
        </w:rPr>
        <w:t>须严格按照《报告书》所列建设项目的性质、规模、地点、生产工艺、环保措施及要求实施项目建设。</w:t>
      </w:r>
    </w:p>
    <w:p>
      <w:pPr>
        <w:numPr>
          <w:ilvl w:val="0"/>
          <w:numId w:val="1"/>
        </w:numPr>
        <w:shd w:val="clear" w:color="auto" w:fill="FFFFFF"/>
        <w:spacing w:line="560" w:lineRule="exact"/>
        <w:ind w:firstLine="640"/>
        <w:rPr>
          <w:rFonts w:ascii="仿宋" w:hAnsi="仿宋" w:eastAsia="仿宋" w:cs="仿宋"/>
          <w:bCs/>
          <w:sz w:val="32"/>
          <w:szCs w:val="32"/>
        </w:rPr>
      </w:pPr>
      <w:r>
        <w:rPr>
          <w:rFonts w:hint="eastAsia" w:ascii="仿宋" w:hAnsi="仿宋" w:eastAsia="仿宋" w:cs="仿宋"/>
          <w:bCs/>
          <w:sz w:val="32"/>
          <w:szCs w:val="32"/>
        </w:rPr>
        <w:t>项目建设和运行过程中要认真落实《报告书》及相关的各项污染防治措施，还应重点做好以下工作：</w:t>
      </w:r>
    </w:p>
    <w:p>
      <w:pPr>
        <w:pStyle w:val="14"/>
        <w:shd w:val="clear" w:color="auto" w:fill="FFFFFF"/>
        <w:spacing w:line="560" w:lineRule="exact"/>
        <w:ind w:left="420" w:firstLine="0" w:firstLineChars="0"/>
        <w:rPr>
          <w:rFonts w:ascii="仿宋" w:hAnsi="仿宋" w:eastAsia="仿宋" w:cs="仿宋"/>
          <w:bCs/>
          <w:color w:val="FF0000"/>
          <w:sz w:val="32"/>
          <w:szCs w:val="32"/>
        </w:rPr>
      </w:pPr>
      <w:r>
        <w:rPr>
          <w:rFonts w:hint="eastAsia" w:ascii="仿宋" w:hAnsi="仿宋" w:eastAsia="仿宋" w:cs="仿宋"/>
          <w:bCs/>
          <w:sz w:val="32"/>
          <w:szCs w:val="32"/>
        </w:rPr>
        <w:t>（一）严格落实水环境保护措施。</w:t>
      </w:r>
    </w:p>
    <w:p>
      <w:pPr>
        <w:snapToGrid w:val="0"/>
        <w:spacing w:line="560" w:lineRule="exact"/>
        <w:ind w:firstLine="632"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项</w:t>
      </w:r>
      <w:r>
        <w:rPr>
          <w:rFonts w:hint="eastAsia" w:ascii="仿宋" w:hAnsi="仿宋" w:eastAsia="仿宋" w:cs="仿宋"/>
          <w:bCs/>
          <w:sz w:val="32"/>
          <w:szCs w:val="32"/>
          <w:lang w:val="en-US" w:eastAsia="zh-CN"/>
        </w:rPr>
        <w:t>目生产废水进入厂内现有污水处理站生产废水处理系统处理，食堂废水经现有隔油池处理，处理后的生产废水、食堂废水与其他生活污水混合进入厂内生活污水处理系统处理后经市政污水管网排入丰润区污水处理厂。外排废水浓度满足《污水综合排放标准》（GB8978－1996）三级标准限值以及《污水排入城镇下水道水质标准》（GB/T31962-2015）的限值要求，同时满足丰润区污水处理厂进水水质要求。</w:t>
      </w:r>
    </w:p>
    <w:p>
      <w:pPr>
        <w:snapToGrid w:val="0"/>
        <w:spacing w:line="560" w:lineRule="exact"/>
        <w:ind w:firstLine="632" w:firstLineChars="200"/>
        <w:rPr>
          <w:rFonts w:ascii="仿宋" w:hAnsi="仿宋" w:eastAsia="仿宋" w:cs="仿宋"/>
          <w:bCs/>
          <w:sz w:val="32"/>
          <w:szCs w:val="32"/>
        </w:rPr>
      </w:pPr>
      <w:r>
        <w:rPr>
          <w:rFonts w:hint="eastAsia" w:ascii="仿宋" w:hAnsi="仿宋" w:eastAsia="仿宋" w:cs="仿宋"/>
          <w:bCs/>
          <w:sz w:val="32"/>
          <w:szCs w:val="32"/>
        </w:rPr>
        <w:t>（二）严格落实大气环境保护措施。</w:t>
      </w:r>
    </w:p>
    <w:p>
      <w:pPr>
        <w:adjustRightInd w:val="0"/>
        <w:snapToGrid w:val="0"/>
        <w:spacing w:line="560" w:lineRule="exact"/>
        <w:ind w:firstLine="632"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项目⑴有机废气：滴漆固化、硅胶涂敷、树脂灌封固化设备密闭，废气经集气管道引入 1 套沸石吸附/脱附+催化燃烧装置处理后经 19m 排气筒排放，非甲烷总烃排放浓度满足《工业企业挥发性有机物排放控制标准》（DB 13/ 2322-2016）表 1 交通运输设备制造业（汽车制造企业有机废气排放口）非甲烷总烃排放浓度限值 50mg/m3，最低去除效率70%的要求，同时满足《重污染天气重点行业应急减排措施制定技术指南》（2020 年修订版）中工业涂装业B级限值要求。根据《汽车工业污染防治可行技术指南》（HJ 1181-2021），项目有机废气采用沸石吸附/脱附+催化燃烧装置，属于推荐的可行技术。处理措施可行。⑵热处理废气：热处理生产线产生的油雾经集气管引入 1 套阻火型防爆除尘器（现有）处理后经排气筒排放。油雾的排放浓度满足《钢铁工业大气污染物超低排放标准》（DB13/2169-2018）表 4 中油雾排放限值要求，即 20mg/m3。非甲烷总烃排放浓度满足《工业企业挥发性有机物排放控制标准》（DB 13/ 2322-2016）表 1 交通运输设备制造业（汽车制造企业有机废气排放口）非甲烷总烃排放浓度限值 50mg/m3，最低去除效率 70%的要求。</w:t>
      </w:r>
    </w:p>
    <w:p>
      <w:pPr>
        <w:adjustRightInd w:val="0"/>
        <w:snapToGrid w:val="0"/>
        <w:spacing w:line="560" w:lineRule="exact"/>
        <w:ind w:firstLine="632"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⑶打砂机颗粒物：打砂机密闭，设备上方设置收尘管道将废气引入旋风除尘器+湿式除尘器净化后经排气筒排放，共3套。颗粒物排放浓度满足《钢铁工业大气污染物超低排放标准》（DB13/2169-2018）表1中10mg/m3限值要求。根据现有工程的检测结果，打砂废气能够达标排放。</w:t>
      </w:r>
    </w:p>
    <w:p>
      <w:pPr>
        <w:adjustRightInd w:val="0"/>
        <w:snapToGrid w:val="0"/>
        <w:spacing w:line="560" w:lineRule="exact"/>
        <w:ind w:firstLine="632" w:firstLineChars="200"/>
        <w:rPr>
          <w:rFonts w:ascii="仿宋" w:hAnsi="仿宋" w:eastAsia="仿宋" w:cs="仿宋"/>
          <w:bCs/>
          <w:sz w:val="32"/>
          <w:szCs w:val="32"/>
        </w:rPr>
      </w:pPr>
      <w:r>
        <w:rPr>
          <w:rFonts w:hint="eastAsia" w:ascii="仿宋" w:hAnsi="仿宋" w:eastAsia="仿宋" w:cs="仿宋"/>
          <w:bCs/>
          <w:sz w:val="32"/>
          <w:szCs w:val="32"/>
        </w:rPr>
        <w:t>（三）严格落实噪声污染防治措施。</w:t>
      </w:r>
    </w:p>
    <w:p>
      <w:pPr>
        <w:adjustRightInd w:val="0"/>
        <w:snapToGrid w:val="0"/>
        <w:spacing w:line="560" w:lineRule="exact"/>
        <w:ind w:firstLine="632"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项目</w:t>
      </w:r>
      <w:r>
        <w:rPr>
          <w:rFonts w:hint="eastAsia" w:ascii="仿宋" w:hAnsi="仿宋" w:eastAsia="仿宋" w:cs="仿宋"/>
          <w:bCs/>
          <w:sz w:val="32"/>
          <w:szCs w:val="32"/>
          <w:lang w:val="en-US" w:eastAsia="zh-CN"/>
        </w:rPr>
        <w:t>主要噪声源为成型机、插入机、扩张机、拧弯机、清洗机、数控车床、滚齿机、磨床、打砂机等，在噪声控制方面采用低噪声设备，其次是采用减振、隔声等降噪措施。四周厂界满足《工业企业厂界环境噪声排放标准》(GBl2348-2008)3类区限值要求。项目噪声对敏感点声环境影响较小。</w:t>
      </w:r>
    </w:p>
    <w:p>
      <w:pPr>
        <w:adjustRightInd w:val="0"/>
        <w:snapToGrid w:val="0"/>
        <w:spacing w:line="560" w:lineRule="exact"/>
        <w:ind w:firstLine="632" w:firstLineChars="200"/>
        <w:rPr>
          <w:rFonts w:ascii="仿宋" w:hAnsi="仿宋" w:eastAsia="仿宋" w:cs="仿宋"/>
          <w:bCs/>
          <w:sz w:val="32"/>
          <w:szCs w:val="32"/>
        </w:rPr>
      </w:pPr>
      <w:r>
        <w:rPr>
          <w:rFonts w:hint="eastAsia" w:ascii="仿宋" w:hAnsi="仿宋" w:eastAsia="仿宋" w:cs="仿宋"/>
          <w:bCs/>
          <w:sz w:val="32"/>
          <w:szCs w:val="32"/>
        </w:rPr>
        <w:t>（四）严格落实固体废物污染防治措施。</w:t>
      </w:r>
    </w:p>
    <w:p>
      <w:pPr>
        <w:adjustRightInd w:val="0"/>
        <w:snapToGrid w:val="0"/>
        <w:spacing w:line="560" w:lineRule="exact"/>
        <w:ind w:firstLine="632"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项目</w:t>
      </w:r>
      <w:r>
        <w:rPr>
          <w:rFonts w:hint="eastAsia" w:ascii="仿宋" w:hAnsi="仿宋" w:eastAsia="仿宋" w:cs="仿宋"/>
          <w:bCs/>
          <w:sz w:val="32"/>
          <w:szCs w:val="32"/>
          <w:lang w:val="en-US" w:eastAsia="zh-CN"/>
        </w:rPr>
        <w:t>一般工业固废主要包括线圈成型产生的废线缆皮、废铜线，绝缘纸成型产生的废绝缘纸，废标签纸，机加工产生的下脚料及不含油金属屑，废纸板、塑料袋等废包装材料，各生产线产生的不合格品，焊烟净化器产生的废滤筒，除尘灰。一般工业固废厂内固废场暂存，定期外售废品站。</w:t>
      </w:r>
    </w:p>
    <w:p>
      <w:pPr>
        <w:adjustRightInd w:val="0"/>
        <w:snapToGrid w:val="0"/>
        <w:spacing w:line="560" w:lineRule="exact"/>
        <w:ind w:firstLine="632"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危险废物主要包括生产过程中产生的废硅胶桶、废绝缘漆桶、废树脂桶、废填缝剂桶，废胶桶；废矿物油、砂轮泥、废油桶、含油金属屑（沾染切削液）、含油污泥、废含油棉丝手套、废沸石、废催化剂、废蓄电池。废绝缘漆桶等包装桶、废油桶加盖密闭，废矿物油、砂轮泥、含油金属屑、含油污泥、废蓄电池采用专用容器储存，暂存于厂内现有危废库内；含油金属屑经过滤除油达到静置无滴漏后打包压块用于金属冶炼。其余危废定期交有资质单位处理。废沸石、废催化剂由厂家更换，直接交有资质单位处理，不在厂内暂存。生活垃圾集中收集，装袋交环卫部门统一处理，废油脂交正规单位处理。</w:t>
      </w:r>
    </w:p>
    <w:p>
      <w:pPr>
        <w:adjustRightInd w:val="0"/>
        <w:snapToGrid w:val="0"/>
        <w:spacing w:line="560" w:lineRule="exact"/>
        <w:ind w:firstLine="632" w:firstLineChars="200"/>
        <w:rPr>
          <w:rFonts w:ascii="仿宋" w:hAnsi="仿宋" w:eastAsia="仿宋" w:cs="仿宋"/>
          <w:sz w:val="32"/>
        </w:rPr>
      </w:pPr>
      <w:r>
        <w:rPr>
          <w:rFonts w:hint="eastAsia" w:ascii="仿宋" w:hAnsi="仿宋" w:eastAsia="仿宋" w:cs="仿宋"/>
          <w:bCs/>
          <w:sz w:val="32"/>
          <w:szCs w:val="32"/>
          <w:lang w:val="en-US" w:eastAsia="zh-CN"/>
        </w:rPr>
        <w:t>经采取上述措施后，项目所产固体废物均得到了妥善处置，不会对周围环境产生影响。措施可行。</w:t>
      </w:r>
    </w:p>
    <w:p>
      <w:pPr>
        <w:autoSpaceDE w:val="0"/>
        <w:autoSpaceDN w:val="0"/>
        <w:adjustRightInd w:val="0"/>
        <w:snapToGrid w:val="0"/>
        <w:spacing w:line="560" w:lineRule="exact"/>
        <w:ind w:firstLine="632" w:firstLineChars="200"/>
        <w:rPr>
          <w:rFonts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、严格落实各项建设项目环境管理要求。</w:t>
      </w:r>
    </w:p>
    <w:p>
      <w:pPr>
        <w:autoSpaceDE w:val="0"/>
        <w:autoSpaceDN w:val="0"/>
        <w:adjustRightInd w:val="0"/>
        <w:snapToGrid w:val="0"/>
        <w:spacing w:line="560" w:lineRule="exact"/>
        <w:ind w:firstLine="310" w:firstLineChars="98"/>
        <w:rPr>
          <w:rFonts w:ascii="仿宋" w:hAnsi="仿宋" w:eastAsia="仿宋" w:cs="仿宋"/>
          <w:sz w:val="32"/>
          <w:szCs w:val="32"/>
        </w:rPr>
      </w:pPr>
      <w:r>
        <w:rPr>
          <w:rFonts w:hint="eastAsia" w:ascii="仿宋" w:hAnsi="仿宋" w:eastAsia="仿宋" w:cs="仿宋"/>
          <w:sz w:val="32"/>
          <w:szCs w:val="32"/>
        </w:rPr>
        <w:t>（一）建立内部生态环境管理机构和制度，明确人员和生态环境保护职责。项目实施必须严格执行环境保护设施与主体工程同时设计、同时施工、同时投产使用的“三同时”制度。</w:t>
      </w:r>
    </w:p>
    <w:p>
      <w:pPr>
        <w:autoSpaceDE w:val="0"/>
        <w:autoSpaceDN w:val="0"/>
        <w:adjustRightInd w:val="0"/>
        <w:snapToGrid w:val="0"/>
        <w:spacing w:line="560" w:lineRule="exact"/>
        <w:ind w:firstLine="310" w:firstLineChars="98"/>
        <w:rPr>
          <w:rFonts w:ascii="仿宋" w:hAnsi="仿宋" w:eastAsia="仿宋" w:cs="仿宋"/>
          <w:sz w:val="32"/>
          <w:szCs w:val="32"/>
        </w:rPr>
      </w:pPr>
      <w:r>
        <w:rPr>
          <w:rFonts w:hint="eastAsia" w:ascii="仿宋" w:hAnsi="仿宋" w:eastAsia="仿宋" w:cs="仿宋"/>
          <w:sz w:val="32"/>
          <w:szCs w:val="32"/>
        </w:rPr>
        <w:t>（二）环境影响报告书经批准后，项目的性质、规模、地点或者防治污染、防止生态破坏的措施发生重大变动的，应当重新报批该项目的环境影响报告书。自环境影响报告书批复文件批准之日起，如超过</w:t>
      </w:r>
      <w:r>
        <w:rPr>
          <w:rFonts w:ascii="仿宋" w:hAnsi="仿宋" w:eastAsia="仿宋" w:cs="仿宋"/>
          <w:sz w:val="32"/>
          <w:szCs w:val="32"/>
        </w:rPr>
        <w:t>5</w:t>
      </w:r>
      <w:r>
        <w:rPr>
          <w:rFonts w:hint="eastAsia" w:ascii="仿宋" w:hAnsi="仿宋" w:eastAsia="仿宋" w:cs="仿宋"/>
          <w:sz w:val="32"/>
          <w:szCs w:val="32"/>
        </w:rPr>
        <w:t>年方决定工程开工建设的，环境影响报告书应当报我局重新审核。</w:t>
      </w:r>
    </w:p>
    <w:p>
      <w:pPr>
        <w:autoSpaceDE w:val="0"/>
        <w:autoSpaceDN w:val="0"/>
        <w:adjustRightInd w:val="0"/>
        <w:snapToGrid w:val="0"/>
        <w:spacing w:line="560" w:lineRule="exact"/>
        <w:ind w:firstLine="632" w:firstLineChars="200"/>
        <w:rPr>
          <w:rFonts w:ascii="仿宋" w:hAnsi="仿宋" w:eastAsia="仿宋" w:cs="仿宋"/>
          <w:sz w:val="32"/>
          <w:szCs w:val="32"/>
        </w:rPr>
      </w:pPr>
      <w:r>
        <w:rPr>
          <w:rFonts w:hint="eastAsia" w:ascii="仿宋" w:hAnsi="仿宋" w:eastAsia="仿宋" w:cs="仿宋"/>
          <w:sz w:val="32"/>
          <w:szCs w:val="32"/>
          <w:lang w:eastAsia="zh-CN"/>
        </w:rPr>
        <w:t>四</w:t>
      </w:r>
      <w:bookmarkStart w:id="0" w:name="_GoBack"/>
      <w:bookmarkEnd w:id="0"/>
      <w:r>
        <w:rPr>
          <w:rFonts w:hint="eastAsia" w:ascii="仿宋" w:hAnsi="仿宋" w:eastAsia="仿宋" w:cs="仿宋"/>
          <w:sz w:val="32"/>
          <w:szCs w:val="32"/>
        </w:rPr>
        <w:t>、建设单位需依法依规向社会公开相关环境信息，建立与公众信息沟通和意见反馈机制，履行好社会责任和环境责任。</w:t>
      </w:r>
    </w:p>
    <w:p>
      <w:pPr>
        <w:spacing w:line="560" w:lineRule="exact"/>
        <w:ind w:firstLine="5056" w:firstLineChars="1600"/>
        <w:jc w:val="left"/>
        <w:rPr>
          <w:rFonts w:ascii="仿宋" w:hAnsi="仿宋" w:eastAsia="仿宋" w:cs="宋体"/>
          <w:sz w:val="32"/>
          <w:szCs w:val="32"/>
        </w:rPr>
      </w:pPr>
    </w:p>
    <w:p>
      <w:pPr>
        <w:spacing w:line="560" w:lineRule="exact"/>
        <w:ind w:firstLine="5056" w:firstLineChars="1600"/>
        <w:jc w:val="left"/>
        <w:rPr>
          <w:rFonts w:ascii="仿宋" w:hAnsi="仿宋" w:eastAsia="仿宋" w:cs="??_GB2312"/>
          <w:sz w:val="32"/>
          <w:szCs w:val="32"/>
        </w:rPr>
      </w:pPr>
      <w:r>
        <w:rPr>
          <w:rFonts w:hint="eastAsia" w:ascii="仿宋" w:hAnsi="仿宋" w:eastAsia="仿宋" w:cs="宋体"/>
          <w:sz w:val="32"/>
          <w:szCs w:val="32"/>
        </w:rPr>
        <w:t>唐山市丰润区行政审批局</w:t>
      </w:r>
    </w:p>
    <w:p>
      <w:pPr>
        <w:spacing w:line="560" w:lineRule="exact"/>
        <w:ind w:firstLine="5448" w:firstLineChars="1724"/>
        <w:jc w:val="left"/>
        <w:rPr>
          <w:rFonts w:ascii="仿宋" w:hAnsi="仿宋" w:eastAsia="仿宋" w:cs="宋体"/>
          <w:sz w:val="32"/>
          <w:szCs w:val="32"/>
        </w:rPr>
      </w:pPr>
      <w:r>
        <w:rPr>
          <w:rFonts w:hint="eastAsia" w:ascii="仿宋" w:hAnsi="仿宋" w:eastAsia="仿宋" w:cs="??_GB2312"/>
          <w:sz w:val="32"/>
          <w:szCs w:val="32"/>
        </w:rPr>
        <w:t>20</w:t>
      </w:r>
      <w:r>
        <w:rPr>
          <w:rFonts w:hint="eastAsia" w:ascii="仿宋" w:hAnsi="仿宋" w:eastAsia="仿宋" w:cs="??_GB2312"/>
          <w:sz w:val="32"/>
          <w:szCs w:val="32"/>
          <w:lang w:val="en-US" w:eastAsia="zh-CN"/>
        </w:rPr>
        <w:t>24</w:t>
      </w:r>
      <w:r>
        <w:rPr>
          <w:rFonts w:hint="eastAsia" w:ascii="仿宋" w:hAnsi="仿宋" w:eastAsia="仿宋" w:cs="宋体"/>
          <w:sz w:val="32"/>
          <w:szCs w:val="32"/>
        </w:rPr>
        <w:t>年</w:t>
      </w:r>
      <w:r>
        <w:rPr>
          <w:rFonts w:hint="eastAsia" w:ascii="仿宋" w:hAnsi="仿宋" w:eastAsia="仿宋" w:cs="??_GB2312"/>
          <w:sz w:val="32"/>
          <w:szCs w:val="32"/>
          <w:lang w:val="en-US" w:eastAsia="zh-CN"/>
        </w:rPr>
        <w:t>10</w:t>
      </w:r>
      <w:r>
        <w:rPr>
          <w:rFonts w:hint="eastAsia" w:ascii="仿宋" w:hAnsi="仿宋" w:eastAsia="仿宋" w:cs="宋体"/>
          <w:sz w:val="32"/>
          <w:szCs w:val="32"/>
        </w:rPr>
        <w:t>月</w:t>
      </w:r>
      <w:r>
        <w:rPr>
          <w:rFonts w:hint="eastAsia" w:ascii="仿宋" w:hAnsi="仿宋" w:eastAsia="仿宋" w:cs="??_GB2312"/>
          <w:sz w:val="32"/>
          <w:szCs w:val="32"/>
          <w:lang w:val="en-US" w:eastAsia="zh-CN"/>
        </w:rPr>
        <w:t>9</w:t>
      </w:r>
      <w:r>
        <w:rPr>
          <w:rFonts w:hint="eastAsia" w:ascii="仿宋" w:hAnsi="仿宋" w:eastAsia="仿宋" w:cs="宋体"/>
          <w:sz w:val="32"/>
          <w:szCs w:val="32"/>
        </w:rPr>
        <w:t>日</w:t>
      </w:r>
    </w:p>
    <w:p>
      <w:pPr>
        <w:spacing w:line="560" w:lineRule="exact"/>
        <w:ind w:firstLine="5132" w:firstLineChars="1624"/>
        <w:jc w:val="left"/>
        <w:rPr>
          <w:rFonts w:ascii="仿宋" w:hAnsi="仿宋" w:eastAsia="仿宋" w:cs="宋体"/>
          <w:sz w:val="32"/>
          <w:szCs w:val="32"/>
        </w:rPr>
      </w:pPr>
    </w:p>
    <w:p>
      <w:pPr>
        <w:spacing w:line="560" w:lineRule="exact"/>
        <w:ind w:firstLine="5132" w:firstLineChars="1624"/>
        <w:jc w:val="left"/>
        <w:rPr>
          <w:rFonts w:ascii="仿宋" w:hAnsi="仿宋" w:eastAsia="仿宋" w:cs="宋体"/>
          <w:sz w:val="32"/>
          <w:szCs w:val="32"/>
        </w:rPr>
      </w:pPr>
    </w:p>
    <w:p>
      <w:pPr>
        <w:spacing w:line="560" w:lineRule="exact"/>
        <w:jc w:val="left"/>
        <w:rPr>
          <w:rFonts w:ascii="仿宋" w:hAnsi="仿宋" w:eastAsia="仿宋" w:cs="宋体"/>
          <w:sz w:val="32"/>
          <w:szCs w:val="32"/>
        </w:rPr>
      </w:pPr>
    </w:p>
    <w:p>
      <w:pPr>
        <w:shd w:val="clear" w:color="auto" w:fill="FFFFFF"/>
        <w:spacing w:line="560" w:lineRule="exact"/>
      </w:pPr>
    </w:p>
    <w:sectPr>
      <w:headerReference r:id="rId4" w:type="first"/>
      <w:headerReference r:id="rId3" w:type="default"/>
      <w:footerReference r:id="rId5" w:type="default"/>
      <w:footerReference r:id="rId6" w:type="even"/>
      <w:pgSz w:w="11906" w:h="16838"/>
      <w:pgMar w:top="2098" w:right="1474" w:bottom="1701"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swiss"/>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ascii="仿宋" w:hAnsi="仿宋" w:eastAsia="仿宋"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ODA5ZGY1NWEyNjQwZDYwMjU3ZGM4MWE2ZTI0NzgifQ=="/>
  </w:docVars>
  <w:rsids>
    <w:rsidRoot w:val="0094368F"/>
    <w:rsid w:val="0001150D"/>
    <w:rsid w:val="000C5FA1"/>
    <w:rsid w:val="000D25A6"/>
    <w:rsid w:val="00117E6B"/>
    <w:rsid w:val="001366BE"/>
    <w:rsid w:val="0015094F"/>
    <w:rsid w:val="00161145"/>
    <w:rsid w:val="00183760"/>
    <w:rsid w:val="00187F89"/>
    <w:rsid w:val="001C111A"/>
    <w:rsid w:val="001D0EB8"/>
    <w:rsid w:val="00217D44"/>
    <w:rsid w:val="00227126"/>
    <w:rsid w:val="00235F98"/>
    <w:rsid w:val="00237294"/>
    <w:rsid w:val="00237C21"/>
    <w:rsid w:val="00292CAA"/>
    <w:rsid w:val="002B6EA3"/>
    <w:rsid w:val="0033384C"/>
    <w:rsid w:val="00344BC3"/>
    <w:rsid w:val="00351E37"/>
    <w:rsid w:val="00364B4D"/>
    <w:rsid w:val="00371364"/>
    <w:rsid w:val="003754F5"/>
    <w:rsid w:val="003A18CD"/>
    <w:rsid w:val="003A38FC"/>
    <w:rsid w:val="003A7179"/>
    <w:rsid w:val="003B3C65"/>
    <w:rsid w:val="003B4040"/>
    <w:rsid w:val="003C0E01"/>
    <w:rsid w:val="003D467F"/>
    <w:rsid w:val="003F165A"/>
    <w:rsid w:val="00456B45"/>
    <w:rsid w:val="00460429"/>
    <w:rsid w:val="004912E6"/>
    <w:rsid w:val="00496843"/>
    <w:rsid w:val="004A1B73"/>
    <w:rsid w:val="004B5ADE"/>
    <w:rsid w:val="004F3424"/>
    <w:rsid w:val="00512C1D"/>
    <w:rsid w:val="005377D5"/>
    <w:rsid w:val="0056665F"/>
    <w:rsid w:val="00572704"/>
    <w:rsid w:val="005867E8"/>
    <w:rsid w:val="00590A19"/>
    <w:rsid w:val="005B09F9"/>
    <w:rsid w:val="005C1035"/>
    <w:rsid w:val="00635458"/>
    <w:rsid w:val="00646C74"/>
    <w:rsid w:val="00651623"/>
    <w:rsid w:val="0067654E"/>
    <w:rsid w:val="00681D2A"/>
    <w:rsid w:val="00687175"/>
    <w:rsid w:val="006A101B"/>
    <w:rsid w:val="006D50B4"/>
    <w:rsid w:val="006E0CFF"/>
    <w:rsid w:val="0072092A"/>
    <w:rsid w:val="00750576"/>
    <w:rsid w:val="00790FC6"/>
    <w:rsid w:val="007C0D9F"/>
    <w:rsid w:val="007C3685"/>
    <w:rsid w:val="00800C06"/>
    <w:rsid w:val="00856AFF"/>
    <w:rsid w:val="0087572C"/>
    <w:rsid w:val="008A02AF"/>
    <w:rsid w:val="008A3371"/>
    <w:rsid w:val="008F52BF"/>
    <w:rsid w:val="009318A5"/>
    <w:rsid w:val="0094368F"/>
    <w:rsid w:val="00964D84"/>
    <w:rsid w:val="009C2A6D"/>
    <w:rsid w:val="00A1303A"/>
    <w:rsid w:val="00A273E6"/>
    <w:rsid w:val="00A60361"/>
    <w:rsid w:val="00A70F74"/>
    <w:rsid w:val="00AB3E13"/>
    <w:rsid w:val="00AF42DE"/>
    <w:rsid w:val="00B51895"/>
    <w:rsid w:val="00B53C13"/>
    <w:rsid w:val="00B81797"/>
    <w:rsid w:val="00BA6728"/>
    <w:rsid w:val="00BC6F4D"/>
    <w:rsid w:val="00BD5352"/>
    <w:rsid w:val="00BF1C7F"/>
    <w:rsid w:val="00C2117E"/>
    <w:rsid w:val="00C23068"/>
    <w:rsid w:val="00C36A85"/>
    <w:rsid w:val="00C91B67"/>
    <w:rsid w:val="00CA1549"/>
    <w:rsid w:val="00CA58C8"/>
    <w:rsid w:val="00CB6421"/>
    <w:rsid w:val="00CC0AA0"/>
    <w:rsid w:val="00CC66A4"/>
    <w:rsid w:val="00CC7C72"/>
    <w:rsid w:val="00CE0434"/>
    <w:rsid w:val="00CE1B6C"/>
    <w:rsid w:val="00CF6C89"/>
    <w:rsid w:val="00D024FA"/>
    <w:rsid w:val="00D22FF3"/>
    <w:rsid w:val="00D52FBE"/>
    <w:rsid w:val="00D6746F"/>
    <w:rsid w:val="00D81A9E"/>
    <w:rsid w:val="00D95C62"/>
    <w:rsid w:val="00DA6C31"/>
    <w:rsid w:val="00DC01D1"/>
    <w:rsid w:val="00DF321F"/>
    <w:rsid w:val="00DF35FA"/>
    <w:rsid w:val="00DF68FA"/>
    <w:rsid w:val="00E811D3"/>
    <w:rsid w:val="00E86804"/>
    <w:rsid w:val="00E916CC"/>
    <w:rsid w:val="00EA54E9"/>
    <w:rsid w:val="00EB7BE1"/>
    <w:rsid w:val="00EE7A45"/>
    <w:rsid w:val="00F10E29"/>
    <w:rsid w:val="00F15D08"/>
    <w:rsid w:val="00F1711C"/>
    <w:rsid w:val="00F17C82"/>
    <w:rsid w:val="00F250D6"/>
    <w:rsid w:val="00F326C5"/>
    <w:rsid w:val="00F371A6"/>
    <w:rsid w:val="00F51FEC"/>
    <w:rsid w:val="00F625E7"/>
    <w:rsid w:val="00F77C2C"/>
    <w:rsid w:val="00FA2A75"/>
    <w:rsid w:val="064F412D"/>
    <w:rsid w:val="12D83A62"/>
    <w:rsid w:val="1AF312F6"/>
    <w:rsid w:val="1B5152D0"/>
    <w:rsid w:val="46BB51AC"/>
    <w:rsid w:val="48A71E8C"/>
    <w:rsid w:val="50D80F8E"/>
    <w:rsid w:val="5C4B7EE0"/>
    <w:rsid w:val="5D6B74D4"/>
    <w:rsid w:val="62F67840"/>
    <w:rsid w:val="6B7F1633"/>
    <w:rsid w:val="6F9C09FA"/>
    <w:rsid w:val="7A60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sz w:val="18"/>
      <w:szCs w:val="18"/>
    </w:rPr>
  </w:style>
  <w:style w:type="character" w:customStyle="1" w:styleId="9">
    <w:name w:val="页脚 Char"/>
    <w:basedOn w:val="7"/>
    <w:link w:val="4"/>
    <w:qFormat/>
    <w:uiPriority w:val="0"/>
    <w:rPr>
      <w:sz w:val="18"/>
      <w:szCs w:val="18"/>
    </w:rPr>
  </w:style>
  <w:style w:type="character" w:customStyle="1" w:styleId="10">
    <w:name w:val="标题 2 Char"/>
    <w:basedOn w:val="7"/>
    <w:link w:val="2"/>
    <w:uiPriority w:val="0"/>
    <w:rPr>
      <w:rFonts w:asciiTheme="majorHAnsi" w:hAnsiTheme="majorHAnsi" w:eastAsiaTheme="majorEastAsia" w:cstheme="majorBidi"/>
      <w:b/>
      <w:bCs/>
      <w:sz w:val="32"/>
      <w:szCs w:val="32"/>
    </w:rPr>
  </w:style>
  <w:style w:type="character" w:customStyle="1" w:styleId="11">
    <w:name w:val="纯文本 Char"/>
    <w:link w:val="12"/>
    <w:qFormat/>
    <w:uiPriority w:val="0"/>
    <w:rPr>
      <w:rFonts w:ascii="宋体" w:hAnsi="Courier New" w:cs="Courier New"/>
      <w:szCs w:val="21"/>
    </w:rPr>
  </w:style>
  <w:style w:type="paragraph" w:customStyle="1" w:styleId="12">
    <w:name w:val="纯文本1"/>
    <w:basedOn w:val="1"/>
    <w:link w:val="11"/>
    <w:qFormat/>
    <w:uiPriority w:val="0"/>
    <w:rPr>
      <w:rFonts w:ascii="宋体" w:hAnsi="Courier New" w:cs="Courier New" w:eastAsiaTheme="minorEastAsia"/>
      <w:szCs w:val="21"/>
    </w:rPr>
  </w:style>
  <w:style w:type="character" w:customStyle="1" w:styleId="13">
    <w:name w:val="页码1"/>
    <w:uiPriority w:val="0"/>
    <w:rPr>
      <w:rFonts w:cs="Times New Roman"/>
    </w:rPr>
  </w:style>
  <w:style w:type="paragraph" w:customStyle="1" w:styleId="14">
    <w:name w:val="列出段落1"/>
    <w:basedOn w:val="1"/>
    <w:qFormat/>
    <w:uiPriority w:val="0"/>
    <w:pPr>
      <w:ind w:firstLine="420" w:firstLineChars="200"/>
    </w:pPr>
  </w:style>
  <w:style w:type="paragraph" w:customStyle="1" w:styleId="15">
    <w:name w:val="文本块1"/>
    <w:basedOn w:val="1"/>
    <w:uiPriority w:val="0"/>
    <w:pPr>
      <w:ind w:left="1440" w:leftChars="700" w:right="700" w:rightChars="700"/>
    </w:pPr>
  </w:style>
  <w:style w:type="paragraph" w:customStyle="1" w:styleId="16">
    <w:name w:val="Defaul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 w:type="character" w:customStyle="1" w:styleId="17">
    <w:name w:val="日期 Char"/>
    <w:basedOn w:val="7"/>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1577</Words>
  <Characters>1607</Characters>
  <Lines>12</Lines>
  <Paragraphs>3</Paragraphs>
  <TotalTime>38</TotalTime>
  <ScaleCrop>false</ScaleCrop>
  <LinksUpToDate>false</LinksUpToDate>
  <CharactersWithSpaces>1626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2020-11-05T08:55:00Z</dcterms:created>
  <dc:creator>NTKO</dc:creator>
  <cp:lastModifiedBy>Administrator</cp:lastModifiedBy>
  <cp:lastPrinted>2020-06-15T07:44:00Z</cp:lastPrinted>
  <dcterms:modified xsi:type="dcterms:W3CDTF">2024-10-09T01:25:08Z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EB9E811C5FCF4BE385D44A42F7E35F27</vt:lpwstr>
  </property>
</Properties>
</file>