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4624" w14:textId="77777777" w:rsidR="003C1DE2" w:rsidRDefault="00000000">
      <w:pPr>
        <w:widowControl/>
        <w:jc w:val="center"/>
        <w:rPr>
          <w:rFonts w:ascii="方正楷体_GBK" w:hAnsi="方正楷体_GBK" w:hint="eastAsia"/>
          <w:b/>
          <w:bCs/>
          <w:sz w:val="44"/>
          <w:szCs w:val="44"/>
        </w:rPr>
      </w:pPr>
      <w:r>
        <w:rPr>
          <w:rFonts w:ascii="方正楷体_GBK" w:hAnsi="方正楷体_GBK" w:hint="eastAsia"/>
          <w:b/>
          <w:bCs/>
          <w:sz w:val="44"/>
          <w:szCs w:val="44"/>
        </w:rPr>
        <w:t>区委部门</w:t>
      </w:r>
    </w:p>
    <w:p w14:paraId="1CBB8FD9" w14:textId="77777777" w:rsidR="003C1DE2" w:rsidRDefault="00000000">
      <w:pPr>
        <w:widowControl/>
        <w:jc w:val="center"/>
        <w:rPr>
          <w:rFonts w:ascii="方正楷体_GBK" w:hAnsi="方正楷体_GBK" w:hint="eastAsia"/>
          <w:b/>
          <w:bCs/>
          <w:sz w:val="44"/>
          <w:szCs w:val="44"/>
        </w:rPr>
      </w:pPr>
      <w:r>
        <w:rPr>
          <w:rFonts w:ascii="方正楷体_GBK" w:hAnsi="方正楷体_GBK" w:hint="eastAsia"/>
          <w:b/>
          <w:bCs/>
          <w:sz w:val="44"/>
          <w:szCs w:val="44"/>
        </w:rPr>
        <w:t>2021</w:t>
      </w:r>
      <w:r>
        <w:rPr>
          <w:rFonts w:ascii="方正楷体_GBK" w:hAnsi="方正楷体_GBK" w:hint="eastAsia"/>
          <w:b/>
          <w:bCs/>
          <w:sz w:val="44"/>
          <w:szCs w:val="44"/>
        </w:rPr>
        <w:t>年预算公开情况说明</w:t>
      </w:r>
    </w:p>
    <w:p w14:paraId="628A3738" w14:textId="77777777" w:rsidR="003C1DE2" w:rsidRDefault="003C1DE2">
      <w:pPr>
        <w:widowControl/>
        <w:jc w:val="center"/>
        <w:rPr>
          <w:rFonts w:ascii="方正楷体_GBK" w:hAnsi="方正楷体_GBK" w:hint="eastAsia"/>
          <w:b/>
          <w:bCs/>
          <w:sz w:val="44"/>
          <w:szCs w:val="44"/>
        </w:rPr>
      </w:pPr>
    </w:p>
    <w:p w14:paraId="6B7552CE" w14:textId="77777777" w:rsidR="003C1DE2" w:rsidRDefault="00000000">
      <w:pPr>
        <w:spacing w:line="560" w:lineRule="exact"/>
        <w:ind w:firstLineChars="200" w:firstLine="640"/>
        <w:jc w:val="left"/>
        <w:rPr>
          <w:rFonts w:ascii="方正仿宋简体" w:eastAsia="方正仿宋简体" w:cs="方正仿宋简体"/>
          <w:bCs/>
          <w:sz w:val="32"/>
          <w:szCs w:val="32"/>
        </w:rPr>
      </w:pPr>
      <w:r>
        <w:rPr>
          <w:rFonts w:ascii="方正仿宋简体" w:eastAsia="方正仿宋简体" w:cs="方正仿宋简体" w:hint="eastAsia"/>
          <w:sz w:val="32"/>
          <w:szCs w:val="32"/>
        </w:rPr>
        <w:t>按照《</w:t>
      </w:r>
      <w:r>
        <w:rPr>
          <w:rFonts w:ascii="方正仿宋简体" w:eastAsia="方正仿宋简体" w:cs="方正仿宋简体"/>
          <w:sz w:val="32"/>
          <w:szCs w:val="32"/>
        </w:rPr>
        <w:t>中华人民共和国</w:t>
      </w:r>
      <w:r>
        <w:rPr>
          <w:rFonts w:ascii="方正仿宋简体" w:eastAsia="方正仿宋简体" w:cs="方正仿宋简体" w:hint="eastAsia"/>
          <w:sz w:val="32"/>
          <w:szCs w:val="32"/>
        </w:rPr>
        <w:t>预算法》、《地方预决算公开操作规程》和《河北省省级预算公开办法》规定，现将区委部门2021年部门预算公开如下：</w:t>
      </w:r>
    </w:p>
    <w:p w14:paraId="0EF6A585" w14:textId="77777777" w:rsidR="003C1DE2" w:rsidRDefault="00000000">
      <w:pPr>
        <w:widowControl/>
        <w:spacing w:line="560" w:lineRule="exact"/>
        <w:ind w:firstLineChars="200" w:firstLine="640"/>
        <w:rPr>
          <w:rFonts w:ascii="仿宋" w:eastAsia="仿宋"/>
          <w:b/>
          <w:sz w:val="32"/>
          <w:szCs w:val="32"/>
        </w:rPr>
      </w:pPr>
      <w:r>
        <w:rPr>
          <w:rFonts w:ascii="黑体" w:eastAsia="黑体" w:cs="黑体" w:hint="eastAsia"/>
          <w:bCs/>
          <w:sz w:val="32"/>
          <w:szCs w:val="32"/>
        </w:rPr>
        <w:t>一、部门职责、机构设置等基本情况</w:t>
      </w:r>
    </w:p>
    <w:p w14:paraId="27389C63" w14:textId="77777777" w:rsidR="003C1DE2" w:rsidRDefault="00000000">
      <w:pPr>
        <w:widowControl/>
        <w:snapToGrid w:val="0"/>
        <w:spacing w:line="560" w:lineRule="exact"/>
        <w:ind w:firstLineChars="200" w:firstLine="640"/>
        <w:rPr>
          <w:rFonts w:ascii="方正仿宋简体" w:eastAsia="方正仿宋简体" w:cs="方正仿宋简体"/>
          <w:sz w:val="32"/>
          <w:szCs w:val="32"/>
        </w:rPr>
      </w:pPr>
      <w:r>
        <w:rPr>
          <w:rFonts w:ascii="黑体" w:eastAsia="黑体" w:cs="黑体" w:hint="eastAsia"/>
          <w:sz w:val="32"/>
          <w:szCs w:val="32"/>
        </w:rPr>
        <w:t>部门职责</w:t>
      </w:r>
    </w:p>
    <w:p w14:paraId="41D436DD" w14:textId="77777777" w:rsidR="003C1DE2" w:rsidRDefault="00000000">
      <w:pPr>
        <w:autoSpaceDE w:val="0"/>
        <w:autoSpaceDN w:val="0"/>
        <w:adjustRightInd w:val="0"/>
        <w:spacing w:line="56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负责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区委改革的日常工作，综合协调区委交办的改革方面的相关工</w:t>
      </w:r>
      <w:r>
        <w:rPr>
          <w:rFonts w:ascii="方正仿宋简体" w:eastAsia="方正仿宋简体" w:cs="方正仿宋简体" w:hint="eastAsia"/>
          <w:sz w:val="32"/>
          <w:szCs w:val="32"/>
        </w:rPr>
        <w:lastRenderedPageBreak/>
        <w:t>作；区委全面从严治党主体责任的日常工作，综合协调区委交办的全面从严治党方面的相关工作；完成区委交办的其他任务。</w:t>
      </w:r>
    </w:p>
    <w:p w14:paraId="05499F45" w14:textId="77777777" w:rsidR="003C1DE2" w:rsidRDefault="00000000">
      <w:pPr>
        <w:autoSpaceDE w:val="0"/>
        <w:autoSpaceDN w:val="0"/>
        <w:adjustRightInd w:val="0"/>
        <w:spacing w:line="560" w:lineRule="exact"/>
        <w:ind w:firstLineChars="200" w:firstLine="640"/>
        <w:jc w:val="left"/>
        <w:rPr>
          <w:rFonts w:ascii="仿宋" w:eastAsia="方正仿宋简体" w:hAnsi="仿宋" w:hint="eastAsia"/>
          <w:sz w:val="32"/>
          <w:szCs w:val="32"/>
        </w:rPr>
      </w:pPr>
      <w:r>
        <w:rPr>
          <w:rFonts w:ascii="黑体" w:eastAsia="黑体" w:cs="黑体" w:hint="eastAsia"/>
          <w:sz w:val="32"/>
          <w:szCs w:val="32"/>
        </w:rPr>
        <w:t>机构设置</w:t>
      </w:r>
      <w:r>
        <w:rPr>
          <w:rFonts w:ascii="方正仿宋简体" w:eastAsia="方正仿宋简体" w:cs="方正仿宋简体" w:hint="eastAsia"/>
          <w:sz w:val="32"/>
          <w:szCs w:val="32"/>
        </w:rPr>
        <w:t xml:space="preserve">  </w:t>
      </w:r>
    </w:p>
    <w:p w14:paraId="746FCB84" w14:textId="77777777" w:rsidR="003C1DE2" w:rsidRDefault="00000000">
      <w:pPr>
        <w:widowControl/>
        <w:spacing w:line="540" w:lineRule="exact"/>
        <w:ind w:firstLineChars="200" w:firstLine="640"/>
        <w:jc w:val="left"/>
        <w:rPr>
          <w:rFonts w:ascii="仿宋" w:eastAsia="仿宋"/>
          <w:sz w:val="32"/>
          <w:szCs w:val="32"/>
        </w:rPr>
      </w:pPr>
      <w:r>
        <w:rPr>
          <w:rFonts w:ascii="仿宋" w:eastAsia="仿宋"/>
          <w:sz w:val="32"/>
          <w:szCs w:val="32"/>
        </w:rPr>
        <w:t>根据区编办最近核定的三定方案要求，</w:t>
      </w:r>
      <w:r>
        <w:rPr>
          <w:rFonts w:ascii="仿宋" w:eastAsia="仿宋" w:hint="eastAsia"/>
          <w:sz w:val="32"/>
          <w:szCs w:val="32"/>
        </w:rPr>
        <w:t>中共唐山市丰润区委办公室</w:t>
      </w:r>
      <w:r>
        <w:rPr>
          <w:rFonts w:ascii="仿宋" w:eastAsia="仿宋"/>
          <w:sz w:val="32"/>
          <w:szCs w:val="32"/>
        </w:rPr>
        <w:t>为行政编制单位，内设</w:t>
      </w:r>
      <w:r>
        <w:rPr>
          <w:rFonts w:ascii="仿宋" w:eastAsia="仿宋" w:hint="eastAsia"/>
          <w:sz w:val="32"/>
          <w:szCs w:val="32"/>
        </w:rPr>
        <w:t>15</w:t>
      </w:r>
      <w:r>
        <w:rPr>
          <w:rFonts w:ascii="仿宋" w:eastAsia="仿宋"/>
          <w:sz w:val="32"/>
          <w:szCs w:val="32"/>
        </w:rPr>
        <w:t>个行政职能科室，</w:t>
      </w:r>
      <w:r>
        <w:rPr>
          <w:rFonts w:ascii="仿宋" w:eastAsia="仿宋" w:hint="eastAsia"/>
          <w:sz w:val="32"/>
          <w:szCs w:val="32"/>
        </w:rPr>
        <w:t>秘书一科、秘书二科、综合一科、综合二科、财务人事科、信息科、区委值班室、区委法规科、督查室一科、督查室二科、督查室三科、研究室一科、研究室二科、区委主体办、区委改革办秘书科。</w:t>
      </w:r>
      <w:r>
        <w:rPr>
          <w:rFonts w:ascii="仿宋" w:eastAsia="仿宋"/>
          <w:sz w:val="32"/>
          <w:szCs w:val="32"/>
        </w:rPr>
        <w:t>人员编制数</w:t>
      </w:r>
      <w:r>
        <w:rPr>
          <w:rFonts w:ascii="仿宋" w:eastAsia="仿宋" w:hint="eastAsia"/>
          <w:sz w:val="32"/>
          <w:szCs w:val="32"/>
        </w:rPr>
        <w:t>59</w:t>
      </w:r>
      <w:r>
        <w:rPr>
          <w:rFonts w:ascii="仿宋" w:eastAsia="仿宋"/>
          <w:sz w:val="32"/>
          <w:szCs w:val="32"/>
        </w:rPr>
        <w:t>个，实际在编</w:t>
      </w:r>
      <w:r>
        <w:rPr>
          <w:rFonts w:ascii="仿宋" w:eastAsia="仿宋" w:hint="eastAsia"/>
          <w:sz w:val="32"/>
          <w:szCs w:val="32"/>
        </w:rPr>
        <w:t>53</w:t>
      </w:r>
      <w:r>
        <w:rPr>
          <w:rFonts w:ascii="仿宋" w:eastAsia="仿宋"/>
          <w:sz w:val="32"/>
          <w:szCs w:val="32"/>
        </w:rPr>
        <w:t>人。</w:t>
      </w:r>
    </w:p>
    <w:p w14:paraId="7FDF82A8" w14:textId="77777777" w:rsidR="003C1DE2" w:rsidRDefault="003C1DE2">
      <w:pPr>
        <w:widowControl/>
        <w:spacing w:line="540" w:lineRule="exact"/>
        <w:ind w:firstLineChars="200" w:firstLine="643"/>
        <w:jc w:val="center"/>
        <w:rPr>
          <w:rFonts w:ascii="仿宋" w:eastAsia="仿宋"/>
          <w:b/>
          <w:bCs/>
          <w:sz w:val="32"/>
          <w:szCs w:val="32"/>
        </w:rPr>
      </w:pPr>
    </w:p>
    <w:p w14:paraId="3CA4630A" w14:textId="77777777" w:rsidR="003C1DE2" w:rsidRDefault="00000000">
      <w:pPr>
        <w:widowControl/>
        <w:spacing w:line="540" w:lineRule="exact"/>
        <w:ind w:firstLineChars="200" w:firstLine="643"/>
        <w:jc w:val="center"/>
        <w:rPr>
          <w:rFonts w:ascii="仿宋" w:eastAsia="仿宋"/>
          <w:sz w:val="32"/>
          <w:szCs w:val="32"/>
        </w:rPr>
      </w:pPr>
      <w:r>
        <w:rPr>
          <w:rFonts w:ascii="仿宋" w:eastAsia="仿宋" w:hint="eastAsia"/>
          <w:b/>
          <w:bCs/>
          <w:sz w:val="32"/>
          <w:szCs w:val="32"/>
        </w:rPr>
        <w:t>区委办机构设置情况</w:t>
      </w:r>
    </w:p>
    <w:p w14:paraId="097841CA" w14:textId="77777777" w:rsidR="003C1DE2" w:rsidRDefault="003C1DE2">
      <w:pPr>
        <w:widowControl/>
        <w:spacing w:line="540" w:lineRule="exact"/>
        <w:ind w:firstLineChars="200" w:firstLine="640"/>
        <w:jc w:val="center"/>
        <w:rPr>
          <w:rFonts w:ascii="仿宋" w:eastAsia="仿宋"/>
          <w:sz w:val="32"/>
          <w:szCs w:val="32"/>
        </w:rPr>
      </w:pPr>
    </w:p>
    <w:p w14:paraId="65809CFA" w14:textId="77777777" w:rsidR="003C1DE2" w:rsidRDefault="003C1DE2">
      <w:pPr>
        <w:widowControl/>
        <w:spacing w:line="540" w:lineRule="exact"/>
        <w:rPr>
          <w:rFonts w:ascii="仿宋" w:eastAsia="仿宋"/>
          <w:sz w:val="32"/>
          <w:szCs w:val="32"/>
        </w:rPr>
      </w:pPr>
    </w:p>
    <w:tbl>
      <w:tblPr>
        <w:tblpPr w:leftFromText="180" w:rightFromText="180" w:vertAnchor="text" w:horzAnchor="page" w:tblpX="1183" w:tblpY="-959"/>
        <w:tblOverlap w:val="neve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1519"/>
        <w:gridCol w:w="1539"/>
        <w:gridCol w:w="2596"/>
      </w:tblGrid>
      <w:tr w:rsidR="003C1DE2" w14:paraId="58F1F5A8" w14:textId="77777777">
        <w:trPr>
          <w:trHeight w:val="1118"/>
        </w:trPr>
        <w:tc>
          <w:tcPr>
            <w:tcW w:w="4110" w:type="dxa"/>
            <w:vAlign w:val="center"/>
          </w:tcPr>
          <w:p w14:paraId="1212FE50"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单位名称</w:t>
            </w:r>
          </w:p>
        </w:tc>
        <w:tc>
          <w:tcPr>
            <w:tcW w:w="1519" w:type="dxa"/>
            <w:vAlign w:val="center"/>
          </w:tcPr>
          <w:p w14:paraId="7DB2EE38"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单位性质</w:t>
            </w:r>
          </w:p>
        </w:tc>
        <w:tc>
          <w:tcPr>
            <w:tcW w:w="1539" w:type="dxa"/>
            <w:vAlign w:val="center"/>
          </w:tcPr>
          <w:p w14:paraId="5469CC29"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单位规格</w:t>
            </w:r>
          </w:p>
        </w:tc>
        <w:tc>
          <w:tcPr>
            <w:tcW w:w="2596" w:type="dxa"/>
            <w:vAlign w:val="center"/>
          </w:tcPr>
          <w:p w14:paraId="79CA176F"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经费保障形式</w:t>
            </w:r>
          </w:p>
        </w:tc>
      </w:tr>
      <w:tr w:rsidR="003C1DE2" w14:paraId="5FA50C8C" w14:textId="77777777">
        <w:trPr>
          <w:trHeight w:val="770"/>
        </w:trPr>
        <w:tc>
          <w:tcPr>
            <w:tcW w:w="4110" w:type="dxa"/>
            <w:tcBorders>
              <w:top w:val="single" w:sz="4" w:space="0" w:color="auto"/>
              <w:left w:val="single" w:sz="4" w:space="0" w:color="auto"/>
              <w:right w:val="single" w:sz="4" w:space="0" w:color="auto"/>
            </w:tcBorders>
          </w:tcPr>
          <w:p w14:paraId="556A2371" w14:textId="77777777" w:rsidR="003C1DE2" w:rsidRDefault="00000000">
            <w:pPr>
              <w:widowControl/>
              <w:spacing w:line="540" w:lineRule="exact"/>
              <w:rPr>
                <w:rFonts w:ascii="仿宋" w:eastAsia="仿宋"/>
                <w:sz w:val="32"/>
                <w:szCs w:val="32"/>
              </w:rPr>
            </w:pPr>
            <w:r>
              <w:rPr>
                <w:rFonts w:ascii="仿宋" w:eastAsia="仿宋" w:hint="eastAsia"/>
                <w:sz w:val="32"/>
                <w:szCs w:val="32"/>
              </w:rPr>
              <w:t>中共唐山市丰润区委办公室</w:t>
            </w:r>
          </w:p>
        </w:tc>
        <w:tc>
          <w:tcPr>
            <w:tcW w:w="1519" w:type="dxa"/>
            <w:tcBorders>
              <w:top w:val="single" w:sz="4" w:space="0" w:color="auto"/>
              <w:left w:val="single" w:sz="4" w:space="0" w:color="auto"/>
              <w:right w:val="single" w:sz="4" w:space="0" w:color="auto"/>
            </w:tcBorders>
            <w:vAlign w:val="center"/>
          </w:tcPr>
          <w:p w14:paraId="63DE9817"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行政</w:t>
            </w:r>
          </w:p>
        </w:tc>
        <w:tc>
          <w:tcPr>
            <w:tcW w:w="1539" w:type="dxa"/>
            <w:tcBorders>
              <w:top w:val="single" w:sz="4" w:space="0" w:color="auto"/>
              <w:left w:val="single" w:sz="4" w:space="0" w:color="auto"/>
              <w:right w:val="single" w:sz="4" w:space="0" w:color="auto"/>
            </w:tcBorders>
            <w:vAlign w:val="center"/>
          </w:tcPr>
          <w:p w14:paraId="6D7D95BA"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正科级</w:t>
            </w:r>
          </w:p>
        </w:tc>
        <w:tc>
          <w:tcPr>
            <w:tcW w:w="2596" w:type="dxa"/>
            <w:tcBorders>
              <w:top w:val="single" w:sz="4" w:space="0" w:color="auto"/>
              <w:left w:val="single" w:sz="4" w:space="0" w:color="auto"/>
              <w:right w:val="single" w:sz="4" w:space="0" w:color="auto"/>
            </w:tcBorders>
            <w:vAlign w:val="center"/>
          </w:tcPr>
          <w:p w14:paraId="05E5E594" w14:textId="77777777" w:rsidR="003C1DE2" w:rsidRDefault="00000000">
            <w:pPr>
              <w:widowControl/>
              <w:spacing w:line="540" w:lineRule="exact"/>
              <w:jc w:val="center"/>
              <w:rPr>
                <w:rFonts w:ascii="仿宋" w:eastAsia="仿宋"/>
                <w:sz w:val="32"/>
                <w:szCs w:val="32"/>
              </w:rPr>
            </w:pPr>
            <w:r>
              <w:rPr>
                <w:rFonts w:ascii="仿宋" w:eastAsia="仿宋" w:hint="eastAsia"/>
                <w:sz w:val="32"/>
                <w:szCs w:val="32"/>
              </w:rPr>
              <w:t>财政拨款</w:t>
            </w:r>
          </w:p>
        </w:tc>
      </w:tr>
    </w:tbl>
    <w:p w14:paraId="59DF3006" w14:textId="77777777" w:rsidR="003C1DE2" w:rsidRDefault="00000000">
      <w:pPr>
        <w:widowControl/>
        <w:spacing w:line="540" w:lineRule="exact"/>
        <w:ind w:firstLineChars="200" w:firstLine="643"/>
        <w:rPr>
          <w:rFonts w:ascii="仿宋" w:eastAsia="仿宋"/>
          <w:b/>
          <w:sz w:val="32"/>
          <w:szCs w:val="32"/>
        </w:rPr>
      </w:pPr>
      <w:r>
        <w:rPr>
          <w:rFonts w:ascii="仿宋" w:eastAsia="仿宋" w:hint="eastAsia"/>
          <w:b/>
          <w:sz w:val="32"/>
          <w:szCs w:val="32"/>
        </w:rPr>
        <w:t>二、部门预算总体安排情况</w:t>
      </w:r>
    </w:p>
    <w:p w14:paraId="624235DD"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1、2021年一般公共预算拨款收入</w:t>
      </w:r>
      <w:r>
        <w:rPr>
          <w:rFonts w:ascii="方正仿宋简体" w:eastAsia="方正仿宋简体" w:cs="方正仿宋简体" w:hint="eastAsia"/>
          <w:color w:val="000000"/>
          <w:sz w:val="32"/>
          <w:szCs w:val="32"/>
          <w:shd w:val="clear" w:color="auto" w:fill="FFFFFF"/>
        </w:rPr>
        <w:t>972.79万</w:t>
      </w:r>
      <w:r>
        <w:rPr>
          <w:rFonts w:ascii="方正仿宋简体" w:eastAsia="方正仿宋简体" w:cs="方正仿宋简体" w:hint="eastAsia"/>
          <w:sz w:val="32"/>
          <w:szCs w:val="32"/>
        </w:rPr>
        <w:t>元。</w:t>
      </w:r>
    </w:p>
    <w:p w14:paraId="21193767"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2、2021年，根据本单位职责和工作任务规划，共安排部门预算支出</w:t>
      </w:r>
      <w:r>
        <w:rPr>
          <w:rFonts w:ascii="方正仿宋简体" w:eastAsia="方正仿宋简体" w:cs="方正仿宋简体" w:hint="eastAsia"/>
          <w:color w:val="000000"/>
          <w:sz w:val="32"/>
          <w:szCs w:val="32"/>
          <w:shd w:val="clear" w:color="auto" w:fill="FFFFFF"/>
        </w:rPr>
        <w:t>972.79万</w:t>
      </w:r>
      <w:r>
        <w:rPr>
          <w:rFonts w:ascii="方正仿宋简体" w:eastAsia="方正仿宋简体" w:cs="方正仿宋简体" w:hint="eastAsia"/>
          <w:sz w:val="32"/>
          <w:szCs w:val="32"/>
        </w:rPr>
        <w:t>元。其中人员经费支出541.27万元，日常公用经费支出76.02万元，项目支出355.5万元。</w:t>
      </w:r>
    </w:p>
    <w:p w14:paraId="5F6F3545" w14:textId="77777777" w:rsidR="003C1DE2" w:rsidRDefault="00000000">
      <w:pPr>
        <w:widowControl/>
        <w:spacing w:line="540" w:lineRule="exact"/>
        <w:ind w:firstLineChars="200" w:firstLine="640"/>
        <w:rPr>
          <w:rFonts w:ascii="仿宋" w:eastAsia="仿宋"/>
          <w:sz w:val="32"/>
          <w:szCs w:val="32"/>
        </w:rPr>
      </w:pPr>
      <w:r>
        <w:rPr>
          <w:rFonts w:ascii="方正仿宋简体" w:eastAsia="方正仿宋简体" w:cs="方正仿宋简体" w:hint="eastAsia"/>
          <w:sz w:val="32"/>
          <w:szCs w:val="32"/>
        </w:rPr>
        <w:t>3、与上年相比减少75.52万元，其中：人员经费减少41.87万元，主要原因是在职人员因调出退休等原因减少5</w:t>
      </w:r>
      <w:r>
        <w:rPr>
          <w:rFonts w:ascii="方正仿宋简体" w:eastAsia="方正仿宋简体" w:cs="方正仿宋简体" w:hint="eastAsia"/>
          <w:sz w:val="32"/>
          <w:szCs w:val="32"/>
        </w:rPr>
        <w:lastRenderedPageBreak/>
        <w:t>人。日常公用经费增加15.85万元，主要原因是增加在职人员邮电费和物业补贴。项目支出减少49.50万元，主要原因是项目经费按照省财政要求压减20%。</w:t>
      </w:r>
    </w:p>
    <w:p w14:paraId="485B8383" w14:textId="77777777" w:rsidR="003C1DE2" w:rsidRDefault="00000000">
      <w:pPr>
        <w:widowControl/>
        <w:spacing w:line="540" w:lineRule="exact"/>
        <w:ind w:firstLineChars="200" w:firstLine="643"/>
        <w:rPr>
          <w:rFonts w:ascii="仿宋" w:eastAsia="仿宋"/>
          <w:b/>
          <w:sz w:val="32"/>
          <w:szCs w:val="32"/>
        </w:rPr>
      </w:pPr>
      <w:r>
        <w:rPr>
          <w:rFonts w:ascii="仿宋" w:eastAsia="仿宋" w:hint="eastAsia"/>
          <w:b/>
          <w:sz w:val="32"/>
          <w:szCs w:val="32"/>
        </w:rPr>
        <w:t>三、机关运行经</w:t>
      </w:r>
    </w:p>
    <w:p w14:paraId="79D1248F" w14:textId="77777777" w:rsidR="003C1DE2" w:rsidRDefault="00000000">
      <w:pPr>
        <w:widowControl/>
        <w:spacing w:line="540" w:lineRule="exact"/>
        <w:ind w:firstLineChars="200" w:firstLine="643"/>
        <w:rPr>
          <w:rFonts w:ascii="仿宋" w:eastAsia="仿宋"/>
          <w:b/>
          <w:sz w:val="32"/>
          <w:szCs w:val="32"/>
        </w:rPr>
      </w:pPr>
      <w:r>
        <w:rPr>
          <w:rFonts w:ascii="仿宋" w:eastAsia="仿宋" w:hint="eastAsia"/>
          <w:b/>
          <w:sz w:val="32"/>
          <w:szCs w:val="32"/>
        </w:rPr>
        <w:t>费安排情况</w:t>
      </w:r>
    </w:p>
    <w:p w14:paraId="67747855"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日常公用经费支出总计76.02元。其中：</w:t>
      </w:r>
    </w:p>
    <w:p w14:paraId="7A3954C7"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1、办公费：6.96万元。</w:t>
      </w:r>
    </w:p>
    <w:p w14:paraId="047658D2"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2、邮电费：22.30万元。</w:t>
      </w:r>
    </w:p>
    <w:p w14:paraId="4B3A33F3"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3、差旅费：1.89万元。</w:t>
      </w:r>
    </w:p>
    <w:p w14:paraId="12E7CBF2"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4、公务接待费：0.9万元。</w:t>
      </w:r>
    </w:p>
    <w:p w14:paraId="6187AE25"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5、工会经费：0.46万元。按在职职工每人每年100元安排。</w:t>
      </w:r>
    </w:p>
    <w:p w14:paraId="2D30BA3A" w14:textId="77777777" w:rsidR="003C1DE2" w:rsidRDefault="00000000">
      <w:pPr>
        <w:widowControl/>
        <w:spacing w:line="540" w:lineRule="exact"/>
        <w:ind w:firstLineChars="199" w:firstLine="637"/>
        <w:rPr>
          <w:rFonts w:ascii="方正仿宋简体" w:eastAsia="方正仿宋简体" w:cs="方正仿宋简体"/>
          <w:sz w:val="32"/>
          <w:szCs w:val="32"/>
        </w:rPr>
      </w:pPr>
      <w:r>
        <w:rPr>
          <w:rFonts w:ascii="方正仿宋简体" w:eastAsia="方正仿宋简体" w:cs="方正仿宋简体" w:hint="eastAsia"/>
          <w:sz w:val="32"/>
          <w:szCs w:val="32"/>
        </w:rPr>
        <w:t>6、福利费：0.70万元。按在职职工每人每年150元安排，退休人员每人每年20元安排。</w:t>
      </w:r>
    </w:p>
    <w:p w14:paraId="4165156B" w14:textId="77777777" w:rsidR="003C1DE2" w:rsidRDefault="00000000">
      <w:pPr>
        <w:widowControl/>
        <w:spacing w:line="540"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7、公务用车运行维护费：18万元。</w:t>
      </w:r>
    </w:p>
    <w:p w14:paraId="5DF3753F" w14:textId="77777777" w:rsidR="003C1DE2" w:rsidRDefault="00000000">
      <w:pPr>
        <w:widowControl/>
        <w:spacing w:line="540" w:lineRule="exact"/>
        <w:ind w:leftChars="304" w:left="638"/>
        <w:rPr>
          <w:rFonts w:ascii="方正仿宋简体" w:eastAsia="方正仿宋简体" w:cs="方正仿宋简体"/>
          <w:sz w:val="32"/>
          <w:szCs w:val="32"/>
        </w:rPr>
      </w:pPr>
      <w:r>
        <w:rPr>
          <w:rFonts w:ascii="方正仿宋简体" w:eastAsia="方正仿宋简体" w:cs="方正仿宋简体" w:hint="eastAsia"/>
          <w:sz w:val="32"/>
          <w:szCs w:val="32"/>
        </w:rPr>
        <w:t>8、其他交通费（公务交通补贴）：24.9万元。</w:t>
      </w:r>
    </w:p>
    <w:p w14:paraId="5FE5E7BF" w14:textId="77777777" w:rsidR="003C1DE2" w:rsidRDefault="00000000">
      <w:pPr>
        <w:widowControl/>
        <w:snapToGrid w:val="0"/>
        <w:spacing w:line="588" w:lineRule="exact"/>
        <w:ind w:firstLineChars="200" w:firstLine="643"/>
        <w:rPr>
          <w:rFonts w:ascii="仿宋" w:eastAsia="仿宋"/>
          <w:b/>
          <w:sz w:val="32"/>
          <w:szCs w:val="32"/>
        </w:rPr>
      </w:pPr>
      <w:r>
        <w:rPr>
          <w:rFonts w:ascii="仿宋" w:eastAsia="仿宋" w:hint="eastAsia"/>
          <w:b/>
          <w:sz w:val="32"/>
          <w:szCs w:val="32"/>
        </w:rPr>
        <w:t>四、财政拨款</w:t>
      </w:r>
      <w:r>
        <w:rPr>
          <w:rFonts w:ascii="仿宋" w:eastAsia="仿宋"/>
          <w:b/>
          <w:sz w:val="32"/>
          <w:szCs w:val="32"/>
        </w:rPr>
        <w:t>“</w:t>
      </w:r>
      <w:r>
        <w:rPr>
          <w:rFonts w:ascii="仿宋" w:eastAsia="仿宋"/>
          <w:b/>
          <w:sz w:val="32"/>
          <w:szCs w:val="32"/>
        </w:rPr>
        <w:t>三公</w:t>
      </w:r>
      <w:r>
        <w:rPr>
          <w:rFonts w:ascii="仿宋" w:eastAsia="仿宋"/>
          <w:b/>
          <w:sz w:val="32"/>
          <w:szCs w:val="32"/>
        </w:rPr>
        <w:t>”</w:t>
      </w:r>
      <w:r>
        <w:rPr>
          <w:rFonts w:ascii="仿宋" w:eastAsia="仿宋"/>
          <w:b/>
          <w:sz w:val="32"/>
          <w:szCs w:val="32"/>
        </w:rPr>
        <w:t>经费</w:t>
      </w:r>
      <w:r>
        <w:rPr>
          <w:rFonts w:ascii="仿宋" w:eastAsia="仿宋" w:hint="eastAsia"/>
          <w:b/>
          <w:sz w:val="32"/>
          <w:szCs w:val="32"/>
        </w:rPr>
        <w:t>预算</w:t>
      </w:r>
      <w:r>
        <w:rPr>
          <w:rFonts w:ascii="仿宋" w:eastAsia="仿宋"/>
          <w:b/>
          <w:sz w:val="32"/>
          <w:szCs w:val="32"/>
        </w:rPr>
        <w:t>情况</w:t>
      </w:r>
    </w:p>
    <w:p w14:paraId="11F87FE1" w14:textId="77777777" w:rsidR="003C1DE2" w:rsidRDefault="00000000">
      <w:pPr>
        <w:widowControl/>
        <w:snapToGrid w:val="0"/>
        <w:spacing w:line="58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 xml:space="preserve">2021年我部门“三公”经费预算安排18.9万元，与上年预算相比无变化。具体安排情况为： </w:t>
      </w:r>
    </w:p>
    <w:p w14:paraId="054E8706" w14:textId="77777777" w:rsidR="003C1DE2" w:rsidRDefault="00000000">
      <w:pPr>
        <w:widowControl/>
        <w:numPr>
          <w:ilvl w:val="0"/>
          <w:numId w:val="1"/>
        </w:numPr>
        <w:snapToGrid w:val="0"/>
        <w:spacing w:line="58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公务用车购置及运行费。共计安排18万元，与2020年预算相比无变化。①公务用车购置安排0万元。②公车运行维护经费安排18万元，与上年预算相比无变化。</w:t>
      </w:r>
    </w:p>
    <w:p w14:paraId="309EB212" w14:textId="77777777" w:rsidR="003C1DE2" w:rsidRDefault="00000000">
      <w:pPr>
        <w:widowControl/>
        <w:numPr>
          <w:ilvl w:val="0"/>
          <w:numId w:val="1"/>
        </w:numPr>
        <w:snapToGrid w:val="0"/>
        <w:spacing w:line="58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公务接待费。安排0.9万元，与2020年相比无变化。</w:t>
      </w:r>
    </w:p>
    <w:p w14:paraId="53221B8E" w14:textId="77777777" w:rsidR="003C1DE2" w:rsidRDefault="00000000">
      <w:pPr>
        <w:widowControl/>
        <w:numPr>
          <w:ilvl w:val="0"/>
          <w:numId w:val="1"/>
        </w:numPr>
        <w:snapToGrid w:val="0"/>
        <w:spacing w:line="58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lastRenderedPageBreak/>
        <w:t>因公出国（境）费。安排0万元, 与2020年相比无变化。</w:t>
      </w:r>
    </w:p>
    <w:p w14:paraId="5E87E735" w14:textId="77777777" w:rsidR="003C1DE2" w:rsidRDefault="00000000">
      <w:pPr>
        <w:widowControl/>
        <w:numPr>
          <w:ilvl w:val="0"/>
          <w:numId w:val="2"/>
        </w:numPr>
        <w:snapToGrid w:val="0"/>
        <w:spacing w:line="580" w:lineRule="exact"/>
        <w:ind w:firstLineChars="200" w:firstLine="643"/>
        <w:rPr>
          <w:rFonts w:ascii="方正仿宋简体" w:eastAsia="方正仿宋简体" w:cs="方正仿宋简体"/>
          <w:b/>
          <w:sz w:val="32"/>
          <w:szCs w:val="32"/>
        </w:rPr>
      </w:pPr>
      <w:r>
        <w:rPr>
          <w:rFonts w:ascii="方正仿宋简体" w:eastAsia="方正仿宋简体" w:cs="方正仿宋简体" w:hint="eastAsia"/>
          <w:b/>
          <w:sz w:val="32"/>
          <w:szCs w:val="32"/>
        </w:rPr>
        <w:t>预算绩效信息情况</w:t>
      </w:r>
    </w:p>
    <w:p w14:paraId="1EBDC72E"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（一）总体绩效目标</w:t>
      </w:r>
    </w:p>
    <w:p w14:paraId="718EEAE7"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负责区委改革的日常工作，综合协调区委交办的改革方面的相关工作；区委全面从严治党主体责任的日常工作，综合协调区委交办的全面从严治党方面的相关工作；完成区委交办的其他任务。</w:t>
      </w:r>
    </w:p>
    <w:p w14:paraId="12D68CCB"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（二）分项绩效目标</w:t>
      </w:r>
    </w:p>
    <w:p w14:paraId="4BE3F860"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lastRenderedPageBreak/>
        <w:t>1.公文运转</w:t>
      </w:r>
    </w:p>
    <w:p w14:paraId="03BC504C"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绩效目标：改进公文办理，规范流程，做到零停留、无差错。公文审核严谨高效，增强区委文件的权威性。加强文稿前期介入，打造精品文稿。</w:t>
      </w:r>
    </w:p>
    <w:p w14:paraId="6A6129C8"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发文审核差错率，发文审核差错数量占总审核数量的比例大于等于95%；公文流转率，来文、发文办理时限与规定时限的误差比例大于等于95%；文稿起草工作完成量，反映已完成的文件、讲话稿起草或修改工作完成率占应完成量的比例大于等于95%。</w:t>
      </w:r>
    </w:p>
    <w:p w14:paraId="2C8CC403"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2.协调区委大型会议和活动</w:t>
      </w:r>
    </w:p>
    <w:p w14:paraId="2F485F36"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绩效目标：加强区级层面重要会议活动的统筹协调，精心谋划组织好全区性重大会议活动，要从严从细谋划安排区委主要领导参加的重要会议活动。</w:t>
      </w:r>
    </w:p>
    <w:p w14:paraId="06797655"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会议活动完成率，各类会议活动开展成功率大于等于95%；重大工作参与率，区领导参与省市区委重大会议活动的比例大于等于95%；大型会议控制率，减少的大型会议数量占年度大型会议数量的比例小于等于5%。</w:t>
      </w:r>
    </w:p>
    <w:p w14:paraId="7CBD5AF0"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3.公务接待</w:t>
      </w:r>
    </w:p>
    <w:p w14:paraId="0756B502"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绩效目标：严格执行中央八项规定，坚持热情周到、简洁简朴。严格执行接待标准、降低接待费规模。</w:t>
      </w:r>
    </w:p>
    <w:p w14:paraId="246ABF1B"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绩效指标：会务接待工作完成率，已完成的会务接待工作占计划量的比例大于等于95%；接待人员满意度，接待费使用情况满意度达到100%；接待费控制率，接待费控制数占年接待费的比例小于等于85%。</w:t>
      </w:r>
    </w:p>
    <w:p w14:paraId="2E323D2F"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lastRenderedPageBreak/>
        <w:t>4.信息收集及民意调查</w:t>
      </w:r>
    </w:p>
    <w:p w14:paraId="58620DC3"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围绕省市、区委重大决策部署收集、整理和反馈信息，促进我区各方面工作发展；密切联系群众，反映社情民意，努力做到协调关系，化解矛盾、理顺情绪，增进社会各阶层不同利益群体的和谐和稳定。</w:t>
      </w:r>
    </w:p>
    <w:p w14:paraId="44B6DBF0"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社情民意反映率，反映社情民意的信息数量占采集数量的比例大于等于95%；全区党委系统信息网络协调和指导工作完成率，已完成的全区党委系统信息网络协调和指导工作量占计划量的比例大于等于95%；信息编辑工作完成率，已完成的信息编辑工作量占计划量的比例大于等于95%。</w:t>
      </w:r>
    </w:p>
    <w:p w14:paraId="362067D2"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5.督查调研</w:t>
      </w:r>
    </w:p>
    <w:p w14:paraId="143BB0C5"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绩效目标：贯彻落实各级批示件，开展调查研究，为领导决策提供科学有效参考。</w:t>
      </w:r>
    </w:p>
    <w:p w14:paraId="50F92200"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重大决策部署落实的调研工作完成率，实际完成的调研工作量占计划完成量的比例大于等于95%；督查日常工作完成率，日常工作量占计划总量的比例大于等于95%；督查督办按时办结率，围绕热点难点问题的督查督办工作按时办结情况占该类工作总量的比例大于等于95%。</w:t>
      </w:r>
    </w:p>
    <w:p w14:paraId="009A28D4"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6.公务内网建设与维护</w:t>
      </w:r>
    </w:p>
    <w:p w14:paraId="351D03CA"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绩效目标：数据资源丰富、数据正版、权威可靠、用户满意度高。线路通畅，系统运行稳定。</w:t>
      </w:r>
    </w:p>
    <w:p w14:paraId="35272DC2"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绩效指标：内容条目更新速度，日均更新条目量大于等于4条；全区公务内网的建设管理工作完成率，已完成的全</w:t>
      </w:r>
      <w:r>
        <w:rPr>
          <w:rFonts w:ascii="方正仿宋简体" w:eastAsia="方正仿宋简体" w:cs="方正仿宋简体" w:hint="eastAsia"/>
          <w:sz w:val="32"/>
          <w:szCs w:val="32"/>
        </w:rPr>
        <w:lastRenderedPageBreak/>
        <w:t>区公务内网管理工作量占计划量的比例大于等于95%；网络正常运转保障时间，每周网络正常运转时间占每周的比例大于等于95%。</w:t>
      </w:r>
    </w:p>
    <w:p w14:paraId="3B13347F"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6.综合业务管理</w:t>
      </w:r>
    </w:p>
    <w:p w14:paraId="6AD1B321"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绩效目标：保障区委值班室视频监控系统视频信号通畅稳定；对改革中有突出贡献的单位给予奖励，促进我区改革发展等。</w:t>
      </w:r>
    </w:p>
    <w:p w14:paraId="09D1E9FC"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绩效指标：值班室视频系统网络通畅质量，网络视频清晰，无杂音无断续情况比例大于等于95%；综合事务管理工作完成率，综合任务完成数占年度计划的比例大于等于95%；综合业务管理工作完成率，综合任务完成数占年度计划的比例大于等于95%。</w:t>
      </w:r>
    </w:p>
    <w:p w14:paraId="550A18BA"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（三）工作保障措施</w:t>
      </w:r>
    </w:p>
    <w:p w14:paraId="7F63698A"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2021年，区委办公室将进一步紧紧围绕全区中心工作，着眼大局当参谋、总揽全局搞协调、突出重点抓督查、立足全局保运转，奋力推进区委办公室工作取得新业绩，再上新台阶。</w:t>
      </w:r>
    </w:p>
    <w:p w14:paraId="23D4C866"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1.高站位起草综合文稿。遵循“以文辅政、精益求精”的工作理念，坚持站位求高、思路求新、内容求实、文字求精，着力在提高文稿起草质量、增强以文辅政能力上下功夫。</w:t>
      </w:r>
    </w:p>
    <w:p w14:paraId="3518AEDF"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2.深入扎实开展调查研究。围绕区委重点工作，深入一线调研，及时了解群众愿望，认真研究基层实际，探索服务高质量发展的新思路、新办法，努力为区委决策建言献策，形成一批有分量的调研成果。</w:t>
      </w:r>
    </w:p>
    <w:p w14:paraId="0EF9753C"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lastRenderedPageBreak/>
        <w:t>3.全面推进深化改革。坚持市达任务与区级任务双轨同步推进，积极总结推广改革经验。</w:t>
      </w:r>
    </w:p>
    <w:p w14:paraId="13133892"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4.积极拓宽延伸信息渠道。坚持重策划、选准题、出精品的工作理念，深入研究新形势下领导对信息工作的需求，积极拓展信息的广度和深度，当好“千里眼”和“顺风耳”。</w:t>
      </w:r>
    </w:p>
    <w:p w14:paraId="636DEE3C"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5.精心组织会务活动。坚持科学规范的理念，精心设计会议形式、议程、参加人员等工作细节，出色完成区委全会等全区性会议的组织工作。</w:t>
      </w:r>
    </w:p>
    <w:p w14:paraId="0B5972A7"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6.构筑全员大督查格局。围绕落实市“十项重点工作”和全区重点工作，给办公室每位科级干部及各科室分配督查任务，充分调动方方面面的力量，形成督查工作的强大合力。</w:t>
      </w:r>
    </w:p>
    <w:p w14:paraId="01903801"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7.全面推进机关党的建设。始终坚持“党管宣传、党管意识形态”的原则，认真落实意识形态。</w:t>
      </w:r>
    </w:p>
    <w:p w14:paraId="14C12ED8" w14:textId="303AA799"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8.认真履行主体责任。发挥牵头抓总作用，强力推进中央和省委巡视整改工作落实。综合协调区委交办的</w:t>
      </w:r>
      <w:r w:rsidR="00B916B2">
        <w:rPr>
          <w:rFonts w:ascii="方正仿宋简体" w:eastAsia="方正仿宋简体" w:cs="方正仿宋简体" w:hint="eastAsia"/>
          <w:sz w:val="32"/>
          <w:szCs w:val="32"/>
        </w:rPr>
        <w:t>全面</w:t>
      </w:r>
      <w:r>
        <w:rPr>
          <w:rFonts w:ascii="方正仿宋简体" w:eastAsia="方正仿宋简体" w:cs="方正仿宋简体" w:hint="eastAsia"/>
          <w:sz w:val="32"/>
          <w:szCs w:val="32"/>
        </w:rPr>
        <w:t>从严治党方面的相关工作。</w:t>
      </w:r>
    </w:p>
    <w:p w14:paraId="522EDBF3"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9.不断加强绩效管理，采取措施，控制偏差，保证绩效目标的实现。</w:t>
      </w:r>
    </w:p>
    <w:p w14:paraId="6AB8E98E"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（1）完善制度建设。制定完善预算绩效、资金管理办法管理制度、资金管理办法，工作保障制度等，为全年预算绩效目标的实现奠定制度基础。</w:t>
      </w:r>
    </w:p>
    <w:p w14:paraId="52E4E0E0"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（2）加强支出管理。通过优化支出结构，编细编实预算，加快各项工作启动和进程，及时支付资金，按规定及时到支付中心审核票据，确保支出进度达标。</w:t>
      </w:r>
    </w:p>
    <w:p w14:paraId="3193C79E"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lastRenderedPageBreak/>
        <w:t>（3）加强绩效运行监控。按要求开展绩效运行监控，发现问题及时采取措施，确保绩效目标如期保质实现。</w:t>
      </w:r>
    </w:p>
    <w:p w14:paraId="0D5DD4DD"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（4）做好绩效自评。按要求开展上年度部门预算绩效自评和重点评价工作，对评价中发现的问题及时整改，调整优化支出结构，提高财政资金使用效益。</w:t>
      </w:r>
    </w:p>
    <w:p w14:paraId="63BBDB4E"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（5）规范财务资产管理。完善财务管理制度，严格审批程序，加强固定资产登记、使用和报废处置管理，做到支出合理，物尽其用。</w:t>
      </w:r>
    </w:p>
    <w:p w14:paraId="38D921F1"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6）加强内部监督。加强内部监督制度建设，对绩效运行情况、重大支出决策、资产处置及其他重要财务事项的决策和执行进行督导，对会计资料进行内部审计，并配合做好审计、财政监督等外部监督工作，确保财政资金安全有效。</w:t>
      </w:r>
    </w:p>
    <w:p w14:paraId="7CF7F5E3" w14:textId="77777777" w:rsidR="003C1DE2" w:rsidRDefault="00000000">
      <w:pPr>
        <w:spacing w:line="580" w:lineRule="exact"/>
        <w:ind w:firstLineChars="200" w:firstLine="640"/>
        <w:jc w:val="left"/>
        <w:rPr>
          <w:rFonts w:ascii="方正仿宋简体" w:eastAsia="方正仿宋简体" w:cs="方正仿宋简体"/>
          <w:sz w:val="32"/>
          <w:szCs w:val="32"/>
        </w:rPr>
      </w:pPr>
      <w:r>
        <w:rPr>
          <w:rFonts w:ascii="方正仿宋简体" w:eastAsia="方正仿宋简体" w:cs="方正仿宋简体" w:hint="eastAsia"/>
          <w:sz w:val="32"/>
          <w:szCs w:val="32"/>
        </w:rPr>
        <w:t>（7）加强宣传培训调研等。加强人员培训，提高职工业务素质；加强调研，提出优化财政资金配置、提高资金使用效益的意见；加大宣传力度，强化预算绩效管理意识，促进预算绩效管理水平进一步提升。</w:t>
      </w:r>
    </w:p>
    <w:p w14:paraId="4FA0EF6A" w14:textId="77777777" w:rsidR="003C1DE2" w:rsidRDefault="00000000">
      <w:pPr>
        <w:adjustRightInd w:val="0"/>
        <w:snapToGrid w:val="0"/>
        <w:spacing w:line="560" w:lineRule="exact"/>
        <w:ind w:firstLineChars="200" w:firstLine="643"/>
        <w:rPr>
          <w:rFonts w:ascii="宋体"/>
          <w:b/>
          <w:sz w:val="32"/>
          <w:szCs w:val="32"/>
        </w:rPr>
      </w:pPr>
      <w:r>
        <w:rPr>
          <w:rFonts w:ascii="宋体" w:hint="eastAsia"/>
          <w:b/>
          <w:sz w:val="32"/>
          <w:szCs w:val="32"/>
        </w:rPr>
        <w:t>六、政府采购预算情况</w:t>
      </w:r>
    </w:p>
    <w:p w14:paraId="6C0D895A" w14:textId="77777777" w:rsidR="003C1DE2" w:rsidRDefault="00000000">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无</w:t>
      </w:r>
    </w:p>
    <w:p w14:paraId="5E5B2559" w14:textId="77777777" w:rsidR="003C1DE2" w:rsidRDefault="00000000">
      <w:pPr>
        <w:adjustRightInd w:val="0"/>
        <w:snapToGrid w:val="0"/>
        <w:spacing w:line="560" w:lineRule="exact"/>
        <w:ind w:firstLineChars="200" w:firstLine="643"/>
        <w:rPr>
          <w:rFonts w:ascii="仿宋" w:eastAsia="仿宋"/>
          <w:b/>
          <w:sz w:val="32"/>
          <w:szCs w:val="32"/>
        </w:rPr>
      </w:pPr>
      <w:r>
        <w:rPr>
          <w:rFonts w:ascii="仿宋" w:eastAsia="仿宋" w:hint="eastAsia"/>
          <w:b/>
          <w:sz w:val="32"/>
          <w:szCs w:val="32"/>
        </w:rPr>
        <w:t>七、国有资产信息情况</w:t>
      </w:r>
    </w:p>
    <w:p w14:paraId="69B4B7A6" w14:textId="77777777" w:rsidR="003C1DE2" w:rsidRDefault="00000000">
      <w:pPr>
        <w:adjustRightInd w:val="0"/>
        <w:snapToGrid w:val="0"/>
        <w:spacing w:line="560" w:lineRule="exact"/>
        <w:ind w:firstLineChars="200" w:firstLine="640"/>
        <w:rPr>
          <w:rFonts w:ascii="仿宋" w:eastAsia="仿宋"/>
          <w:b/>
          <w:sz w:val="32"/>
          <w:szCs w:val="32"/>
        </w:rPr>
      </w:pPr>
      <w:r>
        <w:rPr>
          <w:rFonts w:ascii="仿宋" w:eastAsia="仿宋"/>
          <w:sz w:val="32"/>
          <w:szCs w:val="32"/>
        </w:rPr>
        <w:t>20</w:t>
      </w:r>
      <w:r>
        <w:rPr>
          <w:rFonts w:ascii="仿宋" w:eastAsia="仿宋" w:hint="eastAsia"/>
          <w:sz w:val="32"/>
          <w:szCs w:val="32"/>
        </w:rPr>
        <w:t>20</w:t>
      </w:r>
      <w:r>
        <w:rPr>
          <w:rFonts w:ascii="仿宋" w:eastAsia="仿宋"/>
          <w:sz w:val="32"/>
          <w:szCs w:val="32"/>
        </w:rPr>
        <w:t>年底资产原值</w:t>
      </w:r>
      <w:r>
        <w:rPr>
          <w:rFonts w:ascii="仿宋" w:eastAsia="仿宋" w:hint="eastAsia"/>
          <w:sz w:val="32"/>
          <w:szCs w:val="32"/>
        </w:rPr>
        <w:t>292.81</w:t>
      </w:r>
      <w:r>
        <w:rPr>
          <w:rFonts w:ascii="仿宋" w:eastAsia="仿宋"/>
          <w:sz w:val="32"/>
          <w:szCs w:val="32"/>
        </w:rPr>
        <w:t>万元，</w:t>
      </w:r>
      <w:r>
        <w:rPr>
          <w:rFonts w:ascii="仿宋" w:eastAsia="仿宋" w:hint="eastAsia"/>
          <w:sz w:val="32"/>
          <w:szCs w:val="32"/>
        </w:rPr>
        <w:t>其中通用设备271.73万元，公务用车5辆，166.11万元，家具、用具20.53万元，无形资产0.55万元。</w:t>
      </w:r>
    </w:p>
    <w:p w14:paraId="54F63FDC" w14:textId="77777777" w:rsidR="003C1DE2" w:rsidRDefault="00000000">
      <w:pPr>
        <w:adjustRightInd w:val="0"/>
        <w:snapToGrid w:val="0"/>
        <w:spacing w:line="560" w:lineRule="exact"/>
        <w:ind w:firstLineChars="200" w:firstLine="640"/>
        <w:rPr>
          <w:rFonts w:ascii="仿宋" w:eastAsia="仿宋"/>
          <w:sz w:val="32"/>
          <w:szCs w:val="32"/>
        </w:rPr>
      </w:pPr>
      <w:r>
        <w:rPr>
          <w:rFonts w:ascii="仿宋" w:eastAsia="仿宋"/>
          <w:sz w:val="32"/>
          <w:szCs w:val="32"/>
        </w:rPr>
        <w:t>比20</w:t>
      </w:r>
      <w:r>
        <w:rPr>
          <w:rFonts w:ascii="仿宋" w:eastAsia="仿宋" w:hint="eastAsia"/>
          <w:sz w:val="32"/>
          <w:szCs w:val="32"/>
        </w:rPr>
        <w:t>19</w:t>
      </w:r>
      <w:r>
        <w:rPr>
          <w:rFonts w:ascii="仿宋" w:eastAsia="仿宋"/>
          <w:sz w:val="32"/>
          <w:szCs w:val="32"/>
        </w:rPr>
        <w:t>年资产原值</w:t>
      </w:r>
      <w:r>
        <w:rPr>
          <w:rFonts w:ascii="仿宋" w:eastAsia="仿宋" w:hint="eastAsia"/>
          <w:sz w:val="32"/>
          <w:szCs w:val="32"/>
        </w:rPr>
        <w:t>366.38</w:t>
      </w:r>
      <w:r>
        <w:rPr>
          <w:rFonts w:ascii="仿宋" w:eastAsia="仿宋"/>
          <w:sz w:val="32"/>
          <w:szCs w:val="32"/>
        </w:rPr>
        <w:t>万元，</w:t>
      </w:r>
      <w:r>
        <w:rPr>
          <w:rFonts w:ascii="仿宋" w:eastAsia="仿宋" w:hint="eastAsia"/>
          <w:sz w:val="32"/>
          <w:szCs w:val="32"/>
        </w:rPr>
        <w:t>减少</w:t>
      </w:r>
      <w:r>
        <w:rPr>
          <w:rFonts w:ascii="仿宋" w:eastAsia="仿宋"/>
          <w:sz w:val="32"/>
          <w:szCs w:val="32"/>
        </w:rPr>
        <w:t>了</w:t>
      </w:r>
      <w:r>
        <w:rPr>
          <w:rFonts w:ascii="仿宋" w:eastAsia="仿宋" w:hint="eastAsia"/>
          <w:sz w:val="32"/>
          <w:szCs w:val="32"/>
        </w:rPr>
        <w:t>73.57万</w:t>
      </w:r>
      <w:r>
        <w:rPr>
          <w:rFonts w:ascii="仿宋" w:eastAsia="仿宋"/>
          <w:sz w:val="32"/>
          <w:szCs w:val="32"/>
        </w:rPr>
        <w:t>元，主要</w:t>
      </w:r>
      <w:r>
        <w:rPr>
          <w:rFonts w:ascii="仿宋" w:eastAsia="仿宋" w:hint="eastAsia"/>
          <w:sz w:val="32"/>
          <w:szCs w:val="32"/>
        </w:rPr>
        <w:t>原因</w:t>
      </w:r>
      <w:r>
        <w:rPr>
          <w:rFonts w:ascii="仿宋" w:eastAsia="仿宋"/>
          <w:sz w:val="32"/>
          <w:szCs w:val="32"/>
        </w:rPr>
        <w:t>是</w:t>
      </w:r>
      <w:r>
        <w:rPr>
          <w:rFonts w:ascii="仿宋" w:eastAsia="仿宋" w:hint="eastAsia"/>
          <w:sz w:val="32"/>
          <w:szCs w:val="32"/>
        </w:rPr>
        <w:t>有关资产无偿调拨到其他单位</w:t>
      </w:r>
      <w:r>
        <w:rPr>
          <w:rFonts w:ascii="仿宋" w:eastAsia="仿宋"/>
          <w:sz w:val="32"/>
          <w:szCs w:val="32"/>
        </w:rPr>
        <w:t>。</w:t>
      </w:r>
    </w:p>
    <w:p w14:paraId="05FCABA0" w14:textId="77777777" w:rsidR="003C1DE2" w:rsidRDefault="00000000">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lastRenderedPageBreak/>
        <w:t>本年度无拟购置资产。</w:t>
      </w:r>
    </w:p>
    <w:p w14:paraId="4950BE4A" w14:textId="77777777" w:rsidR="003C1DE2" w:rsidRDefault="00000000">
      <w:pPr>
        <w:snapToGrid w:val="0"/>
        <w:spacing w:line="588" w:lineRule="exact"/>
        <w:ind w:firstLineChars="150" w:firstLine="480"/>
        <w:jc w:val="center"/>
        <w:rPr>
          <w:rFonts w:ascii="方正黑体简体" w:eastAsia="方正黑体简体" w:cs="方正黑体简体"/>
          <w:sz w:val="32"/>
          <w:szCs w:val="32"/>
        </w:rPr>
      </w:pPr>
      <w:r>
        <w:rPr>
          <w:rFonts w:ascii="方正黑体简体" w:eastAsia="方正黑体简体" w:cs="方正黑体简体" w:hint="eastAsia"/>
          <w:sz w:val="32"/>
          <w:szCs w:val="32"/>
        </w:rPr>
        <w:t>部门固定资产占用情况表</w:t>
      </w:r>
    </w:p>
    <w:p w14:paraId="39A0FA52" w14:textId="77777777" w:rsidR="003C1DE2" w:rsidRDefault="00000000">
      <w:pPr>
        <w:snapToGrid w:val="0"/>
        <w:spacing w:line="588" w:lineRule="exact"/>
        <w:rPr>
          <w:rFonts w:ascii="仿宋" w:eastAsia="仿宋"/>
          <w:sz w:val="24"/>
          <w:szCs w:val="24"/>
        </w:rPr>
      </w:pPr>
      <w:r>
        <w:rPr>
          <w:rFonts w:ascii="仿宋" w:eastAsia="仿宋" w:hint="eastAsia"/>
          <w:sz w:val="24"/>
          <w:szCs w:val="24"/>
        </w:rPr>
        <w:t>编制部门：中共唐山市丰润区委办公室        截止时间：2020年12月31日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500"/>
        <w:gridCol w:w="3491"/>
      </w:tblGrid>
      <w:tr w:rsidR="003C1DE2" w14:paraId="39CD6C51" w14:textId="77777777">
        <w:tc>
          <w:tcPr>
            <w:tcW w:w="3531" w:type="dxa"/>
          </w:tcPr>
          <w:p w14:paraId="6FAFE2AB" w14:textId="77777777" w:rsidR="003C1DE2" w:rsidRDefault="00000000">
            <w:pPr>
              <w:snapToGrid w:val="0"/>
              <w:spacing w:line="588" w:lineRule="exact"/>
              <w:rPr>
                <w:rFonts w:ascii="仿宋" w:eastAsia="仿宋"/>
                <w:sz w:val="28"/>
                <w:szCs w:val="28"/>
              </w:rPr>
            </w:pPr>
            <w:r>
              <w:rPr>
                <w:rFonts w:ascii="仿宋" w:eastAsia="仿宋" w:hint="eastAsia"/>
                <w:sz w:val="28"/>
                <w:szCs w:val="28"/>
              </w:rPr>
              <w:t>项目</w:t>
            </w:r>
          </w:p>
        </w:tc>
        <w:tc>
          <w:tcPr>
            <w:tcW w:w="1500" w:type="dxa"/>
          </w:tcPr>
          <w:p w14:paraId="4997B3E1" w14:textId="77777777" w:rsidR="003C1DE2" w:rsidRDefault="00000000">
            <w:pPr>
              <w:snapToGrid w:val="0"/>
              <w:spacing w:line="588" w:lineRule="exact"/>
              <w:rPr>
                <w:rFonts w:ascii="仿宋" w:eastAsia="仿宋"/>
                <w:sz w:val="28"/>
                <w:szCs w:val="28"/>
              </w:rPr>
            </w:pPr>
            <w:r>
              <w:rPr>
                <w:rFonts w:ascii="仿宋" w:eastAsia="仿宋" w:hint="eastAsia"/>
                <w:sz w:val="28"/>
                <w:szCs w:val="28"/>
              </w:rPr>
              <w:t>数量</w:t>
            </w:r>
          </w:p>
        </w:tc>
        <w:tc>
          <w:tcPr>
            <w:tcW w:w="3491" w:type="dxa"/>
          </w:tcPr>
          <w:p w14:paraId="5BDC9F05" w14:textId="77777777" w:rsidR="003C1DE2" w:rsidRDefault="00000000">
            <w:pPr>
              <w:snapToGrid w:val="0"/>
              <w:spacing w:line="588" w:lineRule="exact"/>
              <w:rPr>
                <w:rFonts w:ascii="仿宋" w:eastAsia="仿宋"/>
                <w:sz w:val="28"/>
                <w:szCs w:val="28"/>
              </w:rPr>
            </w:pPr>
            <w:r>
              <w:rPr>
                <w:rFonts w:ascii="仿宋" w:eastAsia="仿宋" w:hint="eastAsia"/>
                <w:sz w:val="28"/>
                <w:szCs w:val="28"/>
              </w:rPr>
              <w:t>价值（金额单位：万元）</w:t>
            </w:r>
          </w:p>
        </w:tc>
      </w:tr>
      <w:tr w:rsidR="003C1DE2" w14:paraId="03945FFA" w14:textId="77777777">
        <w:tc>
          <w:tcPr>
            <w:tcW w:w="3531" w:type="dxa"/>
            <w:tcBorders>
              <w:top w:val="single" w:sz="4" w:space="0" w:color="auto"/>
              <w:left w:val="single" w:sz="4" w:space="0" w:color="auto"/>
              <w:right w:val="single" w:sz="4" w:space="0" w:color="auto"/>
            </w:tcBorders>
          </w:tcPr>
          <w:p w14:paraId="18C12FAD" w14:textId="77777777" w:rsidR="003C1DE2" w:rsidRDefault="00000000">
            <w:pPr>
              <w:snapToGrid w:val="0"/>
              <w:spacing w:line="588" w:lineRule="exact"/>
              <w:rPr>
                <w:rFonts w:ascii="仿宋" w:eastAsia="仿宋"/>
                <w:sz w:val="28"/>
                <w:szCs w:val="28"/>
              </w:rPr>
            </w:pPr>
            <w:r>
              <w:rPr>
                <w:rFonts w:ascii="仿宋" w:eastAsia="仿宋" w:hint="eastAsia"/>
                <w:sz w:val="28"/>
                <w:szCs w:val="28"/>
              </w:rPr>
              <w:t>资产总额</w:t>
            </w:r>
          </w:p>
        </w:tc>
        <w:tc>
          <w:tcPr>
            <w:tcW w:w="1500" w:type="dxa"/>
            <w:tcBorders>
              <w:top w:val="single" w:sz="4" w:space="0" w:color="auto"/>
              <w:left w:val="single" w:sz="4" w:space="0" w:color="auto"/>
              <w:right w:val="single" w:sz="4" w:space="0" w:color="auto"/>
            </w:tcBorders>
          </w:tcPr>
          <w:p w14:paraId="464EC7EE" w14:textId="77777777" w:rsidR="003C1DE2" w:rsidRDefault="00000000">
            <w:pPr>
              <w:snapToGrid w:val="0"/>
              <w:spacing w:line="588" w:lineRule="exact"/>
              <w:jc w:val="center"/>
              <w:rPr>
                <w:rFonts w:ascii="仿宋" w:eastAsia="仿宋"/>
                <w:sz w:val="28"/>
                <w:szCs w:val="28"/>
              </w:rPr>
            </w:pPr>
            <w:r>
              <w:rPr>
                <w:rFonts w:ascii="仿宋" w:eastAsia="仿宋" w:hint="eastAsia"/>
                <w:sz w:val="28"/>
                <w:szCs w:val="28"/>
              </w:rPr>
              <w:t>------</w:t>
            </w:r>
          </w:p>
        </w:tc>
        <w:tc>
          <w:tcPr>
            <w:tcW w:w="3491" w:type="dxa"/>
            <w:tcBorders>
              <w:top w:val="single" w:sz="4" w:space="0" w:color="auto"/>
              <w:left w:val="single" w:sz="4" w:space="0" w:color="auto"/>
              <w:right w:val="single" w:sz="4" w:space="0" w:color="auto"/>
            </w:tcBorders>
          </w:tcPr>
          <w:p w14:paraId="5758C542" w14:textId="77777777" w:rsidR="003C1DE2" w:rsidRDefault="00000000">
            <w:pPr>
              <w:snapToGrid w:val="0"/>
              <w:spacing w:line="588" w:lineRule="exact"/>
              <w:jc w:val="center"/>
              <w:rPr>
                <w:rFonts w:ascii="仿宋" w:eastAsia="仿宋"/>
                <w:sz w:val="28"/>
                <w:szCs w:val="28"/>
              </w:rPr>
            </w:pPr>
            <w:r>
              <w:rPr>
                <w:rFonts w:ascii="仿宋" w:eastAsia="仿宋" w:hint="eastAsia"/>
                <w:sz w:val="28"/>
                <w:szCs w:val="28"/>
              </w:rPr>
              <w:t>292.26</w:t>
            </w:r>
          </w:p>
        </w:tc>
      </w:tr>
      <w:tr w:rsidR="003C1DE2" w14:paraId="00A52593" w14:textId="77777777">
        <w:tc>
          <w:tcPr>
            <w:tcW w:w="3531" w:type="dxa"/>
            <w:tcBorders>
              <w:top w:val="single" w:sz="4" w:space="0" w:color="auto"/>
              <w:left w:val="single" w:sz="4" w:space="0" w:color="auto"/>
              <w:right w:val="single" w:sz="4" w:space="0" w:color="auto"/>
            </w:tcBorders>
          </w:tcPr>
          <w:p w14:paraId="6E32BBFB" w14:textId="77777777" w:rsidR="003C1DE2" w:rsidRDefault="00000000">
            <w:pPr>
              <w:snapToGrid w:val="0"/>
              <w:spacing w:line="588" w:lineRule="exact"/>
              <w:rPr>
                <w:rFonts w:ascii="仿宋" w:eastAsia="仿宋"/>
                <w:sz w:val="28"/>
                <w:szCs w:val="28"/>
              </w:rPr>
            </w:pPr>
            <w:r>
              <w:rPr>
                <w:rFonts w:ascii="仿宋" w:eastAsia="仿宋" w:hint="eastAsia"/>
                <w:sz w:val="28"/>
                <w:szCs w:val="28"/>
              </w:rPr>
              <w:t>1、车辆（台、辆）</w:t>
            </w:r>
          </w:p>
        </w:tc>
        <w:tc>
          <w:tcPr>
            <w:tcW w:w="1500" w:type="dxa"/>
            <w:tcBorders>
              <w:top w:val="single" w:sz="4" w:space="0" w:color="auto"/>
              <w:left w:val="single" w:sz="4" w:space="0" w:color="auto"/>
              <w:right w:val="single" w:sz="4" w:space="0" w:color="auto"/>
            </w:tcBorders>
          </w:tcPr>
          <w:p w14:paraId="2B6274EF" w14:textId="77777777" w:rsidR="003C1DE2" w:rsidRDefault="00000000">
            <w:pPr>
              <w:snapToGrid w:val="0"/>
              <w:spacing w:line="588" w:lineRule="exact"/>
              <w:jc w:val="center"/>
              <w:rPr>
                <w:rFonts w:ascii="仿宋" w:eastAsia="仿宋"/>
                <w:sz w:val="28"/>
                <w:szCs w:val="28"/>
              </w:rPr>
            </w:pPr>
            <w:r>
              <w:rPr>
                <w:rFonts w:ascii="仿宋" w:eastAsia="仿宋" w:hint="eastAsia"/>
                <w:sz w:val="28"/>
                <w:szCs w:val="28"/>
              </w:rPr>
              <w:t>5</w:t>
            </w:r>
          </w:p>
        </w:tc>
        <w:tc>
          <w:tcPr>
            <w:tcW w:w="3491" w:type="dxa"/>
            <w:tcBorders>
              <w:top w:val="single" w:sz="4" w:space="0" w:color="auto"/>
              <w:left w:val="single" w:sz="4" w:space="0" w:color="auto"/>
              <w:right w:val="single" w:sz="4" w:space="0" w:color="auto"/>
            </w:tcBorders>
          </w:tcPr>
          <w:p w14:paraId="7B2CCC43" w14:textId="77777777" w:rsidR="003C1DE2" w:rsidRDefault="00000000">
            <w:pPr>
              <w:snapToGrid w:val="0"/>
              <w:spacing w:line="588" w:lineRule="exact"/>
              <w:jc w:val="center"/>
              <w:rPr>
                <w:rFonts w:ascii="仿宋" w:eastAsia="仿宋"/>
                <w:sz w:val="28"/>
                <w:szCs w:val="28"/>
              </w:rPr>
            </w:pPr>
            <w:r>
              <w:rPr>
                <w:rFonts w:ascii="仿宋" w:eastAsia="仿宋" w:hint="eastAsia"/>
                <w:sz w:val="28"/>
                <w:szCs w:val="28"/>
              </w:rPr>
              <w:t>166.11</w:t>
            </w:r>
          </w:p>
        </w:tc>
      </w:tr>
      <w:tr w:rsidR="003C1DE2" w14:paraId="6AB02FFF" w14:textId="77777777">
        <w:tc>
          <w:tcPr>
            <w:tcW w:w="3531" w:type="dxa"/>
            <w:tcBorders>
              <w:top w:val="single" w:sz="4" w:space="0" w:color="auto"/>
              <w:left w:val="single" w:sz="4" w:space="0" w:color="auto"/>
              <w:right w:val="single" w:sz="4" w:space="0" w:color="auto"/>
            </w:tcBorders>
          </w:tcPr>
          <w:p w14:paraId="5A9F15FF" w14:textId="77777777" w:rsidR="003C1DE2" w:rsidRDefault="00000000">
            <w:pPr>
              <w:snapToGrid w:val="0"/>
              <w:spacing w:line="588" w:lineRule="exact"/>
              <w:rPr>
                <w:rFonts w:ascii="仿宋" w:eastAsia="仿宋"/>
                <w:sz w:val="28"/>
                <w:szCs w:val="28"/>
              </w:rPr>
            </w:pPr>
            <w:r>
              <w:rPr>
                <w:rFonts w:ascii="仿宋" w:eastAsia="仿宋" w:hint="eastAsia"/>
                <w:sz w:val="28"/>
                <w:szCs w:val="28"/>
              </w:rPr>
              <w:t>2、单价在20万元以上设备</w:t>
            </w:r>
          </w:p>
        </w:tc>
        <w:tc>
          <w:tcPr>
            <w:tcW w:w="1500" w:type="dxa"/>
            <w:tcBorders>
              <w:top w:val="single" w:sz="4" w:space="0" w:color="auto"/>
              <w:left w:val="single" w:sz="4" w:space="0" w:color="auto"/>
              <w:right w:val="single" w:sz="4" w:space="0" w:color="auto"/>
            </w:tcBorders>
          </w:tcPr>
          <w:p w14:paraId="241BCE2D" w14:textId="77777777" w:rsidR="003C1DE2" w:rsidRDefault="00000000">
            <w:pPr>
              <w:snapToGrid w:val="0"/>
              <w:spacing w:line="588" w:lineRule="exact"/>
              <w:jc w:val="center"/>
              <w:rPr>
                <w:rFonts w:ascii="仿宋" w:eastAsia="仿宋"/>
                <w:sz w:val="28"/>
                <w:szCs w:val="28"/>
              </w:rPr>
            </w:pPr>
            <w:r>
              <w:rPr>
                <w:rFonts w:ascii="仿宋" w:eastAsia="仿宋" w:hint="eastAsia"/>
                <w:sz w:val="28"/>
                <w:szCs w:val="28"/>
              </w:rPr>
              <w:t>------</w:t>
            </w:r>
          </w:p>
        </w:tc>
        <w:tc>
          <w:tcPr>
            <w:tcW w:w="3491" w:type="dxa"/>
            <w:tcBorders>
              <w:top w:val="single" w:sz="4" w:space="0" w:color="auto"/>
              <w:left w:val="single" w:sz="4" w:space="0" w:color="auto"/>
              <w:right w:val="single" w:sz="4" w:space="0" w:color="auto"/>
            </w:tcBorders>
          </w:tcPr>
          <w:p w14:paraId="59C160EC" w14:textId="77777777" w:rsidR="003C1DE2" w:rsidRDefault="003C1DE2">
            <w:pPr>
              <w:snapToGrid w:val="0"/>
              <w:spacing w:line="588" w:lineRule="exact"/>
              <w:jc w:val="center"/>
              <w:rPr>
                <w:rFonts w:ascii="仿宋" w:eastAsia="仿宋"/>
                <w:sz w:val="28"/>
                <w:szCs w:val="28"/>
              </w:rPr>
            </w:pPr>
          </w:p>
        </w:tc>
      </w:tr>
      <w:tr w:rsidR="003C1DE2" w14:paraId="0845F528" w14:textId="77777777">
        <w:tc>
          <w:tcPr>
            <w:tcW w:w="3531" w:type="dxa"/>
            <w:tcBorders>
              <w:top w:val="single" w:sz="4" w:space="0" w:color="auto"/>
              <w:left w:val="single" w:sz="4" w:space="0" w:color="auto"/>
              <w:right w:val="single" w:sz="4" w:space="0" w:color="auto"/>
            </w:tcBorders>
          </w:tcPr>
          <w:p w14:paraId="042E49EB" w14:textId="77777777" w:rsidR="003C1DE2" w:rsidRDefault="00000000">
            <w:pPr>
              <w:snapToGrid w:val="0"/>
              <w:spacing w:line="588" w:lineRule="exact"/>
              <w:rPr>
                <w:rFonts w:ascii="仿宋" w:eastAsia="仿宋"/>
                <w:sz w:val="28"/>
                <w:szCs w:val="28"/>
              </w:rPr>
            </w:pPr>
            <w:r>
              <w:rPr>
                <w:rFonts w:ascii="仿宋" w:eastAsia="仿宋" w:hint="eastAsia"/>
                <w:sz w:val="28"/>
                <w:szCs w:val="28"/>
              </w:rPr>
              <w:t>3、其他固定资产</w:t>
            </w:r>
          </w:p>
        </w:tc>
        <w:tc>
          <w:tcPr>
            <w:tcW w:w="1500" w:type="dxa"/>
            <w:tcBorders>
              <w:top w:val="single" w:sz="4" w:space="0" w:color="auto"/>
              <w:left w:val="single" w:sz="4" w:space="0" w:color="auto"/>
              <w:right w:val="single" w:sz="4" w:space="0" w:color="auto"/>
            </w:tcBorders>
          </w:tcPr>
          <w:p w14:paraId="7ED66EA5" w14:textId="77777777" w:rsidR="003C1DE2" w:rsidRDefault="003C1DE2">
            <w:pPr>
              <w:snapToGrid w:val="0"/>
              <w:spacing w:line="588" w:lineRule="exact"/>
              <w:jc w:val="center"/>
              <w:rPr>
                <w:rFonts w:ascii="仿宋" w:eastAsia="仿宋"/>
                <w:sz w:val="28"/>
                <w:szCs w:val="28"/>
              </w:rPr>
            </w:pPr>
          </w:p>
        </w:tc>
        <w:tc>
          <w:tcPr>
            <w:tcW w:w="3491" w:type="dxa"/>
            <w:tcBorders>
              <w:top w:val="single" w:sz="4" w:space="0" w:color="auto"/>
              <w:left w:val="single" w:sz="4" w:space="0" w:color="auto"/>
              <w:right w:val="single" w:sz="4" w:space="0" w:color="auto"/>
            </w:tcBorders>
          </w:tcPr>
          <w:p w14:paraId="035FAB94" w14:textId="77777777" w:rsidR="003C1DE2" w:rsidRDefault="00000000">
            <w:pPr>
              <w:snapToGrid w:val="0"/>
              <w:spacing w:line="588" w:lineRule="exact"/>
              <w:jc w:val="center"/>
              <w:rPr>
                <w:rFonts w:ascii="仿宋" w:eastAsia="仿宋"/>
                <w:sz w:val="28"/>
                <w:szCs w:val="28"/>
              </w:rPr>
            </w:pPr>
            <w:r>
              <w:rPr>
                <w:rFonts w:ascii="仿宋" w:eastAsia="仿宋" w:hint="eastAsia"/>
                <w:sz w:val="28"/>
                <w:szCs w:val="28"/>
              </w:rPr>
              <w:t>126.15</w:t>
            </w:r>
          </w:p>
        </w:tc>
      </w:tr>
    </w:tbl>
    <w:p w14:paraId="7EDAAF55" w14:textId="77777777" w:rsidR="003C1DE2" w:rsidRDefault="003C1DE2">
      <w:pPr>
        <w:snapToGrid w:val="0"/>
        <w:spacing w:line="588" w:lineRule="exact"/>
        <w:rPr>
          <w:rFonts w:ascii="仿宋" w:eastAsia="仿宋"/>
          <w:sz w:val="24"/>
          <w:szCs w:val="24"/>
        </w:rPr>
      </w:pPr>
    </w:p>
    <w:p w14:paraId="26854BBD" w14:textId="77777777" w:rsidR="003C1DE2" w:rsidRDefault="00000000">
      <w:pPr>
        <w:snapToGrid w:val="0"/>
        <w:spacing w:line="588" w:lineRule="exact"/>
        <w:ind w:firstLineChars="200" w:firstLine="643"/>
        <w:rPr>
          <w:rFonts w:ascii="仿宋" w:eastAsia="仿宋"/>
          <w:b/>
          <w:sz w:val="32"/>
          <w:szCs w:val="32"/>
        </w:rPr>
      </w:pPr>
      <w:r>
        <w:rPr>
          <w:rFonts w:ascii="仿宋" w:eastAsia="仿宋" w:hint="eastAsia"/>
          <w:b/>
          <w:sz w:val="32"/>
          <w:szCs w:val="32"/>
        </w:rPr>
        <w:t>八、专业名词解释</w:t>
      </w:r>
    </w:p>
    <w:p w14:paraId="62B74EE0" w14:textId="77777777" w:rsidR="003C1DE2" w:rsidRDefault="00000000">
      <w:pPr>
        <w:snapToGrid w:val="0"/>
        <w:spacing w:line="588" w:lineRule="exact"/>
        <w:ind w:firstLineChars="150" w:firstLine="480"/>
        <w:rPr>
          <w:rFonts w:ascii="仿宋" w:eastAsia="仿宋"/>
          <w:b/>
          <w:sz w:val="32"/>
          <w:szCs w:val="32"/>
        </w:rPr>
      </w:pPr>
      <w:r>
        <w:rPr>
          <w:rFonts w:ascii="仿宋" w:eastAsia="仿宋" w:hint="eastAsia"/>
          <w:sz w:val="32"/>
          <w:szCs w:val="32"/>
        </w:rPr>
        <w:t>（1）财政拨款收入：指中央或区财政当年拨付的资金，包含一般公共预算财政拨款和政府性基金预算财政拨款。</w:t>
      </w:r>
    </w:p>
    <w:p w14:paraId="2D59D093" w14:textId="77777777" w:rsidR="003C1DE2" w:rsidRDefault="00000000">
      <w:pPr>
        <w:snapToGrid w:val="0"/>
        <w:spacing w:line="588" w:lineRule="exact"/>
        <w:ind w:firstLineChars="150" w:firstLine="480"/>
        <w:rPr>
          <w:rFonts w:ascii="仿宋" w:eastAsia="仿宋"/>
          <w:b/>
          <w:sz w:val="32"/>
          <w:szCs w:val="32"/>
        </w:rPr>
      </w:pPr>
      <w:r>
        <w:rPr>
          <w:rFonts w:ascii="仿宋" w:eastAsia="仿宋" w:hint="eastAsia"/>
          <w:sz w:val="32"/>
          <w:szCs w:val="32"/>
        </w:rPr>
        <w:t>（2）基本支出：指为保障机构正常运转、完成日常工作任务而发生的人员支出和公用支出。</w:t>
      </w:r>
    </w:p>
    <w:p w14:paraId="69A37223" w14:textId="77777777" w:rsidR="003C1DE2" w:rsidRDefault="00000000">
      <w:pPr>
        <w:snapToGrid w:val="0"/>
        <w:spacing w:line="588" w:lineRule="exact"/>
        <w:ind w:firstLineChars="150" w:firstLine="480"/>
        <w:rPr>
          <w:rFonts w:ascii="仿宋" w:eastAsia="仿宋"/>
          <w:b/>
          <w:sz w:val="32"/>
          <w:szCs w:val="32"/>
        </w:rPr>
      </w:pPr>
      <w:r>
        <w:rPr>
          <w:rFonts w:ascii="仿宋" w:eastAsia="仿宋" w:hint="eastAsia"/>
          <w:sz w:val="32"/>
          <w:szCs w:val="32"/>
        </w:rPr>
        <w:t>（3）项目支出：指在基本支出之外为完成特定行政任务和事业发展目标所发生的支出。</w:t>
      </w:r>
    </w:p>
    <w:p w14:paraId="3E5EA7A5" w14:textId="77777777" w:rsidR="003C1DE2" w:rsidRDefault="00000000">
      <w:pPr>
        <w:snapToGrid w:val="0"/>
        <w:spacing w:line="588" w:lineRule="exact"/>
        <w:ind w:firstLineChars="150" w:firstLine="482"/>
        <w:rPr>
          <w:rFonts w:ascii="仿宋" w:eastAsia="仿宋"/>
          <w:b/>
          <w:sz w:val="32"/>
          <w:szCs w:val="32"/>
        </w:rPr>
      </w:pPr>
      <w:r>
        <w:rPr>
          <w:rFonts w:ascii="仿宋" w:eastAsia="仿宋" w:hint="eastAsia"/>
          <w:b/>
          <w:sz w:val="32"/>
          <w:szCs w:val="32"/>
        </w:rPr>
        <w:t>九、其他需说明的事项</w:t>
      </w:r>
    </w:p>
    <w:p w14:paraId="5052333E" w14:textId="77777777" w:rsidR="003C1DE2" w:rsidRDefault="00000000">
      <w:pPr>
        <w:snapToGrid w:val="0"/>
        <w:spacing w:line="588" w:lineRule="exact"/>
        <w:ind w:firstLineChars="150" w:firstLine="480"/>
        <w:rPr>
          <w:rFonts w:ascii="仿宋" w:eastAsia="仿宋"/>
          <w:b/>
          <w:sz w:val="32"/>
          <w:szCs w:val="32"/>
        </w:rPr>
      </w:pPr>
      <w:r>
        <w:rPr>
          <w:rFonts w:ascii="仿宋" w:eastAsia="仿宋" w:hint="eastAsia"/>
          <w:sz w:val="32"/>
          <w:szCs w:val="32"/>
        </w:rPr>
        <w:t>政府性性基金支出和国有资本经营支出：无</w:t>
      </w:r>
    </w:p>
    <w:p w14:paraId="7C84A43E" w14:textId="77777777" w:rsidR="003C1DE2" w:rsidRDefault="003C1DE2">
      <w:pPr>
        <w:snapToGrid w:val="0"/>
        <w:spacing w:line="588" w:lineRule="exact"/>
        <w:rPr>
          <w:rFonts w:ascii="宋体"/>
          <w:sz w:val="32"/>
          <w:szCs w:val="32"/>
        </w:rPr>
      </w:pPr>
    </w:p>
    <w:sectPr w:rsidR="003C1DE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7A3ED" w14:textId="77777777" w:rsidR="00E46BF7" w:rsidRDefault="00E46BF7">
      <w:r>
        <w:separator/>
      </w:r>
    </w:p>
  </w:endnote>
  <w:endnote w:type="continuationSeparator" w:id="0">
    <w:p w14:paraId="3C1F9872" w14:textId="77777777" w:rsidR="00E46BF7" w:rsidRDefault="00E4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variable"/>
    <w:sig w:usb0="00000000" w:usb1="00000000" w:usb2="00000000" w:usb3="00000000" w:csb0="00040001"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046" w14:textId="77777777" w:rsidR="003C1DE2" w:rsidRDefault="00000000">
    <w:pPr>
      <w:pStyle w:val="a4"/>
      <w:jc w:val="center"/>
    </w:pPr>
    <w:r>
      <w:fldChar w:fldCharType="begin"/>
    </w:r>
    <w:r>
      <w:instrText xml:space="preserve"> PAGE   \* MERGEFORMAT </w:instrText>
    </w:r>
    <w:r>
      <w:fldChar w:fldCharType="separate"/>
    </w:r>
    <w:r>
      <w:rPr>
        <w:lang w:val="zh-CN"/>
      </w:rPr>
      <w:t>6</w:t>
    </w:r>
    <w:r>
      <w:rPr>
        <w:lang w:val="zh-CN"/>
      </w:rPr>
      <w:fldChar w:fldCharType="end"/>
    </w:r>
  </w:p>
  <w:p w14:paraId="726BE64B" w14:textId="77777777" w:rsidR="003C1DE2" w:rsidRDefault="003C1D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C3C4" w14:textId="77777777" w:rsidR="00E46BF7" w:rsidRDefault="00E46BF7">
      <w:r>
        <w:separator/>
      </w:r>
    </w:p>
  </w:footnote>
  <w:footnote w:type="continuationSeparator" w:id="0">
    <w:p w14:paraId="7419733B" w14:textId="77777777" w:rsidR="00E46BF7" w:rsidRDefault="00E46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232D"/>
    <w:multiLevelType w:val="singleLevel"/>
    <w:tmpl w:val="14DC232D"/>
    <w:lvl w:ilvl="0">
      <w:start w:val="5"/>
      <w:numFmt w:val="chineseCounting"/>
      <w:lvlRestart w:val="0"/>
      <w:suff w:val="nothing"/>
      <w:lvlText w:val="%1、"/>
      <w:lvlJc w:val="left"/>
      <w:pPr>
        <w:ind w:left="0" w:firstLine="0"/>
      </w:pPr>
      <w:rPr>
        <w:rFonts w:hint="eastAsia"/>
      </w:rPr>
    </w:lvl>
  </w:abstractNum>
  <w:abstractNum w:abstractNumId="1" w15:restartNumberingAfterBreak="0">
    <w:nsid w:val="48000581"/>
    <w:multiLevelType w:val="singleLevel"/>
    <w:tmpl w:val="48000581"/>
    <w:lvl w:ilvl="0">
      <w:start w:val="1"/>
      <w:numFmt w:val="chineseCounting"/>
      <w:lvlRestart w:val="0"/>
      <w:suff w:val="nothing"/>
      <w:lvlText w:val="（%1）"/>
      <w:lvlJc w:val="left"/>
      <w:pPr>
        <w:ind w:left="0" w:firstLine="0"/>
      </w:pPr>
      <w:rPr>
        <w:rFonts w:hint="eastAsia"/>
      </w:rPr>
    </w:lvl>
  </w:abstractNum>
  <w:num w:numId="1" w16cid:durableId="701519850">
    <w:abstractNumId w:val="1"/>
  </w:num>
  <w:num w:numId="2" w16cid:durableId="11148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ocumentProtection w:edit="readOnly" w:enforcement="0"/>
  <w:defaultTabStop w:val="420"/>
  <w:drawingGridHorizontalSpacing w:val="105"/>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3C1DE2"/>
    <w:rsid w:val="00106D70"/>
    <w:rsid w:val="003C1DE2"/>
    <w:rsid w:val="00B916B2"/>
    <w:rsid w:val="00E4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5B20"/>
  <w15:docId w15:val="{4814BFE3-F485-4A90-9D24-E01FAC59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note text"/>
    <w:basedOn w:val="a"/>
    <w:pPr>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character" w:styleId="a9">
    <w:name w:val="footnote reference"/>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68C261E-7885-4C25-ABC7-714ADB2B4BF5}">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732</Words>
  <Characters>4173</Characters>
  <Application>Microsoft Office Word</Application>
  <DocSecurity>0</DocSecurity>
  <Lines>34</Lines>
  <Paragraphs>9</Paragraphs>
  <ScaleCrop>false</ScaleCrop>
  <Company>CHINA</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职责分类绩效目标：</dc:title>
  <dc:creator>Administrator</dc:creator>
  <cp:lastModifiedBy>kexin 王</cp:lastModifiedBy>
  <cp:revision>16</cp:revision>
  <cp:lastPrinted>2020-02-12T08:53:00Z</cp:lastPrinted>
  <dcterms:created xsi:type="dcterms:W3CDTF">2017-03-13T08:14:00Z</dcterms:created>
  <dcterms:modified xsi:type="dcterms:W3CDTF">2024-08-30T02:35:00Z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296991752_btnclosed</vt:lpwstr>
  </property>
  <property fmtid="{D5CDD505-2E9C-101B-9397-08002B2CF9AE}" pid="4" name="ICV">
    <vt:lpwstr>F1F646D6BB9241D98703657047304213</vt:lpwstr>
  </property>
</Properties>
</file>