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int="eastAsia" w:hAnsi="宋体" w:asciiTheme="minorEastAsia" w:eastAsiaTheme="minorEastAsia"/>
                                <w:color w:val="FDEFBE"/>
                                <w:sz w:val="72"/>
                                <w:szCs w:val="72"/>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72"/>
                                <w:szCs w:val="72"/>
                                <w:lang w:eastAsia="zh-CN"/>
                                <w14:shadow w14:blurRad="38100" w14:dist="22860" w14:dir="5400000" w14:sx="100000" w14:sy="100000" w14:kx="0" w14:ky="0" w14:algn="tl">
                                  <w14:srgbClr w14:val="000000">
                                    <w14:alpha w14:val="70000"/>
                                  </w14:srgbClr>
                                </w14:shadow>
                                <w14:props3d w14:extrusionH="0" w14:contourW="0" w14:prstMaterial="clear"/>
                              </w:rPr>
                              <w:t>唐山市丰润区市场监督管理局</w:t>
                            </w:r>
                          </w:p>
                          <w:p>
                            <w:pPr>
                              <w:widowControl/>
                              <w:spacing w:line="1200" w:lineRule="exact"/>
                              <w:jc w:val="center"/>
                              <w:rPr>
                                <w:color w:val="FDEFBE"/>
                                <w:sz w:val="72"/>
                                <w:szCs w:val="72"/>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72"/>
                                <w:szCs w:val="72"/>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72"/>
                          <w:szCs w:val="72"/>
                          <w:lang w:eastAsia="zh-CN"/>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72"/>
                          <w:szCs w:val="72"/>
                          <w:lang w:eastAsia="zh-CN"/>
                          <w14:shadow w14:blurRad="38100" w14:dist="22860" w14:dir="5400000" w14:sx="100000" w14:sy="100000" w14:kx="0" w14:ky="0" w14:algn="tl">
                            <w14:srgbClr w14:val="000000">
                              <w14:alpha w14:val="70000"/>
                            </w14:srgbClr>
                          </w14:shadow>
                          <w14:props3d w14:extrusionH="0" w14:contourW="0" w14:prstMaterial="clear"/>
                        </w:rPr>
                        <w:t>唐山市丰润区市场监督管理局</w:t>
                      </w:r>
                    </w:p>
                    <w:p>
                      <w:pPr>
                        <w:widowControl/>
                        <w:spacing w:line="1200" w:lineRule="exact"/>
                        <w:jc w:val="center"/>
                        <w:rPr>
                          <w:color w:val="FDEFBE"/>
                          <w:sz w:val="72"/>
                          <w:szCs w:val="72"/>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72"/>
                          <w:szCs w:val="72"/>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left="0" w:leftChars="0" w:firstLine="0" w:firstLineChars="0"/>
        <w:jc w:val="center"/>
        <w:rPr>
          <w:rFonts w:ascii="楷体" w:hAnsi="楷体" w:eastAsia="楷体" w:cs="楷体"/>
          <w:b/>
          <w:sz w:val="40"/>
          <w:szCs w:val="40"/>
        </w:rPr>
      </w:pPr>
      <w:r>
        <w:rPr>
          <w:rFonts w:hint="eastAsia" w:ascii="楷体" w:hAnsi="楷体" w:eastAsia="楷体" w:cs="楷体"/>
          <w:b/>
          <w:sz w:val="40"/>
          <w:szCs w:val="40"/>
        </w:rPr>
        <w:t>（部门公章）</w:t>
      </w:r>
    </w:p>
    <w:p>
      <w:pPr>
        <w:widowControl/>
        <w:ind w:left="0" w:leftChars="0" w:firstLine="0" w:firstLineChars="0"/>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二〇一九年八月</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4624"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462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left="2238" w:leftChars="304" w:hanging="1600" w:hangingChars="500"/>
        <w:rPr>
          <w:rFonts w:eastAsia="黑体"/>
          <w:sz w:val="32"/>
          <w:szCs w:val="32"/>
        </w:rPr>
      </w:pPr>
      <w:r>
        <w:rPr>
          <w:rFonts w:eastAsia="黑体"/>
          <w:sz w:val="32"/>
          <w:szCs w:val="32"/>
        </w:rPr>
        <w:t xml:space="preserve">第三部分  </w:t>
      </w:r>
      <w:r>
        <w:rPr>
          <w:rFonts w:hint="eastAsia" w:eastAsia="黑体"/>
          <w:sz w:val="32"/>
          <w:szCs w:val="32"/>
          <w:lang w:eastAsia="zh-CN"/>
        </w:rPr>
        <w:t>唐山市丰润区市场监督管理局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3600"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7360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ezVw+2wAAAAsBAAAPAAAAAAAAAAEAIAAAACIAAABkcnMvZG93bnJldi54bWxQSwECFAAU&#10;AAAACACHTuJAIRuBe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1552"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部门职责</w:t>
      </w:r>
    </w:p>
    <w:p>
      <w:pPr>
        <w:ind w:firstLine="560"/>
        <w:rPr>
          <w:rFonts w:ascii="仿宋" w:hAnsi="仿宋" w:eastAsia="仿宋"/>
          <w:sz w:val="32"/>
          <w:szCs w:val="32"/>
        </w:rPr>
      </w:pPr>
      <w:r>
        <w:rPr>
          <w:rFonts w:ascii="仿宋" w:hAnsi="仿宋" w:eastAsia="仿宋"/>
          <w:sz w:val="32"/>
          <w:szCs w:val="32"/>
        </w:rPr>
        <w:t>（一）贯彻执行国家、省、市有关食品药品安全监管、工商行政管理、质量技术监督等方面的法律、规章政策和标准规范，拟订区市场监督管理办法并组织实施；依法开展市场监督管理和行政执法工作。</w:t>
      </w:r>
    </w:p>
    <w:p>
      <w:pPr>
        <w:ind w:firstLine="560"/>
        <w:rPr>
          <w:rFonts w:ascii="仿宋" w:hAnsi="仿宋" w:eastAsia="仿宋"/>
          <w:sz w:val="32"/>
          <w:szCs w:val="32"/>
        </w:rPr>
      </w:pPr>
      <w:r>
        <w:rPr>
          <w:rFonts w:ascii="仿宋" w:hAnsi="仿宋" w:eastAsia="仿宋"/>
          <w:sz w:val="32"/>
          <w:szCs w:val="32"/>
        </w:rPr>
        <w:t>（二）依法承担对各类市场经营秩序监管职责；负责市场交易（含网络商品等虚拟交易）行为和有关服务行为监管职责，维护公平竞争的市场经营秩序；负责组织建设电子商务信用体系、监管体系；依法监督管理经纪人、经纪机构及经纪活动；依法监督管理直销企业和直销人员及其直销活动，牵头打击传销违法行为；负责广告活动的监督管理工作。</w:t>
      </w:r>
    </w:p>
    <w:p>
      <w:pPr>
        <w:ind w:firstLine="560"/>
        <w:rPr>
          <w:rFonts w:ascii="仿宋" w:hAnsi="仿宋" w:eastAsia="仿宋"/>
          <w:sz w:val="32"/>
          <w:szCs w:val="32"/>
        </w:rPr>
      </w:pPr>
      <w:r>
        <w:rPr>
          <w:rFonts w:ascii="仿宋" w:hAnsi="仿宋" w:eastAsia="仿宋"/>
          <w:sz w:val="32"/>
          <w:szCs w:val="32"/>
        </w:rPr>
        <w:t>（三）承担垄断协议、滥用市场支配地位、滥用行政权力排除限制竞争等垄断执法（价格垄断行为除外）有关工作；依法查处不正当竞争、商业贿赂、走私贩私等经济违法行为。</w:t>
      </w:r>
    </w:p>
    <w:p>
      <w:pPr>
        <w:ind w:firstLine="560"/>
        <w:rPr>
          <w:rFonts w:ascii="仿宋" w:hAnsi="仿宋" w:eastAsia="仿宋"/>
          <w:sz w:val="32"/>
          <w:szCs w:val="32"/>
        </w:rPr>
      </w:pPr>
      <w:r>
        <w:rPr>
          <w:rFonts w:ascii="仿宋" w:hAnsi="仿宋" w:eastAsia="仿宋"/>
          <w:sz w:val="32"/>
          <w:szCs w:val="32"/>
        </w:rPr>
        <w:t>（四）负责各类企业、农民专业合作社和从事生产经营活动单位、个人等市场主体的登记注册和监督管理，承担依法查处取缔无照经营行为的职责。</w:t>
      </w:r>
    </w:p>
    <w:p>
      <w:pPr>
        <w:ind w:firstLine="560"/>
        <w:rPr>
          <w:rFonts w:ascii="仿宋" w:hAnsi="仿宋" w:eastAsia="仿宋"/>
          <w:sz w:val="32"/>
          <w:szCs w:val="32"/>
        </w:rPr>
      </w:pPr>
      <w:r>
        <w:rPr>
          <w:rFonts w:ascii="仿宋" w:hAnsi="仿宋" w:eastAsia="仿宋"/>
          <w:sz w:val="32"/>
          <w:szCs w:val="32"/>
        </w:rPr>
        <w:t>（五）负责药品、医疗器械行政和技术监督，监督实施药品和医疗器械研制、生产、流通、使用方面的质量规范；贯彻执行国家有关药品、医疗器械、化妆品的方针政策和法律法规，制订全区药品、医疗器械、化妆品安全督查管理规划并监督实施。</w:t>
      </w:r>
    </w:p>
    <w:p>
      <w:pPr>
        <w:ind w:firstLine="560"/>
        <w:rPr>
          <w:rFonts w:ascii="仿宋" w:hAnsi="仿宋" w:eastAsia="仿宋"/>
          <w:sz w:val="32"/>
          <w:szCs w:val="32"/>
        </w:rPr>
      </w:pPr>
      <w:r>
        <w:rPr>
          <w:rFonts w:ascii="仿宋" w:hAnsi="仿宋" w:eastAsia="仿宋"/>
          <w:sz w:val="32"/>
          <w:szCs w:val="32"/>
        </w:rPr>
        <w:t>（六）监督实施国家药品、医疗器械标准，负责药品、医疗器械及药用包装材料、医疗机构制剂的监督管理；组织开展药品不良反应和医疗器械不良反应事件监测；监督实施处方药和非处方药及医疗器械分类管理制度，配合有关部门实施国家基本药物制度；负责药品、医疗器械生产、经营和医疗机构制剂许可管理。</w:t>
      </w:r>
    </w:p>
    <w:p>
      <w:pPr>
        <w:ind w:firstLine="560"/>
        <w:rPr>
          <w:rFonts w:ascii="仿宋" w:hAnsi="仿宋" w:eastAsia="仿宋"/>
          <w:sz w:val="32"/>
          <w:szCs w:val="32"/>
        </w:rPr>
      </w:pPr>
      <w:r>
        <w:rPr>
          <w:rFonts w:ascii="仿宋" w:hAnsi="仿宋" w:eastAsia="仿宋"/>
          <w:sz w:val="32"/>
          <w:szCs w:val="32"/>
        </w:rPr>
        <w:t xml:space="preserve">（七）组织实施中药、民族药监督管理规范，监督实施中药材生产质量管理规范、中药饮片炮制规范，监督实施中药品保护制度，配合综合经济部门贯彻实施医药、中药材产业政策。 </w:t>
      </w:r>
    </w:p>
    <w:p>
      <w:pPr>
        <w:ind w:firstLine="560"/>
        <w:rPr>
          <w:rFonts w:ascii="仿宋" w:hAnsi="仿宋" w:eastAsia="仿宋"/>
          <w:sz w:val="32"/>
          <w:szCs w:val="32"/>
        </w:rPr>
      </w:pPr>
      <w:r>
        <w:rPr>
          <w:rFonts w:ascii="仿宋" w:hAnsi="仿宋" w:eastAsia="仿宋"/>
          <w:sz w:val="32"/>
          <w:szCs w:val="32"/>
        </w:rPr>
        <w:t>（八）监督管理药品、医疗器械质量安全，监督管理放射性药品、麻醉药品、毒性药品、精神药品以及易制毒化学药品；发布药品、医疗器械质量安全信息。</w:t>
      </w:r>
    </w:p>
    <w:p>
      <w:pPr>
        <w:ind w:firstLine="560"/>
        <w:rPr>
          <w:rFonts w:ascii="仿宋" w:hAnsi="仿宋" w:eastAsia="仿宋"/>
          <w:sz w:val="32"/>
          <w:szCs w:val="32"/>
        </w:rPr>
      </w:pPr>
      <w:r>
        <w:rPr>
          <w:rFonts w:ascii="仿宋" w:hAnsi="仿宋" w:eastAsia="仿宋"/>
          <w:sz w:val="32"/>
          <w:szCs w:val="32"/>
        </w:rPr>
        <w:t>（九）组织查处食品、药品、医疗器械、保健食品、化妆品等的研制、生产、流通、使用方面的违法行为；监测保健食品、药品和医疗器械广告；协助开展抽样检验工作。</w:t>
      </w:r>
    </w:p>
    <w:p>
      <w:pPr>
        <w:ind w:firstLine="560"/>
        <w:rPr>
          <w:rFonts w:ascii="仿宋" w:hAnsi="仿宋" w:eastAsia="仿宋"/>
          <w:sz w:val="32"/>
          <w:szCs w:val="32"/>
        </w:rPr>
      </w:pPr>
      <w:r>
        <w:rPr>
          <w:rFonts w:ascii="仿宋" w:hAnsi="仿宋" w:eastAsia="仿宋"/>
          <w:sz w:val="32"/>
          <w:szCs w:val="32"/>
        </w:rPr>
        <w:t>（十）承担生产、流通及消费环节的食品安全监督管理职责；按规定负责食品安全突发事件应对处置和食品安全案件查处工作。</w:t>
      </w:r>
    </w:p>
    <w:p>
      <w:pPr>
        <w:ind w:firstLine="560"/>
        <w:rPr>
          <w:rFonts w:ascii="仿宋" w:hAnsi="仿宋" w:eastAsia="仿宋"/>
          <w:sz w:val="32"/>
          <w:szCs w:val="32"/>
        </w:rPr>
      </w:pPr>
      <w:r>
        <w:rPr>
          <w:rFonts w:ascii="仿宋" w:hAnsi="仿宋" w:eastAsia="仿宋"/>
          <w:sz w:val="32"/>
          <w:szCs w:val="32"/>
        </w:rPr>
        <w:t>（十一）研究分析并依法提供市场主体登记基础信息服务，制定和实施提高质量整体水平、标准化和计量事业的发展规划。</w:t>
      </w:r>
    </w:p>
    <w:p>
      <w:pPr>
        <w:ind w:firstLine="560"/>
        <w:rPr>
          <w:rFonts w:ascii="仿宋" w:hAnsi="仿宋" w:eastAsia="仿宋"/>
          <w:sz w:val="32"/>
          <w:szCs w:val="32"/>
        </w:rPr>
      </w:pPr>
      <w:r>
        <w:rPr>
          <w:rFonts w:ascii="仿宋" w:hAnsi="仿宋" w:eastAsia="仿宋"/>
          <w:sz w:val="32"/>
          <w:szCs w:val="32"/>
        </w:rPr>
        <w:t>（十二）贯彻实施质量振兴纲要，管理和指导质量技术监督科技工作；组织推进重大工程设备质量监理制度的实施；监督管理体系与产品的认证行为。</w:t>
      </w:r>
    </w:p>
    <w:p>
      <w:pPr>
        <w:ind w:firstLine="560"/>
        <w:rPr>
          <w:rFonts w:ascii="仿宋" w:hAnsi="仿宋" w:eastAsia="仿宋"/>
          <w:sz w:val="32"/>
          <w:szCs w:val="32"/>
        </w:rPr>
      </w:pPr>
      <w:r>
        <w:rPr>
          <w:rFonts w:ascii="仿宋" w:hAnsi="仿宋" w:eastAsia="仿宋"/>
          <w:sz w:val="32"/>
          <w:szCs w:val="32"/>
        </w:rPr>
        <w:t>（十三）承办产品质量诚信体系建设，组织有关产品质量事故的调查，实施缺陷产品和不安全食品召回制度；监督管理产品防伪工作；组织实施地理标志产品保护工作。</w:t>
      </w:r>
    </w:p>
    <w:p>
      <w:pPr>
        <w:ind w:firstLine="560"/>
        <w:rPr>
          <w:rFonts w:ascii="仿宋" w:hAnsi="仿宋" w:eastAsia="仿宋"/>
          <w:sz w:val="32"/>
          <w:szCs w:val="32"/>
        </w:rPr>
      </w:pPr>
      <w:r>
        <w:rPr>
          <w:rFonts w:ascii="仿宋" w:hAnsi="仿宋" w:eastAsia="仿宋"/>
          <w:sz w:val="32"/>
          <w:szCs w:val="32"/>
        </w:rPr>
        <w:t>（十四）承担产品、商品质量监督职责；管理产品、商品质量安全强制检验、风险监控、监督抽查工作；依法对产品质量检验检测机构进行监督管理；组织实施工业产品生产许可管理制度；监督管理产品质量安全仲裁检验、鉴定工作。</w:t>
      </w:r>
    </w:p>
    <w:p>
      <w:pPr>
        <w:ind w:firstLine="560"/>
        <w:rPr>
          <w:rFonts w:ascii="仿宋" w:hAnsi="仿宋" w:eastAsia="仿宋"/>
          <w:sz w:val="32"/>
          <w:szCs w:val="32"/>
        </w:rPr>
      </w:pPr>
      <w:r>
        <w:rPr>
          <w:rFonts w:ascii="仿宋" w:hAnsi="仿宋" w:eastAsia="仿宋"/>
          <w:sz w:val="32"/>
          <w:szCs w:val="32"/>
        </w:rPr>
        <w:t>（十五）负责管理计量工作；推行法定计量单位，执行国家计量制度；依法管理计量器具，组织量值传递和比对工作，规范和监督商品量、市场计量行为和计量仲裁检定；依法监督管理计量检定机构、计量器具校准机构及其他为社会提供公正数据的产品质量检验机构。</w:t>
      </w:r>
    </w:p>
    <w:p>
      <w:pPr>
        <w:ind w:firstLine="560"/>
        <w:rPr>
          <w:rFonts w:ascii="仿宋" w:hAnsi="仿宋" w:eastAsia="仿宋"/>
          <w:sz w:val="32"/>
          <w:szCs w:val="32"/>
        </w:rPr>
      </w:pPr>
      <w:r>
        <w:rPr>
          <w:rFonts w:ascii="仿宋" w:hAnsi="仿宋" w:eastAsia="仿宋"/>
          <w:sz w:val="32"/>
          <w:szCs w:val="32"/>
        </w:rPr>
        <w:t>（十六）负责管理标准化工作；组织制定区级技术规范；指导和协调有关部门标准化工作；指导推行采用国际标准和国外先进标准；组织监督标准的实施工作，监督管理组织机构代码和商品条码工作。</w:t>
      </w:r>
    </w:p>
    <w:p>
      <w:pPr>
        <w:ind w:firstLine="560"/>
        <w:rPr>
          <w:rFonts w:ascii="仿宋" w:hAnsi="仿宋" w:eastAsia="仿宋"/>
          <w:sz w:val="32"/>
          <w:szCs w:val="32"/>
        </w:rPr>
      </w:pPr>
      <w:r>
        <w:rPr>
          <w:rFonts w:ascii="仿宋" w:hAnsi="仿宋" w:eastAsia="仿宋"/>
          <w:sz w:val="32"/>
          <w:szCs w:val="32"/>
        </w:rPr>
        <w:t>（十七）承担特种设备安全监察职责；负责特种设备生产、经营、使用单位及检验检测机构监督检查；依法进行施工告知，监督管理特种设备注册登记，监督检查高耗能特种设备节能标准的执行情况；按规定权限承担产品质量事故、特种设备事故查处和相关应急救援工作。</w:t>
      </w:r>
    </w:p>
    <w:p>
      <w:pPr>
        <w:ind w:firstLine="560"/>
        <w:rPr>
          <w:rFonts w:ascii="仿宋" w:hAnsi="仿宋" w:eastAsia="仿宋"/>
          <w:sz w:val="32"/>
          <w:szCs w:val="32"/>
        </w:rPr>
      </w:pPr>
      <w:r>
        <w:rPr>
          <w:rFonts w:ascii="仿宋" w:hAnsi="仿宋" w:eastAsia="仿宋"/>
          <w:sz w:val="32"/>
          <w:szCs w:val="32"/>
        </w:rPr>
        <w:t>（十八）承担合同行政监督管理职责，查处合同违法行为；依法办理企业动产抵押登记，依法监管拍卖行为。</w:t>
      </w:r>
    </w:p>
    <w:p>
      <w:pPr>
        <w:ind w:firstLine="560"/>
        <w:rPr>
          <w:rFonts w:ascii="仿宋" w:hAnsi="仿宋" w:eastAsia="仿宋"/>
          <w:sz w:val="32"/>
          <w:szCs w:val="32"/>
        </w:rPr>
      </w:pPr>
      <w:r>
        <w:rPr>
          <w:rFonts w:ascii="仿宋" w:hAnsi="仿宋" w:eastAsia="仿宋"/>
          <w:sz w:val="32"/>
          <w:szCs w:val="32"/>
        </w:rPr>
        <w:t>（十九）按规定承担消费者权益保护职责；建立消费者权益保护体系；组织指导消费维权工作，调解消费争议。</w:t>
      </w:r>
    </w:p>
    <w:p>
      <w:pPr>
        <w:ind w:firstLine="560"/>
        <w:rPr>
          <w:rFonts w:ascii="仿宋" w:hAnsi="仿宋" w:eastAsia="仿宋"/>
          <w:sz w:val="32"/>
          <w:szCs w:val="32"/>
        </w:rPr>
      </w:pPr>
      <w:r>
        <w:rPr>
          <w:rFonts w:ascii="仿宋" w:hAnsi="仿宋" w:eastAsia="仿宋"/>
          <w:sz w:val="32"/>
          <w:szCs w:val="32"/>
        </w:rPr>
        <w:t>（二十）依法承担商标和特殊标志等保护相关工作；保护注册商标专用权和查处商标侵权行为；依法查处市场质量安全违法行为，实施有关打假和产品质量安全专项整治活动。</w:t>
      </w:r>
    </w:p>
    <w:p>
      <w:pPr>
        <w:ind w:firstLine="560"/>
        <w:rPr>
          <w:rFonts w:ascii="仿宋" w:hAnsi="仿宋" w:eastAsia="仿宋"/>
          <w:sz w:val="32"/>
          <w:szCs w:val="32"/>
        </w:rPr>
      </w:pPr>
      <w:r>
        <w:rPr>
          <w:rFonts w:ascii="仿宋" w:hAnsi="仿宋" w:eastAsia="仿宋"/>
          <w:sz w:val="32"/>
          <w:szCs w:val="32"/>
        </w:rPr>
        <w:t>（二十一）承担区食品安全委员会办公室的具体工作。</w:t>
      </w:r>
    </w:p>
    <w:p>
      <w:pPr>
        <w:ind w:firstLine="560"/>
        <w:rPr>
          <w:rFonts w:hint="eastAsia" w:ascii="仿宋" w:hAnsi="仿宋" w:eastAsia="仿宋"/>
          <w:sz w:val="32"/>
          <w:szCs w:val="32"/>
        </w:rPr>
      </w:pPr>
      <w:r>
        <w:rPr>
          <w:rFonts w:ascii="仿宋" w:hAnsi="仿宋" w:eastAsia="仿宋"/>
          <w:sz w:val="32"/>
          <w:szCs w:val="32"/>
        </w:rPr>
        <w:t>（二十二）承办区政府交办的其他事项。</w:t>
      </w:r>
    </w:p>
    <w:p>
      <w:pPr>
        <w:numPr>
          <w:ilvl w:val="0"/>
          <w:numId w:val="0"/>
        </w:num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1315" w:tblpY="743"/>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78"/>
        <w:gridCol w:w="2052"/>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87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052"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878" w:type="dxa"/>
          </w:tcPr>
          <w:p>
            <w:pPr>
              <w:spacing w:after="0" w:line="560" w:lineRule="exact"/>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唐山市丰润区市场监督管理局</w:t>
            </w:r>
          </w:p>
        </w:tc>
        <w:tc>
          <w:tcPr>
            <w:tcW w:w="2052"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行政单位</w:t>
            </w:r>
          </w:p>
        </w:tc>
        <w:tc>
          <w:tcPr>
            <w:tcW w:w="266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5648"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564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hint="eastAsia" w:ascii="宋体" w:hAnsi="宋体" w:cs="宋体"/>
                <w:color w:val="000000"/>
                <w:kern w:val="0"/>
                <w:sz w:val="20"/>
                <w:szCs w:val="20"/>
                <w:lang w:bidi="ar"/>
              </w:rPr>
            </w:pP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3881.91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2845.91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347.36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467.50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215.84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3881.91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109.10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114.41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3991.01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3991.01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667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667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w:t>
            </w:r>
            <w:r>
              <w:rPr>
                <w:rFonts w:hint="eastAsia" w:ascii="宋体" w:hAnsi="宋体" w:cs="宋体"/>
                <w:color w:val="000000"/>
                <w:kern w:val="0"/>
                <w:szCs w:val="21"/>
                <w:lang w:eastAsia="zh-CN" w:bidi="ar"/>
              </w:rPr>
              <w:t>万</w:t>
            </w:r>
            <w:r>
              <w:rPr>
                <w:rFonts w:hint="eastAsia" w:ascii="宋体" w:hAnsi="宋体" w:cs="宋体"/>
                <w:color w:val="000000"/>
                <w:kern w:val="0"/>
                <w:szCs w:val="21"/>
                <w:lang w:bidi="ar"/>
              </w:rPr>
              <w:t>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lang w:val="en-US" w:eastAsia="zh-CN"/>
              </w:rPr>
              <w:t>3881.91</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 w:val="18"/>
                <w:szCs w:val="18"/>
                <w:lang w:val="en-US" w:eastAsia="zh-CN"/>
              </w:rPr>
            </w:pPr>
            <w:r>
              <w:rPr>
                <w:rFonts w:hint="eastAsia" w:ascii="宋体" w:hAnsi="宋体" w:cs="宋体"/>
                <w:b/>
                <w:color w:val="000000"/>
                <w:sz w:val="18"/>
                <w:szCs w:val="18"/>
                <w:lang w:val="en-US" w:eastAsia="zh-CN"/>
              </w:rPr>
              <w:t>3881.91</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2011502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146.02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146.02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2011701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2708.85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2708.85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2011799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其他质量技术监督与检验检疫事务支出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18.57</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18.57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2019999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其他一般公共服务支出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机关事业单位基本养老保险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347.36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347.36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2100499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其他公共卫生支出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12.5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2101016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食品安全事务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2101099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其他食品和药品监督管理事务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49.02</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49.02</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125.50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125.50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2101103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公务员医疗补助</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216.26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szCs w:val="21"/>
                <w:lang w:eastAsia="zh-CN"/>
              </w:rPr>
            </w:pPr>
            <w:r>
              <w:rPr>
                <w:rFonts w:hint="eastAsia" w:ascii="宋体" w:hAnsi="宋体" w:cs="宋体"/>
                <w:color w:val="000000"/>
                <w:szCs w:val="21"/>
                <w:lang w:eastAsia="zh-CN"/>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215.84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215.84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327"/>
        <w:gridCol w:w="437"/>
        <w:gridCol w:w="568"/>
        <w:gridCol w:w="550"/>
        <w:gridCol w:w="485"/>
        <w:gridCol w:w="635"/>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2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3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w:t>
            </w:r>
            <w:r>
              <w:rPr>
                <w:rFonts w:hint="eastAsia" w:ascii="宋体" w:hAnsi="宋体" w:cs="宋体"/>
                <w:color w:val="000000"/>
                <w:kern w:val="0"/>
                <w:szCs w:val="21"/>
                <w:lang w:eastAsia="zh-CN" w:bidi="ar"/>
              </w:rPr>
              <w:t>万</w:t>
            </w:r>
            <w:r>
              <w:rPr>
                <w:rFonts w:hint="eastAsia" w:ascii="宋体" w:hAnsi="宋体" w:cs="宋体"/>
                <w:color w:val="000000"/>
                <w:kern w:val="0"/>
                <w:szCs w:val="21"/>
                <w:lang w:bidi="ar"/>
              </w:rPr>
              <w:t>元</w:t>
            </w:r>
          </w:p>
        </w:tc>
      </w:tr>
      <w:tr>
        <w:tblPrEx>
          <w:tblCellMar>
            <w:top w:w="0" w:type="dxa"/>
            <w:left w:w="0" w:type="dxa"/>
            <w:bottom w:w="0" w:type="dxa"/>
            <w:right w:w="0" w:type="dxa"/>
          </w:tblCellMar>
        </w:tblPrEx>
        <w:trPr>
          <w:trHeight w:val="837" w:hRule="atLeast"/>
        </w:trPr>
        <w:tc>
          <w:tcPr>
            <w:tcW w:w="270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0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03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0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3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70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0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0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40" w:hRule="atLeast"/>
        </w:trPr>
        <w:tc>
          <w:tcPr>
            <w:tcW w:w="270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3876.60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3568.84</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307.76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2011502</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一般行政管理事务</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130.02</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2011701</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行政运行</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2663.89</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2663.89</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2011799</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其他质量技术监督与检验检疫事务支出</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2019999</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其他一般公共服务支出</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42.00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42.00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2080505</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机关事业单位基本养老保险</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347.36</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347.36</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2100499</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其他公共卫生支出</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2101016</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食品安全事务</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2101099</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其他食品和药品监督管理事务</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97.74</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97.74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2101101</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行政单位医疗</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125.50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125.50</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2101103</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公务员医疗补助</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216.26</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216.26</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2210201</w:t>
            </w:r>
          </w:p>
        </w:tc>
        <w:tc>
          <w:tcPr>
            <w:tcW w:w="132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住房公积金</w:t>
            </w:r>
          </w:p>
        </w:tc>
        <w:tc>
          <w:tcPr>
            <w:tcW w:w="100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215.84</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215.84</w:t>
            </w:r>
          </w:p>
        </w:tc>
        <w:tc>
          <w:tcPr>
            <w:tcW w:w="100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29" w:type="dxa"/>
        <w:tblInd w:w="0" w:type="dxa"/>
        <w:tblLayout w:type="fixed"/>
        <w:tblCellMar>
          <w:top w:w="0" w:type="dxa"/>
          <w:left w:w="0" w:type="dxa"/>
          <w:bottom w:w="0" w:type="dxa"/>
          <w:right w:w="0" w:type="dxa"/>
        </w:tblCellMar>
      </w:tblPr>
      <w:tblGrid>
        <w:gridCol w:w="1717"/>
        <w:gridCol w:w="692"/>
        <w:gridCol w:w="378"/>
        <w:gridCol w:w="822"/>
        <w:gridCol w:w="2152"/>
        <w:gridCol w:w="68"/>
        <w:gridCol w:w="375"/>
        <w:gridCol w:w="758"/>
        <w:gridCol w:w="67"/>
        <w:gridCol w:w="758"/>
        <w:gridCol w:w="277"/>
        <w:gridCol w:w="1065"/>
      </w:tblGrid>
      <w:tr>
        <w:tblPrEx>
          <w:tblCellMar>
            <w:top w:w="0" w:type="dxa"/>
            <w:left w:w="0" w:type="dxa"/>
            <w:bottom w:w="0" w:type="dxa"/>
            <w:right w:w="0" w:type="dxa"/>
          </w:tblCellMar>
        </w:tblPrEx>
        <w:trPr>
          <w:trHeight w:val="152" w:hRule="atLeast"/>
        </w:trPr>
        <w:tc>
          <w:tcPr>
            <w:tcW w:w="9129"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9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7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44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34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204"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7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167"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w:t>
            </w:r>
            <w:r>
              <w:rPr>
                <w:rFonts w:hint="eastAsia" w:ascii="宋体" w:hAnsi="宋体" w:cs="宋体"/>
                <w:color w:val="000000"/>
                <w:kern w:val="0"/>
                <w:sz w:val="20"/>
                <w:szCs w:val="20"/>
                <w:lang w:eastAsia="zh-CN" w:bidi="ar"/>
              </w:rPr>
              <w:t>万</w:t>
            </w:r>
            <w:r>
              <w:rPr>
                <w:rFonts w:hint="eastAsia" w:ascii="宋体" w:hAnsi="宋体" w:cs="宋体"/>
                <w:color w:val="000000"/>
                <w:kern w:val="0"/>
                <w:sz w:val="20"/>
                <w:szCs w:val="20"/>
                <w:lang w:bidi="ar"/>
              </w:rPr>
              <w:t>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342"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711"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7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2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10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10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5"/>
                <w:szCs w:val="15"/>
                <w:lang w:bidi="ar"/>
              </w:rPr>
              <w:t>政府性基金预算财政拨款</w:t>
            </w: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12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3881.91</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2845.91</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2845.91</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579"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82"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297"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347.36</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347.36</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467.50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467.50</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eastAsia="宋体" w:cs="宋体"/>
                <w:color w:val="000000"/>
                <w:kern w:val="2"/>
                <w:sz w:val="20"/>
                <w:szCs w:val="20"/>
                <w:lang w:val="en-US" w:eastAsia="zh-CN" w:bidi="ar-SA"/>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215.84</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hint="default" w:ascii="宋体" w:hAnsi="宋体" w:eastAsia="宋体" w:cs="宋体"/>
                <w:color w:val="000000"/>
                <w:kern w:val="2"/>
                <w:sz w:val="20"/>
                <w:szCs w:val="20"/>
                <w:lang w:val="en-US" w:eastAsia="zh-CN" w:bidi="ar-SA"/>
              </w:rPr>
            </w:pPr>
            <w:r>
              <w:rPr>
                <w:rFonts w:hint="eastAsia" w:ascii="宋体" w:hAnsi="宋体" w:cs="宋体"/>
                <w:color w:val="000000"/>
                <w:sz w:val="20"/>
                <w:szCs w:val="20"/>
                <w:lang w:val="en-US" w:eastAsia="zh-CN"/>
              </w:rPr>
              <w:t>215.84</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3881.91</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3876.60</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3876.60</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109.10</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114.41</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114.41</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109.10</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eastAsia="宋体" w:cs="宋体"/>
                <w:color w:val="000000"/>
                <w:kern w:val="2"/>
                <w:sz w:val="18"/>
                <w:szCs w:val="18"/>
                <w:lang w:val="en-US" w:eastAsia="zh-CN" w:bidi="ar-SA"/>
              </w:rPr>
            </w:pP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09"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7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3991.01</w:t>
            </w:r>
          </w:p>
        </w:tc>
        <w:tc>
          <w:tcPr>
            <w:tcW w:w="22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7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2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kern w:val="2"/>
                <w:sz w:val="18"/>
                <w:szCs w:val="18"/>
                <w:lang w:val="en-US" w:eastAsia="zh-CN" w:bidi="ar-SA"/>
              </w:rPr>
            </w:pPr>
            <w:r>
              <w:rPr>
                <w:rFonts w:hint="eastAsia" w:ascii="宋体" w:hAnsi="宋体" w:cs="宋体"/>
                <w:color w:val="000000"/>
                <w:sz w:val="18"/>
                <w:szCs w:val="18"/>
                <w:lang w:val="en-US" w:eastAsia="zh-CN"/>
              </w:rPr>
              <w:t>3991.01</w:t>
            </w:r>
          </w:p>
        </w:tc>
        <w:tc>
          <w:tcPr>
            <w:tcW w:w="103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33991.01</w:t>
            </w:r>
          </w:p>
        </w:tc>
        <w:tc>
          <w:tcPr>
            <w:tcW w:w="10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9129"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w:t>
            </w:r>
            <w:r>
              <w:rPr>
                <w:rFonts w:hint="eastAsia" w:ascii="宋体" w:hAnsi="宋体" w:cs="宋体"/>
                <w:color w:val="000000"/>
                <w:kern w:val="0"/>
                <w:szCs w:val="21"/>
                <w:lang w:eastAsia="zh-CN" w:bidi="ar"/>
              </w:rPr>
              <w:t>万</w:t>
            </w:r>
            <w:r>
              <w:rPr>
                <w:rFonts w:hint="eastAsia" w:ascii="宋体" w:hAnsi="宋体" w:cs="宋体"/>
                <w:color w:val="000000"/>
                <w:kern w:val="0"/>
                <w:szCs w:val="21"/>
                <w:lang w:bidi="ar"/>
              </w:rPr>
              <w:t>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3876.60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lang w:val="en-US" w:eastAsia="zh-CN"/>
              </w:rPr>
              <w:t>3568.84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307.76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130.02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2011701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2663.89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2663.89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2011799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其他质量技术监督与检验检疫事务支出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2019999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42.00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机关事业单位基本养老保险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347.36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347.36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2100409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重大公共卫生专项</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2101016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食品安全事务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18.00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2101099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其他食品和药品监督管理事务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97.74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125.50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125.50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2101103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公务员医疗补助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216.26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216.26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default" w:ascii="宋体" w:hAnsi="宋体" w:eastAsia="宋体" w:cs="宋体"/>
                <w:color w:val="000000"/>
                <w:kern w:val="2"/>
                <w:sz w:val="21"/>
                <w:szCs w:val="21"/>
                <w:lang w:val="en-US" w:eastAsia="zh-CN" w:bidi="ar-SA"/>
              </w:rPr>
            </w:pPr>
            <w:r>
              <w:rPr>
                <w:rFonts w:hint="eastAsia" w:ascii="宋体" w:hAnsi="宋体" w:cs="宋体"/>
                <w:color w:val="000000"/>
                <w:szCs w:val="21"/>
                <w:lang w:val="en-US" w:eastAsia="zh-CN"/>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lang w:eastAsia="zh-CN"/>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215.84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215.84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80768"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0768;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3110.43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452.12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1011.83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42.00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751.81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50.06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04"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323.44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0.89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347.36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20.49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0.36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125.50</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76.83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216.26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19.32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215.84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49.02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6.23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2.77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27.00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5.46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9.00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176.27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1.99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0.84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4.51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31.40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83.62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3116.72</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452.12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0"/>
                <w:szCs w:val="20"/>
                <w:lang w:bidi="ar"/>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1792"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179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34.4</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34.17</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34.17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31.4</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2.77</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none"/>
        </w:rPr>
        <w:sectPr>
          <w:pgSz w:w="11906" w:h="16838"/>
          <w:pgMar w:top="2098" w:right="1474" w:bottom="1984" w:left="1588" w:header="851" w:footer="992" w:gutter="0"/>
          <w:cols w:space="0" w:num="1"/>
          <w:docGrid w:type="lines" w:linePitch="312" w:charSpace="0"/>
        </w:sectPr>
      </w:pPr>
      <w:r>
        <w:rPr>
          <w:rFonts w:hint="eastAsia" w:ascii="楷体" w:hAnsi="楷体" w:eastAsia="楷体" w:cs="楷体"/>
          <w:sz w:val="32"/>
          <w:szCs w:val="32"/>
          <w:highlight w:val="none"/>
        </w:rPr>
        <w:t>本部门本年度无相关收入（或支出、收支及结转结余等）情况，按要求空表列示。</w:t>
      </w:r>
    </w:p>
    <w:tbl>
      <w:tblPr>
        <w:tblStyle w:val="12"/>
        <w:tblW w:w="8940" w:type="dxa"/>
        <w:tblInd w:w="0" w:type="dxa"/>
        <w:tblLayout w:type="fixed"/>
        <w:tblCellMar>
          <w:top w:w="0" w:type="dxa"/>
          <w:left w:w="0" w:type="dxa"/>
          <w:bottom w:w="0" w:type="dxa"/>
          <w:right w:w="0" w:type="dxa"/>
        </w:tblCellMar>
      </w:tblPr>
      <w:tblGrid>
        <w:gridCol w:w="442"/>
        <w:gridCol w:w="208"/>
        <w:gridCol w:w="504"/>
        <w:gridCol w:w="274"/>
        <w:gridCol w:w="473"/>
        <w:gridCol w:w="421"/>
        <w:gridCol w:w="782"/>
        <w:gridCol w:w="1"/>
        <w:gridCol w:w="252"/>
        <w:gridCol w:w="537"/>
        <w:gridCol w:w="362"/>
        <w:gridCol w:w="747"/>
        <w:gridCol w:w="164"/>
        <w:gridCol w:w="195"/>
        <w:gridCol w:w="46"/>
        <w:gridCol w:w="1032"/>
        <w:gridCol w:w="120"/>
        <w:gridCol w:w="341"/>
        <w:gridCol w:w="813"/>
        <w:gridCol w:w="1086"/>
        <w:gridCol w:w="140"/>
      </w:tblGrid>
      <w:tr>
        <w:tblPrEx>
          <w:tblCellMar>
            <w:top w:w="0" w:type="dxa"/>
            <w:left w:w="0" w:type="dxa"/>
            <w:bottom w:w="0" w:type="dxa"/>
            <w:right w:w="0" w:type="dxa"/>
          </w:tblCellMar>
        </w:tblPrEx>
        <w:trPr>
          <w:gridAfter w:val="1"/>
          <w:wAfter w:w="140" w:type="dxa"/>
          <w:trHeight w:val="656" w:hRule="atLeast"/>
        </w:trPr>
        <w:tc>
          <w:tcPr>
            <w:tcW w:w="8800" w:type="dxa"/>
            <w:gridSpan w:val="20"/>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gridAfter w:val="1"/>
          <w:wAfter w:w="140" w:type="dxa"/>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gridAfter w:val="1"/>
          <w:wAfter w:w="140" w:type="dxa"/>
          <w:trHeight w:val="335" w:hRule="atLeast"/>
        </w:trPr>
        <w:tc>
          <w:tcPr>
            <w:tcW w:w="3357"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p>
        </w:tc>
        <w:tc>
          <w:tcPr>
            <w:tcW w:w="200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6"/>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gridAfter w:val="1"/>
          <w:wAfter w:w="140" w:type="dxa"/>
          <w:trHeight w:val="358" w:hRule="atLeast"/>
        </w:trPr>
        <w:tc>
          <w:tcPr>
            <w:tcW w:w="3105"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1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gridAfter w:val="1"/>
          <w:wAfter w:w="140" w:type="dxa"/>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gridAfter w:val="1"/>
          <w:wAfter w:w="140" w:type="dxa"/>
          <w:trHeight w:val="358" w:hRule="atLeast"/>
        </w:trPr>
        <w:tc>
          <w:tcPr>
            <w:tcW w:w="310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gridAfter w:val="1"/>
          <w:wAfter w:w="140" w:type="dxa"/>
          <w:trHeight w:val="358" w:hRule="atLeast"/>
        </w:trPr>
        <w:tc>
          <w:tcPr>
            <w:tcW w:w="310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gridAfter w:val="1"/>
          <w:wAfter w:w="140" w:type="dxa"/>
          <w:trHeight w:val="358" w:hRule="atLeast"/>
        </w:trPr>
        <w:tc>
          <w:tcPr>
            <w:tcW w:w="8800" w:type="dxa"/>
            <w:gridSpan w:val="20"/>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注：本表反映部门本年度国有资本经营预算财政拨款支出情况。</w:t>
            </w:r>
          </w:p>
        </w:tc>
      </w:tr>
      <w:tr>
        <w:tblPrEx>
          <w:tblCellMar>
            <w:top w:w="0" w:type="dxa"/>
            <w:left w:w="0" w:type="dxa"/>
            <w:bottom w:w="0" w:type="dxa"/>
            <w:right w:w="0" w:type="dxa"/>
          </w:tblCellMar>
        </w:tblPrEx>
        <w:trPr>
          <w:trHeight w:val="635" w:hRule="atLeast"/>
        </w:trPr>
        <w:tc>
          <w:tcPr>
            <w:tcW w:w="8940" w:type="dxa"/>
            <w:gridSpan w:val="21"/>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楷体" w:hAnsi="楷体" w:eastAsia="楷体" w:cs="楷体"/>
                <w:sz w:val="32"/>
                <w:szCs w:val="32"/>
                <w:highlight w:val="none"/>
              </w:rPr>
            </w:pPr>
            <w:r>
              <w:rPr>
                <w:rFonts w:hint="eastAsia" w:ascii="楷体" w:hAnsi="楷体" w:eastAsia="楷体" w:cs="楷体"/>
                <w:sz w:val="32"/>
                <w:szCs w:val="32"/>
                <w:highlight w:val="none"/>
              </w:rPr>
              <w:t>本部门本年度无相关收入（或支出、收支及结转结余等）情况，按要求空表列示。</w:t>
            </w: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hint="eastAsia" w:ascii="楷体" w:hAnsi="楷体" w:eastAsia="楷体" w:cs="楷体"/>
                <w:sz w:val="32"/>
                <w:szCs w:val="32"/>
                <w:highlight w:val="yellow"/>
              </w:rPr>
            </w:pPr>
          </w:p>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-1020445</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0.35pt;height:41.2pt;width:243.2pt;mso-position-vertical-relative:page;z-index:251684864;mso-width-relative:page;mso-height-relative:page;" coordorigin="4551,52615" coordsize="8546,1398" o:gfxdata="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BT&#10;hgEr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1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p>
        </w:tc>
        <w:tc>
          <w:tcPr>
            <w:tcW w:w="2500"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1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50"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gridSpan w:val="5"/>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16"/>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gridSpan w:val="5"/>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1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gridSpan w:val="5"/>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35"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21"/>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rPr>
          <w:highlight w:val="none"/>
        </w:rPr>
      </w:pPr>
      <w:r>
        <w:rPr>
          <w:rFonts w:hint="eastAsia" w:ascii="楷体" w:hAnsi="楷体" w:eastAsia="楷体" w:cs="楷体"/>
          <w:sz w:val="32"/>
          <w:szCs w:val="32"/>
          <w:highlight w:val="none"/>
        </w:rPr>
        <w:t>本部门本年度无相关收入（或支出、收支及结转结余等）情况，按要求空表列示。</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305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30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ind w:firstLine="560"/>
        <w:rPr>
          <w:rFonts w:hint="eastAsia" w:ascii="仿宋" w:hAnsi="仿宋" w:eastAsia="仿宋"/>
          <w:sz w:val="32"/>
          <w:szCs w:val="32"/>
          <w:lang w:eastAsia="zh-CN"/>
        </w:rPr>
      </w:pPr>
      <w:r>
        <w:rPr>
          <w:rFonts w:hint="eastAsia" w:ascii="仿宋" w:hAnsi="仿宋" w:eastAsia="仿宋"/>
          <w:sz w:val="32"/>
          <w:szCs w:val="32"/>
        </w:rPr>
        <w:t>市场监督管理局201</w:t>
      </w:r>
      <w:r>
        <w:rPr>
          <w:rFonts w:hint="eastAsia" w:ascii="仿宋" w:hAnsi="仿宋" w:eastAsia="仿宋"/>
          <w:sz w:val="32"/>
          <w:szCs w:val="32"/>
          <w:lang w:val="en-US" w:eastAsia="zh-CN"/>
        </w:rPr>
        <w:t>8</w:t>
      </w:r>
      <w:r>
        <w:rPr>
          <w:rFonts w:hint="eastAsia" w:ascii="仿宋" w:hAnsi="仿宋" w:eastAsia="仿宋"/>
          <w:sz w:val="32"/>
          <w:szCs w:val="32"/>
        </w:rPr>
        <w:t>年度决算收入总计</w:t>
      </w:r>
      <w:r>
        <w:rPr>
          <w:rFonts w:hint="eastAsia" w:ascii="仿宋" w:hAnsi="仿宋" w:eastAsia="仿宋"/>
          <w:sz w:val="32"/>
          <w:szCs w:val="32"/>
          <w:lang w:val="en-US" w:eastAsia="zh-CN"/>
        </w:rPr>
        <w:t>38819144.62</w:t>
      </w:r>
      <w:r>
        <w:rPr>
          <w:rFonts w:hint="eastAsia" w:ascii="仿宋" w:hAnsi="仿宋" w:eastAsia="仿宋"/>
          <w:sz w:val="32"/>
          <w:szCs w:val="32"/>
        </w:rPr>
        <w:t>元，决算支出总计</w:t>
      </w:r>
      <w:r>
        <w:rPr>
          <w:rFonts w:hint="eastAsia" w:ascii="仿宋" w:hAnsi="仿宋" w:eastAsia="仿宋"/>
          <w:sz w:val="32"/>
          <w:szCs w:val="32"/>
          <w:lang w:val="en-US" w:eastAsia="zh-CN"/>
        </w:rPr>
        <w:t>38766015.62</w:t>
      </w:r>
      <w:r>
        <w:rPr>
          <w:rFonts w:hint="eastAsia" w:ascii="仿宋" w:hAnsi="仿宋" w:eastAsia="仿宋"/>
          <w:sz w:val="32"/>
          <w:szCs w:val="32"/>
        </w:rPr>
        <w:t>元；市场监督管理局201</w:t>
      </w:r>
      <w:r>
        <w:rPr>
          <w:rFonts w:hint="eastAsia" w:ascii="仿宋" w:hAnsi="仿宋" w:eastAsia="仿宋"/>
          <w:sz w:val="32"/>
          <w:szCs w:val="32"/>
          <w:lang w:val="en-US" w:eastAsia="zh-CN"/>
        </w:rPr>
        <w:t>7</w:t>
      </w:r>
      <w:r>
        <w:rPr>
          <w:rFonts w:hint="eastAsia" w:ascii="仿宋" w:hAnsi="仿宋" w:eastAsia="仿宋"/>
          <w:sz w:val="32"/>
          <w:szCs w:val="32"/>
        </w:rPr>
        <w:t>年度决算收入总计41414341.53元，决算支出总计41632141.53元。201</w:t>
      </w:r>
      <w:r>
        <w:rPr>
          <w:rFonts w:hint="eastAsia" w:ascii="仿宋" w:hAnsi="仿宋" w:eastAsia="仿宋"/>
          <w:sz w:val="32"/>
          <w:szCs w:val="32"/>
          <w:lang w:val="en-US" w:eastAsia="zh-CN"/>
        </w:rPr>
        <w:t>8</w:t>
      </w:r>
      <w:r>
        <w:rPr>
          <w:rFonts w:hint="eastAsia" w:ascii="仿宋" w:hAnsi="仿宋" w:eastAsia="仿宋"/>
          <w:sz w:val="32"/>
          <w:szCs w:val="32"/>
        </w:rPr>
        <w:t>年收支较201</w:t>
      </w:r>
      <w:r>
        <w:rPr>
          <w:rFonts w:hint="eastAsia" w:ascii="仿宋" w:hAnsi="仿宋" w:eastAsia="仿宋"/>
          <w:sz w:val="32"/>
          <w:szCs w:val="32"/>
          <w:lang w:val="en-US" w:eastAsia="zh-CN"/>
        </w:rPr>
        <w:t>7</w:t>
      </w:r>
      <w:r>
        <w:rPr>
          <w:rFonts w:hint="eastAsia" w:ascii="仿宋" w:hAnsi="仿宋" w:eastAsia="仿宋"/>
          <w:sz w:val="32"/>
          <w:szCs w:val="32"/>
        </w:rPr>
        <w:t>年</w:t>
      </w:r>
      <w:r>
        <w:rPr>
          <w:rFonts w:hint="eastAsia" w:ascii="仿宋" w:hAnsi="仿宋" w:eastAsia="仿宋"/>
          <w:sz w:val="32"/>
          <w:szCs w:val="32"/>
          <w:lang w:eastAsia="zh-CN"/>
        </w:rPr>
        <w:t>下降</w:t>
      </w:r>
      <w:r>
        <w:rPr>
          <w:rFonts w:hint="eastAsia" w:ascii="仿宋" w:hAnsi="仿宋" w:eastAsia="仿宋"/>
          <w:sz w:val="32"/>
          <w:szCs w:val="32"/>
        </w:rPr>
        <w:t>约6.7个百分点，主要为人员经费</w:t>
      </w:r>
      <w:r>
        <w:rPr>
          <w:rFonts w:hint="eastAsia" w:ascii="仿宋" w:hAnsi="仿宋" w:eastAsia="仿宋"/>
          <w:sz w:val="32"/>
          <w:szCs w:val="32"/>
          <w:lang w:eastAsia="zh-CN"/>
        </w:rPr>
        <w:t>支出减少（退休、死亡、调出等原因）。</w:t>
      </w:r>
    </w:p>
    <w:p>
      <w:pPr>
        <w:ind w:firstLine="560"/>
        <w:rPr>
          <w:rFonts w:hint="eastAsia" w:ascii="仿宋" w:hAnsi="仿宋" w:eastAsia="仿宋"/>
          <w:sz w:val="32"/>
          <w:szCs w:val="32"/>
        </w:rPr>
      </w:pPr>
      <w:r>
        <w:rPr>
          <w:rFonts w:hint="eastAsia" w:ascii="仿宋" w:hAnsi="仿宋" w:eastAsia="仿宋"/>
          <w:sz w:val="32"/>
          <w:szCs w:val="32"/>
        </w:rPr>
        <w:t>决算收入总计中，含用事业基金弥补收支差额0元；年初结转和结余</w:t>
      </w:r>
      <w:r>
        <w:rPr>
          <w:rFonts w:hint="eastAsia" w:ascii="仿宋" w:hAnsi="仿宋" w:eastAsia="仿宋"/>
          <w:sz w:val="32"/>
          <w:szCs w:val="32"/>
          <w:lang w:val="en-US" w:eastAsia="zh-CN"/>
        </w:rPr>
        <w:t>1090971</w:t>
      </w:r>
      <w:r>
        <w:rPr>
          <w:rFonts w:hint="eastAsia" w:ascii="仿宋" w:hAnsi="仿宋" w:eastAsia="仿宋"/>
          <w:sz w:val="32"/>
          <w:szCs w:val="32"/>
        </w:rPr>
        <w:t>元;决算支出总计中，含结余分配</w:t>
      </w:r>
      <w:r>
        <w:rPr>
          <w:rFonts w:hint="eastAsia" w:ascii="仿宋" w:hAnsi="仿宋" w:eastAsia="仿宋"/>
          <w:sz w:val="32"/>
          <w:szCs w:val="32"/>
          <w:lang w:val="en-US" w:eastAsia="zh-CN"/>
        </w:rPr>
        <w:t>0</w:t>
      </w:r>
      <w:r>
        <w:rPr>
          <w:rFonts w:hint="eastAsia" w:ascii="仿宋" w:hAnsi="仿宋" w:eastAsia="仿宋"/>
          <w:sz w:val="32"/>
          <w:szCs w:val="32"/>
        </w:rPr>
        <w:t>元；年末结转和结余</w:t>
      </w:r>
      <w:r>
        <w:rPr>
          <w:rFonts w:hint="eastAsia" w:ascii="仿宋" w:hAnsi="仿宋" w:eastAsia="仿宋"/>
          <w:sz w:val="32"/>
          <w:szCs w:val="32"/>
          <w:lang w:val="en-US" w:eastAsia="zh-CN"/>
        </w:rPr>
        <w:t>1144100</w:t>
      </w:r>
      <w:r>
        <w:rPr>
          <w:rFonts w:hint="eastAsia" w:ascii="仿宋" w:hAnsi="仿宋" w:eastAsia="仿宋"/>
          <w:sz w:val="32"/>
          <w:szCs w:val="32"/>
        </w:rPr>
        <w:t>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ind w:firstLine="560"/>
        <w:rPr>
          <w:rFonts w:hint="eastAsia" w:ascii="仿宋" w:hAnsi="仿宋" w:eastAsia="仿宋"/>
          <w:sz w:val="32"/>
          <w:szCs w:val="32"/>
        </w:rPr>
      </w:pPr>
      <w:r>
        <w:rPr>
          <w:rFonts w:hint="eastAsia" w:ascii="仿宋" w:hAnsi="仿宋" w:eastAsia="仿宋"/>
          <w:sz w:val="32"/>
          <w:szCs w:val="32"/>
        </w:rPr>
        <w:t>本年收入合计</w:t>
      </w:r>
      <w:r>
        <w:rPr>
          <w:rFonts w:hint="eastAsia" w:ascii="仿宋" w:hAnsi="仿宋" w:eastAsia="仿宋"/>
          <w:sz w:val="32"/>
          <w:szCs w:val="32"/>
          <w:lang w:val="en-US" w:eastAsia="zh-CN"/>
        </w:rPr>
        <w:t>38819144.62</w:t>
      </w:r>
      <w:r>
        <w:rPr>
          <w:rFonts w:hint="eastAsia" w:ascii="仿宋" w:hAnsi="仿宋" w:eastAsia="仿宋"/>
          <w:sz w:val="32"/>
          <w:szCs w:val="32"/>
        </w:rPr>
        <w:t>元，其中:财政拨款收入</w:t>
      </w:r>
      <w:r>
        <w:rPr>
          <w:rFonts w:hint="eastAsia" w:ascii="仿宋" w:hAnsi="仿宋" w:eastAsia="仿宋"/>
          <w:sz w:val="32"/>
          <w:szCs w:val="32"/>
          <w:lang w:val="en-US" w:eastAsia="zh-CN"/>
        </w:rPr>
        <w:t>38819144.62</w:t>
      </w:r>
      <w:r>
        <w:rPr>
          <w:rFonts w:hint="eastAsia" w:ascii="仿宋" w:hAnsi="仿宋" w:eastAsia="仿宋"/>
          <w:sz w:val="32"/>
          <w:szCs w:val="32"/>
        </w:rPr>
        <w:t>元；上级补助收入0元；事业收入0元；其他收入0元。具体情况如下:</w:t>
      </w:r>
    </w:p>
    <w:p>
      <w:pPr>
        <w:ind w:firstLine="560"/>
        <w:rPr>
          <w:rFonts w:hint="eastAsia" w:ascii="仿宋" w:hAnsi="仿宋" w:eastAsia="仿宋"/>
          <w:sz w:val="32"/>
          <w:szCs w:val="32"/>
        </w:rPr>
      </w:pPr>
      <w:r>
        <w:rPr>
          <w:rFonts w:hint="eastAsia" w:ascii="仿宋" w:hAnsi="仿宋" w:eastAsia="仿宋"/>
          <w:sz w:val="32"/>
          <w:szCs w:val="32"/>
        </w:rPr>
        <w:t>(一)财政拨款收入</w:t>
      </w:r>
      <w:r>
        <w:rPr>
          <w:rFonts w:hint="eastAsia" w:ascii="仿宋" w:hAnsi="仿宋" w:eastAsia="仿宋"/>
          <w:sz w:val="32"/>
          <w:szCs w:val="32"/>
          <w:lang w:val="en-US" w:eastAsia="zh-CN"/>
        </w:rPr>
        <w:t>38819144.62</w:t>
      </w:r>
      <w:r>
        <w:rPr>
          <w:rFonts w:hint="eastAsia" w:ascii="仿宋" w:hAnsi="仿宋" w:eastAsia="仿宋"/>
          <w:sz w:val="32"/>
          <w:szCs w:val="32"/>
        </w:rPr>
        <w:t>元。是当年财政安排的资金。较201</w:t>
      </w:r>
      <w:r>
        <w:rPr>
          <w:rFonts w:hint="eastAsia" w:ascii="仿宋" w:hAnsi="仿宋" w:eastAsia="仿宋"/>
          <w:sz w:val="32"/>
          <w:szCs w:val="32"/>
          <w:lang w:val="en-US" w:eastAsia="zh-CN"/>
        </w:rPr>
        <w:t>7</w:t>
      </w:r>
      <w:r>
        <w:rPr>
          <w:rFonts w:hint="eastAsia" w:ascii="仿宋" w:hAnsi="仿宋" w:eastAsia="仿宋"/>
          <w:sz w:val="32"/>
          <w:szCs w:val="32"/>
        </w:rPr>
        <w:t>年决算</w:t>
      </w:r>
      <w:r>
        <w:rPr>
          <w:rFonts w:hint="eastAsia" w:ascii="仿宋" w:hAnsi="仿宋" w:eastAsia="仿宋"/>
          <w:sz w:val="32"/>
          <w:szCs w:val="32"/>
          <w:lang w:eastAsia="zh-CN"/>
        </w:rPr>
        <w:t>减少</w:t>
      </w:r>
      <w:r>
        <w:rPr>
          <w:rFonts w:hint="eastAsia" w:ascii="仿宋" w:hAnsi="仿宋" w:eastAsia="仿宋"/>
          <w:sz w:val="32"/>
          <w:szCs w:val="32"/>
        </w:rPr>
        <w:t>，主要原因是人员经费</w:t>
      </w:r>
      <w:r>
        <w:rPr>
          <w:rFonts w:hint="eastAsia" w:ascii="仿宋" w:hAnsi="仿宋" w:eastAsia="仿宋"/>
          <w:sz w:val="32"/>
          <w:szCs w:val="32"/>
          <w:lang w:eastAsia="zh-CN"/>
        </w:rPr>
        <w:t>支出减少（退休、死亡、调出等原因）</w:t>
      </w:r>
      <w:r>
        <w:rPr>
          <w:rFonts w:hint="eastAsia" w:ascii="仿宋" w:hAnsi="仿宋" w:eastAsia="仿宋"/>
          <w:sz w:val="32"/>
          <w:szCs w:val="32"/>
        </w:rPr>
        <w:t>导致财政拨款收入</w:t>
      </w:r>
      <w:r>
        <w:rPr>
          <w:rFonts w:hint="eastAsia" w:ascii="仿宋" w:hAnsi="仿宋" w:eastAsia="仿宋"/>
          <w:sz w:val="32"/>
          <w:szCs w:val="32"/>
          <w:lang w:eastAsia="zh-CN"/>
        </w:rPr>
        <w:t>减少</w:t>
      </w:r>
      <w:r>
        <w:rPr>
          <w:rFonts w:hint="eastAsia" w:ascii="仿宋" w:hAnsi="仿宋" w:eastAsia="仿宋"/>
          <w:sz w:val="32"/>
          <w:szCs w:val="32"/>
        </w:rPr>
        <w:t>。</w:t>
      </w:r>
    </w:p>
    <w:p>
      <w:pPr>
        <w:ind w:firstLine="560"/>
        <w:rPr>
          <w:rFonts w:hint="eastAsia" w:ascii="仿宋" w:hAnsi="仿宋" w:eastAsia="仿宋"/>
          <w:sz w:val="32"/>
          <w:szCs w:val="32"/>
        </w:rPr>
      </w:pPr>
      <w:r>
        <w:rPr>
          <w:rFonts w:hint="eastAsia" w:ascii="仿宋" w:hAnsi="仿宋" w:eastAsia="仿宋"/>
          <w:sz w:val="32"/>
          <w:szCs w:val="32"/>
        </w:rPr>
        <w:t>(二)事业收入0元。</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 w:hAnsi="仿宋" w:eastAsia="仿宋"/>
          <w:sz w:val="32"/>
          <w:szCs w:val="32"/>
        </w:rPr>
        <w:t>(三)其他收入0元。</w:t>
      </w:r>
      <w:r>
        <w:rPr>
          <w:rFonts w:hint="eastAsia" w:ascii="仿宋_GB2312" w:eastAsia="仿宋_GB2312" w:cs="DengXian-Regular"/>
          <w:sz w:val="32"/>
          <w:szCs w:val="32"/>
        </w:rPr>
        <w:t>如图所示：</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240" w:lineRule="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5095875" cy="4076700"/>
            <wp:effectExtent l="0" t="0" r="9525" b="0"/>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8"/>
                    <a:stretch>
                      <a:fillRect/>
                    </a:stretch>
                  </pic:blipFill>
                  <pic:spPr>
                    <a:xfrm>
                      <a:off x="0" y="0"/>
                      <a:ext cx="5095875" cy="4076700"/>
                    </a:xfrm>
                    <a:prstGeom prst="rect">
                      <a:avLst/>
                    </a:prstGeom>
                  </pic:spPr>
                </pic:pic>
              </a:graphicData>
            </a:graphic>
          </wp:inline>
        </w:drawing>
      </w:r>
    </w:p>
    <w:p>
      <w:pPr>
        <w:adjustRightInd w:val="0"/>
        <w:snapToGrid w:val="0"/>
        <w:spacing w:after="0" w:line="240" w:lineRule="auto"/>
        <w:ind w:firstLine="1920" w:firstLineChars="600"/>
        <w:rPr>
          <w:rFonts w:hint="eastAsia" w:ascii="仿宋_GB2312" w:eastAsia="仿宋_GB2312" w:cs="DengXian-Regular"/>
          <w:sz w:val="32"/>
          <w:szCs w:val="32"/>
          <w:lang w:eastAsia="zh-CN"/>
        </w:rPr>
      </w:pPr>
    </w:p>
    <w:p>
      <w:pPr>
        <w:tabs>
          <w:tab w:val="left" w:pos="445"/>
        </w:tabs>
        <w:adjustRightInd w:val="0"/>
        <w:snapToGrid w:val="0"/>
        <w:spacing w:after="0" w:line="580" w:lineRule="exact"/>
        <w:ind w:firstLine="1920" w:firstLineChars="6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ab/>
      </w:r>
    </w:p>
    <w:p>
      <w:pPr>
        <w:tabs>
          <w:tab w:val="left" w:pos="445"/>
        </w:tabs>
        <w:adjustRightInd w:val="0"/>
        <w:snapToGrid w:val="0"/>
        <w:spacing w:after="0" w:line="580" w:lineRule="exact"/>
        <w:ind w:firstLine="1920" w:firstLineChars="600"/>
        <w:rPr>
          <w:rFonts w:hint="eastAsia" w:ascii="仿宋_GB2312" w:eastAsia="仿宋_GB2312" w:cs="DengXian-Regular"/>
          <w:sz w:val="32"/>
          <w:szCs w:val="32"/>
          <w:lang w:eastAsia="zh-CN"/>
        </w:rPr>
      </w:pPr>
    </w:p>
    <w:p>
      <w:pPr>
        <w:tabs>
          <w:tab w:val="left" w:pos="445"/>
        </w:tabs>
        <w:adjustRightInd w:val="0"/>
        <w:snapToGrid w:val="0"/>
        <w:spacing w:after="0" w:line="580" w:lineRule="exact"/>
        <w:ind w:firstLine="1920" w:firstLineChars="600"/>
        <w:rPr>
          <w:rFonts w:hint="eastAsia" w:ascii="仿宋_GB2312" w:eastAsia="仿宋_GB2312" w:cs="DengXian-Regular"/>
          <w:sz w:val="32"/>
          <w:szCs w:val="32"/>
          <w:lang w:eastAsia="zh-CN"/>
        </w:rPr>
      </w:pPr>
    </w:p>
    <w:p>
      <w:pPr>
        <w:tabs>
          <w:tab w:val="left" w:pos="445"/>
        </w:tabs>
        <w:adjustRightInd w:val="0"/>
        <w:snapToGrid w:val="0"/>
        <w:spacing w:after="0" w:line="580" w:lineRule="exact"/>
        <w:ind w:firstLine="1920" w:firstLineChars="600"/>
        <w:rPr>
          <w:rFonts w:hint="eastAsia" w:ascii="仿宋_GB2312" w:eastAsia="仿宋_GB2312" w:cs="DengXian-Regular"/>
          <w:sz w:val="32"/>
          <w:szCs w:val="32"/>
          <w:lang w:eastAsia="zh-CN"/>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ind w:firstLine="560"/>
        <w:rPr>
          <w:rFonts w:hint="eastAsia" w:ascii="仿宋" w:hAnsi="仿宋" w:eastAsia="仿宋"/>
          <w:sz w:val="32"/>
          <w:szCs w:val="32"/>
        </w:rPr>
      </w:pPr>
      <w:r>
        <w:rPr>
          <w:rFonts w:hint="eastAsia" w:ascii="仿宋" w:hAnsi="仿宋" w:eastAsia="仿宋"/>
          <w:sz w:val="32"/>
          <w:szCs w:val="32"/>
        </w:rPr>
        <w:t>本年支出合计</w:t>
      </w:r>
      <w:r>
        <w:rPr>
          <w:rFonts w:hint="eastAsia" w:ascii="仿宋" w:hAnsi="仿宋" w:eastAsia="仿宋"/>
          <w:sz w:val="32"/>
          <w:szCs w:val="32"/>
          <w:lang w:val="en-US" w:eastAsia="zh-CN"/>
        </w:rPr>
        <w:t>38766015.62</w:t>
      </w:r>
      <w:r>
        <w:rPr>
          <w:rFonts w:hint="eastAsia" w:ascii="仿宋" w:hAnsi="仿宋" w:eastAsia="仿宋"/>
          <w:sz w:val="32"/>
          <w:szCs w:val="32"/>
        </w:rPr>
        <w:t>元，其中:基本支出</w:t>
      </w:r>
      <w:r>
        <w:rPr>
          <w:rFonts w:hint="eastAsia" w:ascii="仿宋" w:hAnsi="仿宋" w:eastAsia="仿宋"/>
          <w:sz w:val="32"/>
          <w:szCs w:val="32"/>
          <w:lang w:val="en-US" w:eastAsia="zh-CN"/>
        </w:rPr>
        <w:t>35688415.62</w:t>
      </w:r>
      <w:r>
        <w:rPr>
          <w:rFonts w:hint="eastAsia" w:ascii="仿宋" w:hAnsi="仿宋" w:eastAsia="仿宋"/>
          <w:sz w:val="32"/>
          <w:szCs w:val="32"/>
        </w:rPr>
        <w:t>元，占92.</w:t>
      </w:r>
      <w:r>
        <w:rPr>
          <w:rFonts w:hint="eastAsia" w:ascii="仿宋" w:hAnsi="仿宋" w:eastAsia="仿宋"/>
          <w:sz w:val="32"/>
          <w:szCs w:val="32"/>
          <w:lang w:val="en-US" w:eastAsia="zh-CN"/>
        </w:rPr>
        <w:t>06</w:t>
      </w:r>
      <w:r>
        <w:rPr>
          <w:rFonts w:hint="eastAsia" w:ascii="仿宋" w:hAnsi="仿宋" w:eastAsia="仿宋"/>
          <w:sz w:val="32"/>
          <w:szCs w:val="32"/>
        </w:rPr>
        <w:t>%;项目支出</w:t>
      </w:r>
      <w:r>
        <w:rPr>
          <w:rFonts w:hint="eastAsia" w:ascii="仿宋" w:hAnsi="仿宋" w:eastAsia="仿宋"/>
          <w:sz w:val="32"/>
          <w:szCs w:val="32"/>
          <w:lang w:val="en-US" w:eastAsia="zh-CN"/>
        </w:rPr>
        <w:t>3077600.00</w:t>
      </w:r>
      <w:r>
        <w:rPr>
          <w:rFonts w:hint="eastAsia" w:ascii="仿宋" w:hAnsi="仿宋" w:eastAsia="仿宋"/>
          <w:sz w:val="32"/>
          <w:szCs w:val="32"/>
        </w:rPr>
        <w:t>元，占7.</w:t>
      </w:r>
      <w:r>
        <w:rPr>
          <w:rFonts w:hint="eastAsia" w:ascii="仿宋" w:hAnsi="仿宋" w:eastAsia="仿宋"/>
          <w:sz w:val="32"/>
          <w:szCs w:val="32"/>
          <w:lang w:val="en-US" w:eastAsia="zh-CN"/>
        </w:rPr>
        <w:t>94</w:t>
      </w:r>
      <w:r>
        <w:rPr>
          <w:rFonts w:hint="eastAsia" w:ascii="仿宋" w:hAnsi="仿宋" w:eastAsia="仿宋"/>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588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58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240" w:lineRule="auto"/>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584065" cy="2755265"/>
            <wp:effectExtent l="0" t="0" r="6985" b="6985"/>
            <wp:docPr id="100" name="图片 10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图片2"/>
                    <pic:cNvPicPr>
                      <a:picLocks noChangeAspect="1"/>
                    </pic:cNvPicPr>
                  </pic:nvPicPr>
                  <pic:blipFill>
                    <a:blip r:embed="rId9"/>
                    <a:stretch>
                      <a:fillRect/>
                    </a:stretch>
                  </pic:blipFill>
                  <pic:spPr>
                    <a:xfrm>
                      <a:off x="0" y="0"/>
                      <a:ext cx="4584065" cy="2755265"/>
                    </a:xfrm>
                    <a:prstGeom prst="rect">
                      <a:avLst/>
                    </a:prstGeom>
                  </pic:spPr>
                </pic:pic>
              </a:graphicData>
            </a:graphic>
          </wp:inline>
        </w:drawing>
      </w:r>
    </w:p>
    <w:p>
      <w:pPr>
        <w:bidi w:val="0"/>
        <w:jc w:val="left"/>
        <w:rPr>
          <w:rFonts w:hint="eastAsia"/>
          <w:lang w:val="en-US" w:eastAsia="zh-CN"/>
        </w:rPr>
      </w:pPr>
      <w:r>
        <w:rPr>
          <w:sz w:val="32"/>
        </w:rPr>
        <mc:AlternateContent>
          <mc:Choice Requires="wps">
            <w:drawing>
              <wp:anchor distT="0" distB="0" distL="114300" distR="114300" simplePos="0" relativeHeight="251669504" behindDoc="1" locked="0" layoutInCell="1" allowOverlap="1">
                <wp:simplePos x="0" y="0"/>
                <wp:positionH relativeFrom="column">
                  <wp:posOffset>647700</wp:posOffset>
                </wp:positionH>
                <wp:positionV relativeFrom="paragraph">
                  <wp:posOffset>346710</wp:posOffset>
                </wp:positionV>
                <wp:extent cx="3159125" cy="535940"/>
                <wp:effectExtent l="0" t="0" r="3175" b="16510"/>
                <wp:wrapNone/>
                <wp:docPr id="30" name="文本框 30"/>
                <wp:cNvGraphicFramePr/>
                <a:graphic xmlns:a="http://schemas.openxmlformats.org/drawingml/2006/main">
                  <a:graphicData uri="http://schemas.microsoft.com/office/word/2010/wordprocessingShape">
                    <wps:wsp>
                      <wps:cNvSpPr txBox="1"/>
                      <wps:spPr>
                        <a:xfrm>
                          <a:off x="1959610" y="6913880"/>
                          <a:ext cx="3159125" cy="5359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27.3pt;height:42.2pt;width:248.75pt;z-index:-251646976;mso-width-relative:page;mso-height-relative:page;" fillcolor="#FFFFFF [3201]" filled="t" stroked="f" coordsize="21600,21600" o:gfxdata="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5E+rPU&#10;AAAACgEAAA8AAAAAAAAAAQAgAAAAIgAAAGRycy9kb3ducmV2LnhtbFBLAQIUABQAAAAIAIdO4kC+&#10;8qQLXQIAAJ0EAAAOAAAAAAAAAAEAIAAAACMBAABkcnMvZTJvRG9jLnhtbFBLBQYAAAAABgAGAFkB&#10;AADyBQ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mc:Fallback>
        </mc:AlternateContent>
      </w:r>
    </w:p>
    <w:p>
      <w:pPr>
        <w:pStyle w:val="3"/>
        <w:spacing w:before="0" w:after="0" w:line="580" w:lineRule="exact"/>
        <w:rPr>
          <w:rFonts w:ascii="黑体" w:eastAsia="黑体"/>
          <w:b w:val="0"/>
          <w:bCs w:val="0"/>
        </w:rPr>
      </w:pP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sz w:val="32"/>
          <w:szCs w:val="32"/>
        </w:rPr>
        <w:t>市场监</w:t>
      </w:r>
      <w:r>
        <w:rPr>
          <w:rFonts w:hint="eastAsia" w:ascii="仿宋" w:hAnsi="仿宋" w:eastAsia="仿宋"/>
          <w:sz w:val="32"/>
          <w:szCs w:val="32"/>
          <w:lang w:val="en-US" w:eastAsia="zh-CN"/>
        </w:rPr>
        <w:t>管</w:t>
      </w:r>
      <w:r>
        <w:rPr>
          <w:rFonts w:hint="eastAsia" w:ascii="仿宋" w:hAnsi="仿宋" w:eastAsia="仿宋"/>
          <w:sz w:val="32"/>
          <w:szCs w:val="32"/>
        </w:rPr>
        <w:t>局部门201</w:t>
      </w:r>
      <w:r>
        <w:rPr>
          <w:rFonts w:hint="eastAsia" w:ascii="仿宋" w:hAnsi="仿宋" w:eastAsia="仿宋"/>
          <w:sz w:val="32"/>
          <w:szCs w:val="32"/>
          <w:lang w:val="en-US" w:eastAsia="zh-CN"/>
        </w:rPr>
        <w:t>8</w:t>
      </w:r>
      <w:r>
        <w:rPr>
          <w:rFonts w:hint="eastAsia" w:ascii="仿宋" w:hAnsi="仿宋" w:eastAsia="仿宋"/>
          <w:sz w:val="32"/>
          <w:szCs w:val="32"/>
        </w:rPr>
        <w:t>年度财政拨款收入决算总计</w:t>
      </w:r>
      <w:r>
        <w:rPr>
          <w:rFonts w:hint="eastAsia" w:ascii="仿宋" w:hAnsi="仿宋" w:eastAsia="仿宋"/>
          <w:sz w:val="32"/>
          <w:szCs w:val="32"/>
          <w:lang w:val="en-US" w:eastAsia="zh-CN"/>
        </w:rPr>
        <w:t>38819144.62</w:t>
      </w:r>
      <w:r>
        <w:rPr>
          <w:rFonts w:hint="eastAsia" w:ascii="仿宋" w:hAnsi="仿宋" w:eastAsia="仿宋"/>
          <w:sz w:val="32"/>
          <w:szCs w:val="32"/>
        </w:rPr>
        <w:t>元，</w:t>
      </w:r>
      <w:r>
        <w:rPr>
          <w:rFonts w:hint="eastAsia" w:ascii="仿宋" w:hAnsi="仿宋" w:eastAsia="仿宋"/>
          <w:sz w:val="32"/>
          <w:szCs w:val="32"/>
          <w:lang w:eastAsia="zh-CN"/>
        </w:rPr>
        <w:t>比</w:t>
      </w:r>
      <w:r>
        <w:rPr>
          <w:rFonts w:hint="eastAsia" w:ascii="仿宋" w:hAnsi="仿宋" w:eastAsia="仿宋"/>
          <w:sz w:val="32"/>
          <w:szCs w:val="32"/>
          <w:lang w:val="en-US" w:eastAsia="zh-CN"/>
        </w:rPr>
        <w:t>2017年度减少2595196.91元，主要是人员经费减少；</w:t>
      </w:r>
      <w:r>
        <w:rPr>
          <w:rFonts w:hint="eastAsia" w:ascii="仿宋" w:hAnsi="仿宋" w:eastAsia="仿宋"/>
          <w:sz w:val="32"/>
          <w:szCs w:val="32"/>
        </w:rPr>
        <w:t>财政拨款支出决算总计</w:t>
      </w:r>
      <w:r>
        <w:rPr>
          <w:rFonts w:hint="eastAsia" w:ascii="仿宋" w:hAnsi="仿宋" w:eastAsia="仿宋"/>
          <w:sz w:val="32"/>
          <w:szCs w:val="32"/>
          <w:lang w:val="en-US" w:eastAsia="zh-CN"/>
        </w:rPr>
        <w:t>38766015.62</w:t>
      </w:r>
      <w:r>
        <w:rPr>
          <w:rFonts w:hint="eastAsia" w:ascii="仿宋" w:hAnsi="仿宋" w:eastAsia="仿宋"/>
          <w:sz w:val="32"/>
          <w:szCs w:val="32"/>
        </w:rPr>
        <w:t>元</w:t>
      </w:r>
      <w:r>
        <w:rPr>
          <w:rFonts w:hint="eastAsia" w:ascii="仿宋" w:hAnsi="仿宋" w:eastAsia="仿宋"/>
          <w:sz w:val="32"/>
          <w:szCs w:val="32"/>
          <w:lang w:eastAsia="zh-CN"/>
        </w:rPr>
        <w:t>，比</w:t>
      </w:r>
      <w:r>
        <w:rPr>
          <w:rFonts w:hint="eastAsia" w:ascii="仿宋" w:hAnsi="仿宋" w:eastAsia="仿宋"/>
          <w:sz w:val="32"/>
          <w:szCs w:val="32"/>
          <w:lang w:val="en-US" w:eastAsia="zh-CN"/>
        </w:rPr>
        <w:t>2017年度减少2866125.91元</w:t>
      </w:r>
      <w:r>
        <w:rPr>
          <w:rFonts w:hint="eastAsia" w:ascii="仿宋" w:hAnsi="仿宋" w:eastAsia="仿宋"/>
          <w:sz w:val="32"/>
          <w:szCs w:val="32"/>
          <w:lang w:eastAsia="zh-CN"/>
        </w:rPr>
        <w:t>，主要是人员经费支出减少。</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240" w:lineRule="auto"/>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736465" cy="2602865"/>
            <wp:effectExtent l="0" t="0" r="6985" b="6985"/>
            <wp:docPr id="102" name="图片 10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图片3"/>
                    <pic:cNvPicPr>
                      <a:picLocks noChangeAspect="1"/>
                    </pic:cNvPicPr>
                  </pic:nvPicPr>
                  <pic:blipFill>
                    <a:blip r:embed="rId10"/>
                    <a:stretch>
                      <a:fillRect/>
                    </a:stretch>
                  </pic:blipFill>
                  <pic:spPr>
                    <a:xfrm>
                      <a:off x="0" y="0"/>
                      <a:ext cx="4736465" cy="2602865"/>
                    </a:xfrm>
                    <a:prstGeom prst="rect">
                      <a:avLst/>
                    </a:prstGeom>
                  </pic:spPr>
                </pic:pic>
              </a:graphicData>
            </a:graphic>
          </wp:inline>
        </w:drawing>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r>
        <w:rPr>
          <w:sz w:val="32"/>
        </w:rPr>
        <mc:AlternateContent>
          <mc:Choice Requires="wps">
            <w:drawing>
              <wp:anchor distT="0" distB="0" distL="114300" distR="114300" simplePos="0" relativeHeight="251696128" behindDoc="1" locked="0" layoutInCell="1" allowOverlap="1">
                <wp:simplePos x="0" y="0"/>
                <wp:positionH relativeFrom="column">
                  <wp:posOffset>616585</wp:posOffset>
                </wp:positionH>
                <wp:positionV relativeFrom="paragraph">
                  <wp:posOffset>12065</wp:posOffset>
                </wp:positionV>
                <wp:extent cx="4204970" cy="535305"/>
                <wp:effectExtent l="0" t="0" r="5080" b="17145"/>
                <wp:wrapNone/>
                <wp:docPr id="66" name="文本框 66"/>
                <wp:cNvGraphicFramePr/>
                <a:graphic xmlns:a="http://schemas.openxmlformats.org/drawingml/2006/main">
                  <a:graphicData uri="http://schemas.microsoft.com/office/word/2010/wordprocessingShape">
                    <wps:wsp>
                      <wps:cNvSpPr txBox="1"/>
                      <wps:spPr>
                        <a:xfrm>
                          <a:off x="1659255" y="6581775"/>
                          <a:ext cx="4204970" cy="535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5pt;margin-top:0.95pt;height:42.15pt;width:331.1pt;z-index:-251620352;mso-width-relative:page;mso-height-relative:page;" fillcolor="#FFFFFF [3201]" filled="t" stroked="f" coordsize="21600,21600" o:gfxdata="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lmqC1&#10;0wAAAAcBAAAPAAAAAAAAAAEAIAAAACIAAABkcnMvZG93bnJldi54bWxQSwECFAAUAAAACACHTuJA&#10;KY1RNV8CAACdBAAADgAAAAAAAAABACAAAAAiAQAAZHJzL2Uyb0RvYy54bWxQSwUGAAAAAAYABgBZ&#10;AQAA8w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38819144.62</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101.53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547295.69</w:t>
      </w:r>
      <w:r>
        <w:rPr>
          <w:rFonts w:hint="eastAsia" w:ascii="仿宋_GB2312" w:eastAsia="仿宋_GB2312" w:cs="DengXian-Regular"/>
          <w:sz w:val="32"/>
          <w:szCs w:val="32"/>
        </w:rPr>
        <w:t>万元，决算数大于预算数主要原因是</w:t>
      </w:r>
      <w:r>
        <w:rPr>
          <w:rFonts w:hint="eastAsia" w:ascii="仿宋" w:hAnsi="仿宋" w:eastAsia="仿宋"/>
          <w:color w:val="auto"/>
          <w:sz w:val="32"/>
          <w:szCs w:val="32"/>
        </w:rPr>
        <w:t>201</w:t>
      </w:r>
      <w:r>
        <w:rPr>
          <w:rFonts w:hint="eastAsia" w:ascii="仿宋" w:hAnsi="仿宋" w:eastAsia="仿宋"/>
          <w:color w:val="auto"/>
          <w:sz w:val="32"/>
          <w:szCs w:val="32"/>
          <w:lang w:val="en-US" w:eastAsia="zh-CN"/>
        </w:rPr>
        <w:t>8</w:t>
      </w:r>
      <w:r>
        <w:rPr>
          <w:rFonts w:hint="eastAsia" w:ascii="仿宋" w:hAnsi="仿宋" w:eastAsia="仿宋"/>
          <w:color w:val="auto"/>
          <w:sz w:val="32"/>
          <w:szCs w:val="32"/>
        </w:rPr>
        <w:t>年</w:t>
      </w:r>
      <w:r>
        <w:rPr>
          <w:rFonts w:hint="eastAsia" w:ascii="仿宋" w:hAnsi="仿宋" w:eastAsia="仿宋"/>
          <w:color w:val="auto"/>
          <w:sz w:val="32"/>
          <w:szCs w:val="32"/>
          <w:lang w:eastAsia="zh-CN"/>
        </w:rPr>
        <w:t>人员调资，预算按调整工资前的数额填列</w:t>
      </w:r>
      <w:r>
        <w:rPr>
          <w:rFonts w:hint="eastAsia" w:ascii="仿宋_GB2312" w:eastAsia="仿宋_GB2312" w:cs="DengXian-Regular"/>
          <w:sz w:val="32"/>
          <w:szCs w:val="32"/>
        </w:rPr>
        <w:t>；本年支出</w:t>
      </w:r>
      <w:r>
        <w:rPr>
          <w:rFonts w:hint="eastAsia" w:ascii="仿宋" w:hAnsi="仿宋" w:eastAsia="仿宋"/>
          <w:sz w:val="32"/>
          <w:szCs w:val="32"/>
          <w:lang w:val="en-US" w:eastAsia="zh-CN"/>
        </w:rPr>
        <w:t>38766015.62</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101.29</w:t>
      </w:r>
      <w:r>
        <w:rPr>
          <w:rFonts w:hint="eastAsia" w:ascii="仿宋_GB2312" w:eastAsia="仿宋_GB2312" w:cs="DengXian-Regular"/>
          <w:sz w:val="32"/>
          <w:szCs w:val="32"/>
        </w:rPr>
        <w:t>%,比年初预算增加（减少）</w:t>
      </w:r>
      <w:r>
        <w:rPr>
          <w:rFonts w:hint="eastAsia" w:ascii="仿宋_GB2312" w:eastAsia="仿宋_GB2312" w:cs="DengXian-Regular"/>
          <w:sz w:val="32"/>
          <w:szCs w:val="32"/>
          <w:lang w:val="en-US" w:eastAsia="zh-CN"/>
        </w:rPr>
        <w:t>494166.69</w:t>
      </w:r>
      <w:r>
        <w:rPr>
          <w:rFonts w:hint="eastAsia" w:ascii="仿宋_GB2312" w:eastAsia="仿宋_GB2312" w:cs="DengXian-Regular"/>
          <w:sz w:val="32"/>
          <w:szCs w:val="32"/>
        </w:rPr>
        <w:t>万元，决算数大于预算数主要原因是</w:t>
      </w:r>
      <w:r>
        <w:rPr>
          <w:rFonts w:hint="eastAsia" w:ascii="仿宋" w:hAnsi="仿宋" w:eastAsia="仿宋"/>
          <w:color w:val="auto"/>
          <w:sz w:val="32"/>
          <w:szCs w:val="32"/>
        </w:rPr>
        <w:t>201</w:t>
      </w:r>
      <w:r>
        <w:rPr>
          <w:rFonts w:hint="eastAsia" w:ascii="仿宋" w:hAnsi="仿宋" w:eastAsia="仿宋"/>
          <w:color w:val="auto"/>
          <w:sz w:val="32"/>
          <w:szCs w:val="32"/>
          <w:lang w:val="en-US" w:eastAsia="zh-CN"/>
        </w:rPr>
        <w:t>8</w:t>
      </w:r>
      <w:r>
        <w:rPr>
          <w:rFonts w:hint="eastAsia" w:ascii="仿宋" w:hAnsi="仿宋" w:eastAsia="仿宋"/>
          <w:color w:val="auto"/>
          <w:sz w:val="32"/>
          <w:szCs w:val="32"/>
        </w:rPr>
        <w:t>年</w:t>
      </w:r>
      <w:r>
        <w:rPr>
          <w:rFonts w:hint="eastAsia" w:ascii="仿宋" w:hAnsi="仿宋" w:eastAsia="仿宋"/>
          <w:color w:val="auto"/>
          <w:sz w:val="32"/>
          <w:szCs w:val="32"/>
          <w:lang w:eastAsia="zh-CN"/>
        </w:rPr>
        <w:t>人员调资，预算按调整工资前的数额填列</w:t>
      </w:r>
      <w:r>
        <w:rPr>
          <w:rFonts w:hint="eastAsia" w:ascii="仿宋_GB2312" w:eastAsia="仿宋_GB2312" w:cs="DengXian-Regular"/>
          <w:sz w:val="32"/>
          <w:szCs w:val="32"/>
        </w:rPr>
        <w:t>。</w:t>
      </w:r>
    </w:p>
    <w:p>
      <w:pPr>
        <w:adjustRightInd w:val="0"/>
        <w:snapToGrid w:val="0"/>
        <w:spacing w:after="0" w:line="240" w:lineRule="auto"/>
        <w:ind w:firstLine="640" w:firstLineChars="200"/>
        <w:rPr>
          <w:rFonts w:hint="eastAsia" w:ascii="仿宋_GB2312" w:eastAsia="仿宋_GB2312" w:cs="DengXian-Regular"/>
          <w:sz w:val="32"/>
          <w:szCs w:val="32"/>
          <w:highlight w:val="yellow"/>
          <w:lang w:eastAsia="zh-CN"/>
        </w:rPr>
      </w:pPr>
      <w:r>
        <w:rPr>
          <w:rFonts w:hint="eastAsia" w:ascii="仿宋_GB2312" w:eastAsia="仿宋_GB2312" w:cs="DengXian-Regular"/>
          <w:sz w:val="32"/>
          <w:szCs w:val="32"/>
          <w:highlight w:val="yellow"/>
          <w:lang w:eastAsia="zh-CN"/>
        </w:rPr>
        <w:drawing>
          <wp:inline distT="0" distB="0" distL="114300" distR="114300">
            <wp:extent cx="4736465" cy="2602865"/>
            <wp:effectExtent l="0" t="0" r="6985" b="6985"/>
            <wp:docPr id="103" name="图片 10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图片4"/>
                    <pic:cNvPicPr>
                      <a:picLocks noChangeAspect="1"/>
                    </pic:cNvPicPr>
                  </pic:nvPicPr>
                  <pic:blipFill>
                    <a:blip r:embed="rId11"/>
                    <a:stretch>
                      <a:fillRect/>
                    </a:stretch>
                  </pic:blipFill>
                  <pic:spPr>
                    <a:xfrm>
                      <a:off x="0" y="0"/>
                      <a:ext cx="4736465" cy="2602865"/>
                    </a:xfrm>
                    <a:prstGeom prst="rect">
                      <a:avLst/>
                    </a:prstGeom>
                  </pic:spPr>
                </pic:pic>
              </a:graphicData>
            </a:graphic>
          </wp:inline>
        </w:drawing>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r>
        <w:rPr>
          <w:sz w:val="32"/>
        </w:rPr>
        <mc:AlternateContent>
          <mc:Choice Requires="wps">
            <w:drawing>
              <wp:anchor distT="0" distB="0" distL="114300" distR="114300" simplePos="0" relativeHeight="251697152" behindDoc="1" locked="0" layoutInCell="1" allowOverlap="1">
                <wp:simplePos x="0" y="0"/>
                <wp:positionH relativeFrom="column">
                  <wp:posOffset>609600</wp:posOffset>
                </wp:positionH>
                <wp:positionV relativeFrom="paragraph">
                  <wp:posOffset>58420</wp:posOffset>
                </wp:positionV>
                <wp:extent cx="4358005" cy="494665"/>
                <wp:effectExtent l="0" t="0" r="4445" b="635"/>
                <wp:wrapNone/>
                <wp:docPr id="37" name="文本框 28"/>
                <wp:cNvGraphicFramePr/>
                <a:graphic xmlns:a="http://schemas.openxmlformats.org/drawingml/2006/main">
                  <a:graphicData uri="http://schemas.microsoft.com/office/word/2010/wordprocessingShape">
                    <wps:wsp>
                      <wps:cNvSpPr txBox="1"/>
                      <wps:spPr>
                        <a:xfrm>
                          <a:off x="1591945" y="6801485"/>
                          <a:ext cx="4358005" cy="494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48pt;margin-top:4.6pt;height:38.95pt;width:343.15pt;z-index:-251619328;mso-width-relative:page;mso-height-relative:page;" fillcolor="#FFFFFF [3201]" filled="t" stroked="f" coordsize="21600,21600" o:gfxdata="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5R+I&#10;Q9QAAAAHAQAADwAAAAAAAAABACAAAAAiAAAAZHJzL2Rvd25yZXYueG1sUEsBAhQAFAAAAAgAh07i&#10;QIuebOJfAgAAnQQAAA4AAAAAAAAAAQAgAAAAIwEAAGRycy9lMm9Eb2MueG1sUEsFBgAAAAAGAAYA&#10;WQEAAPQ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w:pict>
          </mc:Fallback>
        </mc:AlternateContent>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ind w:firstLine="560"/>
        <w:rPr>
          <w:rFonts w:hint="eastAsia" w:ascii="仿宋" w:hAnsi="仿宋" w:eastAsia="仿宋"/>
          <w:sz w:val="32"/>
          <w:szCs w:val="32"/>
        </w:rPr>
      </w:pPr>
      <w:r>
        <w:rPr>
          <w:rFonts w:hint="eastAsia" w:ascii="仿宋" w:hAnsi="仿宋" w:eastAsia="仿宋"/>
          <w:sz w:val="32"/>
          <w:szCs w:val="32"/>
          <w:lang w:eastAsia="zh-CN"/>
        </w:rPr>
        <w:t>市场监管局</w:t>
      </w:r>
      <w:r>
        <w:rPr>
          <w:rFonts w:hint="eastAsia" w:ascii="仿宋" w:hAnsi="仿宋" w:eastAsia="仿宋"/>
          <w:sz w:val="32"/>
          <w:szCs w:val="32"/>
        </w:rPr>
        <w:t>201</w:t>
      </w:r>
      <w:r>
        <w:rPr>
          <w:rFonts w:hint="eastAsia" w:ascii="仿宋" w:hAnsi="仿宋" w:eastAsia="仿宋"/>
          <w:sz w:val="32"/>
          <w:szCs w:val="32"/>
          <w:lang w:val="en-US" w:eastAsia="zh-CN"/>
        </w:rPr>
        <w:t>8</w:t>
      </w:r>
      <w:r>
        <w:rPr>
          <w:rFonts w:hint="eastAsia" w:ascii="仿宋" w:hAnsi="仿宋" w:eastAsia="仿宋"/>
          <w:sz w:val="32"/>
          <w:szCs w:val="32"/>
        </w:rPr>
        <w:t>年度财政拨款支出</w:t>
      </w:r>
      <w:r>
        <w:rPr>
          <w:rFonts w:hint="eastAsia" w:ascii="仿宋" w:hAnsi="仿宋" w:eastAsia="仿宋"/>
          <w:sz w:val="32"/>
          <w:szCs w:val="32"/>
          <w:lang w:val="en-US" w:eastAsia="zh-CN"/>
        </w:rPr>
        <w:t>38766015.62</w:t>
      </w:r>
      <w:r>
        <w:rPr>
          <w:rFonts w:hint="eastAsia" w:ascii="仿宋" w:hAnsi="仿宋" w:eastAsia="仿宋"/>
          <w:sz w:val="32"/>
          <w:szCs w:val="32"/>
        </w:rPr>
        <w:t>元，按功能分类主要用于以下方面:一般公共服务(类)支出</w:t>
      </w:r>
      <w:r>
        <w:rPr>
          <w:rFonts w:hint="eastAsia" w:ascii="仿宋" w:hAnsi="仿宋" w:eastAsia="仿宋"/>
          <w:sz w:val="32"/>
          <w:szCs w:val="32"/>
          <w:lang w:val="en-US" w:eastAsia="zh-CN"/>
        </w:rPr>
        <w:t>28459098.38</w:t>
      </w:r>
      <w:r>
        <w:rPr>
          <w:rFonts w:hint="eastAsia" w:ascii="仿宋" w:hAnsi="仿宋" w:eastAsia="仿宋"/>
          <w:sz w:val="32"/>
          <w:szCs w:val="32"/>
        </w:rPr>
        <w:t>元;社会保障和就业(类)出</w:t>
      </w:r>
      <w:r>
        <w:rPr>
          <w:rFonts w:hint="eastAsia" w:ascii="仿宋" w:hAnsi="仿宋" w:eastAsia="仿宋"/>
          <w:sz w:val="32"/>
          <w:szCs w:val="32"/>
          <w:lang w:val="en-US" w:eastAsia="zh-CN"/>
        </w:rPr>
        <w:t>3473560.78</w:t>
      </w:r>
      <w:r>
        <w:rPr>
          <w:rFonts w:hint="eastAsia" w:ascii="仿宋" w:hAnsi="仿宋" w:eastAsia="仿宋"/>
          <w:sz w:val="32"/>
          <w:szCs w:val="32"/>
        </w:rPr>
        <w:t>元;医疗卫生与计划生育(类)支出</w:t>
      </w:r>
      <w:r>
        <w:rPr>
          <w:rFonts w:hint="eastAsia" w:ascii="仿宋" w:hAnsi="仿宋" w:eastAsia="仿宋"/>
          <w:sz w:val="32"/>
          <w:szCs w:val="32"/>
          <w:lang w:val="en-US" w:eastAsia="zh-CN"/>
        </w:rPr>
        <w:t>4674967.42</w:t>
      </w:r>
      <w:r>
        <w:rPr>
          <w:rFonts w:hint="eastAsia" w:ascii="仿宋" w:hAnsi="仿宋" w:eastAsia="仿宋"/>
          <w:sz w:val="32"/>
          <w:szCs w:val="32"/>
        </w:rPr>
        <w:t>元;住房保障(类)支出</w:t>
      </w:r>
      <w:r>
        <w:rPr>
          <w:rFonts w:hint="eastAsia" w:ascii="仿宋" w:hAnsi="仿宋" w:eastAsia="仿宋"/>
          <w:sz w:val="32"/>
          <w:szCs w:val="32"/>
          <w:lang w:val="en-US" w:eastAsia="zh-CN"/>
        </w:rPr>
        <w:t>2158389.04</w:t>
      </w:r>
      <w:r>
        <w:rPr>
          <w:rFonts w:hint="eastAsia" w:ascii="仿宋" w:hAnsi="仿宋" w:eastAsia="仿宋"/>
          <w:sz w:val="32"/>
          <w:szCs w:val="32"/>
        </w:rPr>
        <w:t>元。具体是：</w:t>
      </w:r>
    </w:p>
    <w:p>
      <w:pPr>
        <w:ind w:firstLine="560"/>
        <w:rPr>
          <w:rFonts w:hint="eastAsia" w:ascii="仿宋" w:hAnsi="仿宋" w:eastAsia="仿宋"/>
          <w:sz w:val="32"/>
          <w:szCs w:val="32"/>
        </w:rPr>
      </w:pPr>
      <w:r>
        <w:rPr>
          <w:rFonts w:hint="eastAsia" w:ascii="仿宋" w:hAnsi="仿宋" w:eastAsia="仿宋"/>
          <w:sz w:val="32"/>
          <w:szCs w:val="32"/>
        </w:rPr>
        <w:t xml:space="preserve">（1）一般公共服务支出(类) </w:t>
      </w:r>
      <w:r>
        <w:rPr>
          <w:rFonts w:hint="eastAsia" w:ascii="仿宋" w:hAnsi="仿宋" w:eastAsia="仿宋"/>
          <w:sz w:val="32"/>
          <w:szCs w:val="32"/>
          <w:lang w:val="en-US" w:eastAsia="zh-CN"/>
        </w:rPr>
        <w:t>28459098.38</w:t>
      </w:r>
      <w:r>
        <w:rPr>
          <w:rFonts w:hint="eastAsia" w:ascii="仿宋" w:hAnsi="仿宋" w:eastAsia="仿宋"/>
          <w:sz w:val="32"/>
          <w:szCs w:val="32"/>
        </w:rPr>
        <w:t>元，主要是财政厅机关及各单位为完成各项财政工作，保障财政改革和发展而发生的人员支出、日常公用支出和项目支出。</w:t>
      </w:r>
    </w:p>
    <w:p>
      <w:pPr>
        <w:ind w:firstLine="560"/>
        <w:rPr>
          <w:rFonts w:hint="eastAsia" w:ascii="仿宋" w:hAnsi="仿宋" w:eastAsia="仿宋"/>
          <w:sz w:val="32"/>
          <w:szCs w:val="32"/>
        </w:rPr>
      </w:pPr>
      <w:r>
        <w:rPr>
          <w:rFonts w:hint="eastAsia" w:ascii="仿宋" w:hAnsi="仿宋" w:eastAsia="仿宋"/>
          <w:sz w:val="32"/>
          <w:szCs w:val="32"/>
        </w:rPr>
        <w:t>（2）社会保障和就业(类)支出</w:t>
      </w:r>
      <w:r>
        <w:rPr>
          <w:rFonts w:hint="eastAsia" w:ascii="仿宋" w:hAnsi="仿宋" w:eastAsia="仿宋"/>
          <w:sz w:val="32"/>
          <w:szCs w:val="32"/>
          <w:lang w:val="en-US" w:eastAsia="zh-CN"/>
        </w:rPr>
        <w:t>3473560.78</w:t>
      </w:r>
      <w:r>
        <w:rPr>
          <w:rFonts w:hint="eastAsia" w:ascii="仿宋" w:hAnsi="仿宋" w:eastAsia="仿宋"/>
          <w:sz w:val="32"/>
          <w:szCs w:val="32"/>
        </w:rPr>
        <w:t>元，主要是按国家规定发放的离退休人员经费等。</w:t>
      </w:r>
    </w:p>
    <w:p>
      <w:pPr>
        <w:ind w:firstLine="560"/>
        <w:rPr>
          <w:rFonts w:hint="eastAsia" w:ascii="仿宋" w:hAnsi="仿宋" w:eastAsia="仿宋"/>
          <w:sz w:val="32"/>
          <w:szCs w:val="32"/>
        </w:rPr>
      </w:pPr>
      <w:r>
        <w:rPr>
          <w:rFonts w:hint="eastAsia" w:ascii="仿宋" w:hAnsi="仿宋" w:eastAsia="仿宋"/>
          <w:sz w:val="32"/>
          <w:szCs w:val="32"/>
        </w:rPr>
        <w:t>（3）医疗卫生与计划生育(类)支出</w:t>
      </w:r>
      <w:r>
        <w:rPr>
          <w:rFonts w:hint="eastAsia" w:ascii="仿宋" w:hAnsi="仿宋" w:eastAsia="仿宋"/>
          <w:sz w:val="32"/>
          <w:szCs w:val="32"/>
          <w:lang w:val="en-US" w:eastAsia="zh-CN"/>
        </w:rPr>
        <w:t>4674967.42</w:t>
      </w:r>
      <w:r>
        <w:rPr>
          <w:rFonts w:hint="eastAsia" w:ascii="仿宋" w:hAnsi="仿宋" w:eastAsia="仿宋"/>
          <w:sz w:val="32"/>
          <w:szCs w:val="32"/>
        </w:rPr>
        <w:t>元，主要是非参照公务员管理的事业单</w:t>
      </w:r>
      <w:bookmarkStart w:id="0" w:name="_GoBack"/>
      <w:bookmarkEnd w:id="0"/>
      <w:r>
        <w:rPr>
          <w:rFonts w:hint="eastAsia" w:ascii="仿宋" w:hAnsi="仿宋" w:eastAsia="仿宋"/>
          <w:sz w:val="32"/>
          <w:szCs w:val="32"/>
        </w:rPr>
        <w:t>位应由单位承担的职工医疗保险缴费。</w:t>
      </w:r>
    </w:p>
    <w:p>
      <w:pPr>
        <w:ind w:firstLine="560"/>
        <w:rPr>
          <w:rFonts w:hint="eastAsia" w:ascii="仿宋" w:hAnsi="仿宋" w:eastAsia="仿宋"/>
          <w:sz w:val="32"/>
          <w:szCs w:val="32"/>
        </w:rPr>
      </w:pPr>
      <w:r>
        <w:rPr>
          <w:rFonts w:hint="eastAsia" w:ascii="仿宋" w:hAnsi="仿宋" w:eastAsia="仿宋"/>
          <w:sz w:val="32"/>
          <w:szCs w:val="32"/>
        </w:rPr>
        <w:t>（4）住房保障(类)支出</w:t>
      </w:r>
      <w:r>
        <w:rPr>
          <w:rFonts w:hint="eastAsia" w:ascii="仿宋" w:hAnsi="仿宋" w:eastAsia="仿宋"/>
          <w:sz w:val="32"/>
          <w:szCs w:val="32"/>
          <w:lang w:val="en-US" w:eastAsia="zh-CN"/>
        </w:rPr>
        <w:t>2158389.04</w:t>
      </w:r>
      <w:r>
        <w:rPr>
          <w:rFonts w:hint="eastAsia" w:ascii="仿宋" w:hAnsi="仿宋" w:eastAsia="仿宋"/>
          <w:sz w:val="32"/>
          <w:szCs w:val="32"/>
        </w:rPr>
        <w:t>元，主要是为职工缴纳的住房公积金。</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240" w:lineRule="auto"/>
        <w:jc w:val="center"/>
        <w:rPr>
          <w:rFonts w:hint="eastAsia" w:ascii="楷体_GB2312" w:eastAsia="楷体_GB2312" w:cs="DengXian-Bold"/>
          <w:b/>
          <w:bCs/>
          <w:sz w:val="32"/>
          <w:szCs w:val="32"/>
          <w:lang w:eastAsia="zh-CN"/>
        </w:rPr>
      </w:pPr>
      <w:r>
        <w:rPr>
          <w:rFonts w:hint="eastAsia" w:ascii="楷体_GB2312" w:eastAsia="楷体_GB2312" w:cs="DengXian-Bold"/>
          <w:b/>
          <w:bCs/>
          <w:sz w:val="32"/>
          <w:szCs w:val="32"/>
          <w:lang w:eastAsia="zh-CN"/>
        </w:rPr>
        <w:drawing>
          <wp:inline distT="0" distB="0" distL="114300" distR="114300">
            <wp:extent cx="4584065" cy="2840990"/>
            <wp:effectExtent l="0" t="0" r="6985" b="16510"/>
            <wp:docPr id="104" name="图片 10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5"/>
                    <pic:cNvPicPr>
                      <a:picLocks noChangeAspect="1"/>
                    </pic:cNvPicPr>
                  </pic:nvPicPr>
                  <pic:blipFill>
                    <a:blip r:embed="rId12"/>
                    <a:stretch>
                      <a:fillRect/>
                    </a:stretch>
                  </pic:blipFill>
                  <pic:spPr>
                    <a:xfrm>
                      <a:off x="0" y="0"/>
                      <a:ext cx="4584065" cy="2840990"/>
                    </a:xfrm>
                    <a:prstGeom prst="rect">
                      <a:avLst/>
                    </a:prstGeom>
                  </pic:spPr>
                </pic:pic>
              </a:graphicData>
            </a:graphic>
          </wp:inline>
        </w:drawing>
      </w:r>
    </w:p>
    <w:p>
      <w:pPr>
        <w:adjustRightInd w:val="0"/>
        <w:snapToGrid w:val="0"/>
        <w:spacing w:after="0" w:line="580" w:lineRule="exact"/>
        <w:rPr>
          <w:rFonts w:ascii="楷体_GB2312" w:eastAsia="楷体_GB2312" w:cs="DengXian-Bold"/>
          <w:b/>
          <w:bCs/>
          <w:sz w:val="32"/>
          <w:szCs w:val="32"/>
        </w:rPr>
      </w:pPr>
      <w:r>
        <w:rPr>
          <w:sz w:val="32"/>
        </w:rPr>
        <mc:AlternateContent>
          <mc:Choice Requires="wps">
            <w:drawing>
              <wp:anchor distT="0" distB="0" distL="114300" distR="114300" simplePos="0" relativeHeight="251695104" behindDoc="1" locked="0" layoutInCell="1" allowOverlap="1">
                <wp:simplePos x="0" y="0"/>
                <wp:positionH relativeFrom="column">
                  <wp:posOffset>1062355</wp:posOffset>
                </wp:positionH>
                <wp:positionV relativeFrom="paragraph">
                  <wp:posOffset>212725</wp:posOffset>
                </wp:positionV>
                <wp:extent cx="3763645" cy="660400"/>
                <wp:effectExtent l="0" t="0" r="8255" b="6350"/>
                <wp:wrapNone/>
                <wp:docPr id="9" name="文本框 32"/>
                <wp:cNvGraphicFramePr/>
                <a:graphic xmlns:a="http://schemas.openxmlformats.org/drawingml/2006/main">
                  <a:graphicData uri="http://schemas.microsoft.com/office/word/2010/wordprocessingShape">
                    <wps:wsp>
                      <wps:cNvSpPr txBox="1"/>
                      <wps:spPr>
                        <a:xfrm>
                          <a:off x="2105025" y="3350895"/>
                          <a:ext cx="3763645" cy="660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83.65pt;margin-top:16.75pt;height:52pt;width:296.35pt;z-index:-251621376;mso-width-relative:page;mso-height-relative:page;" fillcolor="#FFFFFF [3201]" filled="t" stroked="f" coordsize="21600,21600" o:gfxdata="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ovOY2&#10;1AAAAAoBAAAPAAAAAAAAAAEAIAAAACIAAABkcnMvZG93bnJldi54bWxQSwECFAAUAAAACACHTuJA&#10;+9+j7F4CAACcBAAADgAAAAAAAAABACAAAAAjAQAAZHJzL2Uyb0RvYy54bWxQSwUGAAAAAAYABgBZ&#10;AQAA8w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w:pict>
          </mc:Fallback>
        </mc:AlternateConten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 w:hAnsi="仿宋" w:eastAsia="仿宋"/>
          <w:sz w:val="32"/>
          <w:szCs w:val="32"/>
          <w:lang w:val="en-US" w:eastAsia="zh-CN"/>
        </w:rPr>
        <w:t>38766015.62</w:t>
      </w:r>
      <w:r>
        <w:rPr>
          <w:rFonts w:hint="eastAsia" w:ascii="仿宋_GB2312" w:eastAsia="仿宋_GB2312" w:cs="DengXian-Regular"/>
          <w:sz w:val="32"/>
          <w:szCs w:val="32"/>
        </w:rPr>
        <w:t>元，其中：人员经费</w:t>
      </w:r>
      <w:r>
        <w:rPr>
          <w:rFonts w:hint="eastAsia" w:ascii="仿宋" w:hAnsi="仿宋" w:eastAsia="仿宋"/>
          <w:sz w:val="32"/>
          <w:szCs w:val="32"/>
          <w:lang w:val="en-US" w:eastAsia="zh-CN"/>
        </w:rPr>
        <w:t>31167202.62</w:t>
      </w:r>
      <w:r>
        <w:rPr>
          <w:rFonts w:hint="eastAsia" w:ascii="仿宋_GB2312" w:eastAsia="仿宋_GB2312" w:cs="DengXian-Regular"/>
          <w:sz w:val="32"/>
          <w:szCs w:val="32"/>
        </w:rPr>
        <w:t>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 w:hAnsi="仿宋" w:eastAsia="仿宋"/>
          <w:sz w:val="32"/>
          <w:szCs w:val="32"/>
          <w:lang w:val="en-US" w:eastAsia="zh-CN"/>
        </w:rPr>
        <w:t>7598813</w:t>
      </w:r>
      <w:r>
        <w:rPr>
          <w:rFonts w:hint="eastAsia" w:ascii="仿宋_GB2312" w:eastAsia="仿宋_GB2312" w:cs="DengXian-Regular"/>
          <w:sz w:val="32"/>
          <w:szCs w:val="32"/>
        </w:rPr>
        <w:t>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 w:hAnsi="仿宋" w:eastAsia="仿宋"/>
          <w:sz w:val="32"/>
          <w:szCs w:val="32"/>
        </w:rPr>
        <w:t>201</w:t>
      </w:r>
      <w:r>
        <w:rPr>
          <w:rFonts w:hint="eastAsia" w:ascii="仿宋" w:hAnsi="仿宋" w:eastAsia="仿宋"/>
          <w:sz w:val="32"/>
          <w:szCs w:val="32"/>
          <w:lang w:val="en-US" w:eastAsia="zh-CN"/>
        </w:rPr>
        <w:t>8</w:t>
      </w:r>
      <w:r>
        <w:rPr>
          <w:rFonts w:hint="eastAsia" w:ascii="仿宋" w:hAnsi="仿宋" w:eastAsia="仿宋"/>
          <w:sz w:val="32"/>
          <w:szCs w:val="32"/>
        </w:rPr>
        <w:t>年，在做好各项工作的前提下，节省各项开支，尤其是严格控制“三公”经费的支出，全年一般公共预算财政拨款“三公”支出合计</w:t>
      </w:r>
      <w:r>
        <w:rPr>
          <w:rFonts w:hint="eastAsia" w:ascii="仿宋" w:hAnsi="仿宋" w:eastAsia="仿宋"/>
          <w:sz w:val="32"/>
          <w:szCs w:val="32"/>
          <w:lang w:val="en-US" w:eastAsia="zh-CN"/>
        </w:rPr>
        <w:t>341680</w:t>
      </w:r>
      <w:r>
        <w:rPr>
          <w:rFonts w:hint="eastAsia" w:ascii="仿宋" w:hAnsi="仿宋" w:eastAsia="仿宋"/>
          <w:sz w:val="32"/>
          <w:szCs w:val="32"/>
        </w:rPr>
        <w:t>元。</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3418680</w:t>
      </w:r>
      <w:r>
        <w:rPr>
          <w:rFonts w:hint="eastAsia" w:ascii="仿宋_GB2312" w:eastAsia="仿宋_GB2312" w:cs="DengXian-Regular"/>
          <w:sz w:val="32"/>
          <w:szCs w:val="32"/>
        </w:rPr>
        <w:t>元，较年初预算减少</w:t>
      </w:r>
      <w:r>
        <w:rPr>
          <w:rFonts w:hint="eastAsia" w:ascii="仿宋_GB2312" w:eastAsia="仿宋_GB2312" w:cs="DengXian-Regular"/>
          <w:sz w:val="32"/>
          <w:szCs w:val="32"/>
          <w:lang w:val="en-US" w:eastAsia="zh-CN"/>
        </w:rPr>
        <w:t>2320</w:t>
      </w:r>
      <w:r>
        <w:rPr>
          <w:rFonts w:hint="eastAsia" w:ascii="仿宋_GB2312" w:eastAsia="仿宋_GB2312" w:cs="DengXian-Regular"/>
          <w:sz w:val="32"/>
          <w:szCs w:val="32"/>
        </w:rPr>
        <w:t>元，降低</w:t>
      </w:r>
      <w:r>
        <w:rPr>
          <w:rFonts w:hint="eastAsia" w:ascii="仿宋_GB2312" w:eastAsia="仿宋_GB2312" w:cs="DengXian-Regular"/>
          <w:sz w:val="32"/>
          <w:szCs w:val="32"/>
          <w:lang w:val="en-US" w:eastAsia="zh-CN"/>
        </w:rPr>
        <w:t>7.73</w:t>
      </w:r>
      <w:r>
        <w:rPr>
          <w:rFonts w:hint="eastAsia" w:ascii="仿宋_GB2312" w:eastAsia="仿宋_GB2312" w:cs="DengXian-Regular"/>
          <w:sz w:val="32"/>
          <w:szCs w:val="32"/>
        </w:rPr>
        <w:t>%，主要是认真贯彻落实</w:t>
      </w:r>
      <w:r>
        <w:rPr>
          <w:rFonts w:hint="eastAsia" w:ascii="仿宋_GB2312" w:eastAsia="仿宋_GB2312" w:cs="DengXian-Regular"/>
          <w:sz w:val="32"/>
          <w:szCs w:val="32"/>
          <w:lang w:val="en-US" w:eastAsia="zh-CN"/>
        </w:rPr>
        <w:t>中央八项规定精神</w:t>
      </w:r>
      <w:r>
        <w:rPr>
          <w:rFonts w:hint="eastAsia" w:ascii="仿宋_GB2312" w:eastAsia="仿宋_GB2312" w:cs="DengXian-Regular"/>
          <w:sz w:val="32"/>
          <w:szCs w:val="32"/>
        </w:rPr>
        <w:t>和厉行节约要求，从严控制“三公”经费开支，全年实际支出比预算有所节约）。具体情况如下：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元。</w:t>
      </w:r>
    </w:p>
    <w:p>
      <w:pPr>
        <w:numPr>
          <w:ilvl w:val="0"/>
          <w:numId w:val="3"/>
        </w:num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公务用车购置及运行维护费支出</w:t>
      </w:r>
      <w:r>
        <w:rPr>
          <w:rFonts w:hint="eastAsia" w:ascii="楷体_GB2312" w:eastAsia="楷体_GB2312" w:cs="DengXian-Bold"/>
          <w:b/>
          <w:bCs/>
          <w:sz w:val="32"/>
          <w:szCs w:val="32"/>
          <w:lang w:val="en-US" w:eastAsia="zh-CN"/>
        </w:rPr>
        <w:t>314000</w:t>
      </w:r>
      <w:r>
        <w:rPr>
          <w:rFonts w:hint="eastAsia" w:ascii="楷体_GB2312" w:eastAsia="楷体_GB2312" w:cs="DengXian-Bold"/>
          <w:b/>
          <w:bCs/>
          <w:sz w:val="32"/>
          <w:szCs w:val="32"/>
        </w:rPr>
        <w:t>元。</w:t>
      </w:r>
      <w:r>
        <w:rPr>
          <w:rFonts w:hint="eastAsia" w:ascii="仿宋_GB2312" w:eastAsia="仿宋_GB2312" w:cs="DengXian-Regular"/>
          <w:sz w:val="32"/>
          <w:szCs w:val="32"/>
        </w:rPr>
        <w:t>本部门2018年度公务用车购置及运行维护费</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jc w:val="left"/>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hint="eastAsia" w:ascii="仿宋" w:hAnsi="仿宋" w:eastAsia="仿宋"/>
          <w:sz w:val="32"/>
          <w:szCs w:val="32"/>
        </w:rPr>
        <w:t>201</w:t>
      </w:r>
      <w:r>
        <w:rPr>
          <w:rFonts w:hint="eastAsia" w:ascii="仿宋" w:hAnsi="仿宋" w:eastAsia="仿宋"/>
          <w:sz w:val="32"/>
          <w:szCs w:val="32"/>
          <w:lang w:val="en-US" w:eastAsia="zh-CN"/>
        </w:rPr>
        <w:t>8</w:t>
      </w:r>
      <w:r>
        <w:rPr>
          <w:rFonts w:hint="eastAsia" w:ascii="仿宋" w:hAnsi="仿宋" w:eastAsia="仿宋"/>
          <w:sz w:val="32"/>
          <w:szCs w:val="32"/>
        </w:rPr>
        <w:t>年度未购置公务用车，支出全部为公务用车运行维护费</w:t>
      </w:r>
      <w:r>
        <w:rPr>
          <w:rFonts w:hint="eastAsia" w:ascii="仿宋_GB2312" w:eastAsia="仿宋_GB2312" w:cs="DengXian-Regular"/>
          <w:sz w:val="32"/>
          <w:szCs w:val="32"/>
        </w:rPr>
        <w:t>。公务用车购置费支出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 w:hAnsi="仿宋" w:eastAsia="仿宋"/>
          <w:sz w:val="32"/>
          <w:szCs w:val="32"/>
        </w:rPr>
        <w:t>2辆、执法用车28辆，</w:t>
      </w:r>
      <w:r>
        <w:rPr>
          <w:rFonts w:hint="eastAsia" w:ascii="仿宋" w:hAnsi="仿宋" w:eastAsia="仿宋"/>
          <w:sz w:val="32"/>
          <w:szCs w:val="32"/>
          <w:lang w:eastAsia="zh-CN"/>
        </w:rPr>
        <w:t>其他用车</w:t>
      </w:r>
      <w:r>
        <w:rPr>
          <w:rFonts w:hint="eastAsia" w:ascii="仿宋" w:hAnsi="仿宋" w:eastAsia="仿宋"/>
          <w:sz w:val="32"/>
          <w:szCs w:val="32"/>
          <w:lang w:val="en-US" w:eastAsia="zh-CN"/>
        </w:rPr>
        <w:t>23辆，</w:t>
      </w:r>
      <w:r>
        <w:rPr>
          <w:rFonts w:hint="eastAsia" w:ascii="仿宋_GB2312" w:eastAsia="仿宋_GB2312" w:cs="DengXian-Regular"/>
          <w:sz w:val="32"/>
          <w:szCs w:val="32"/>
        </w:rPr>
        <w:t>公车运行维护费支出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仿宋" w:hAnsi="仿宋" w:eastAsia="仿宋"/>
          <w:sz w:val="32"/>
          <w:szCs w:val="32"/>
          <w:lang w:val="en-US" w:eastAsia="zh-CN"/>
        </w:rPr>
        <w:t>27680</w:t>
      </w:r>
      <w:r>
        <w:rPr>
          <w:rFonts w:hint="eastAsia" w:ascii="楷体_GB2312" w:eastAsia="楷体_GB2312" w:cs="DengXian-Bold"/>
          <w:b/>
          <w:bCs/>
          <w:sz w:val="32"/>
          <w:szCs w:val="32"/>
        </w:rPr>
        <w:t>元。</w:t>
      </w:r>
      <w:r>
        <w:rPr>
          <w:sz w:val="44"/>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hint="eastAsia" w:ascii="仿宋" w:hAnsi="仿宋" w:eastAsia="仿宋"/>
          <w:sz w:val="32"/>
          <w:szCs w:val="32"/>
        </w:rPr>
        <w:t>201</w:t>
      </w:r>
      <w:r>
        <w:rPr>
          <w:rFonts w:hint="eastAsia" w:ascii="仿宋" w:hAnsi="仿宋" w:eastAsia="仿宋"/>
          <w:sz w:val="32"/>
          <w:szCs w:val="32"/>
          <w:lang w:val="en-US" w:eastAsia="zh-CN"/>
        </w:rPr>
        <w:t>8</w:t>
      </w:r>
      <w:r>
        <w:rPr>
          <w:rFonts w:hint="eastAsia" w:ascii="仿宋" w:hAnsi="仿宋" w:eastAsia="仿宋"/>
          <w:sz w:val="32"/>
          <w:szCs w:val="32"/>
        </w:rPr>
        <w:t>年接待</w:t>
      </w:r>
      <w:r>
        <w:rPr>
          <w:rFonts w:hint="eastAsia" w:ascii="仿宋" w:hAnsi="仿宋" w:eastAsia="仿宋"/>
          <w:sz w:val="32"/>
          <w:szCs w:val="32"/>
          <w:lang w:val="en-US" w:eastAsia="zh-CN"/>
        </w:rPr>
        <w:t>9</w:t>
      </w:r>
      <w:r>
        <w:rPr>
          <w:rFonts w:hint="eastAsia" w:ascii="仿宋" w:hAnsi="仿宋" w:eastAsia="仿宋"/>
          <w:sz w:val="32"/>
          <w:szCs w:val="32"/>
        </w:rPr>
        <w:t>批次，接待</w:t>
      </w:r>
      <w:r>
        <w:rPr>
          <w:rFonts w:hint="eastAsia" w:ascii="仿宋" w:hAnsi="仿宋" w:eastAsia="仿宋"/>
          <w:sz w:val="32"/>
          <w:szCs w:val="32"/>
          <w:lang w:val="en-US" w:eastAsia="zh-CN"/>
        </w:rPr>
        <w:t>280</w:t>
      </w:r>
      <w:r>
        <w:rPr>
          <w:rFonts w:hint="eastAsia" w:ascii="仿宋" w:hAnsi="仿宋" w:eastAsia="仿宋"/>
          <w:sz w:val="32"/>
          <w:szCs w:val="32"/>
        </w:rPr>
        <w:t>人次</w:t>
      </w:r>
      <w:r>
        <w:rPr>
          <w:rFonts w:hint="eastAsia" w:ascii="仿宋_GB2312" w:eastAsia="仿宋_GB2312" w:cs="DengXian-Regular"/>
          <w:sz w:val="32"/>
          <w:szCs w:val="32"/>
        </w:rPr>
        <w:t>。公务接待费支出较年初预算增加减少</w:t>
      </w:r>
      <w:r>
        <w:rPr>
          <w:rFonts w:hint="eastAsia" w:ascii="仿宋_GB2312" w:eastAsia="仿宋_GB2312" w:cs="DengXian-Regular"/>
          <w:sz w:val="32"/>
          <w:szCs w:val="32"/>
          <w:lang w:val="en-US" w:eastAsia="zh-CN"/>
        </w:rPr>
        <w:t>2320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7.73</w:t>
      </w:r>
      <w:r>
        <w:rPr>
          <w:rFonts w:hint="eastAsia" w:ascii="仿宋_GB2312" w:eastAsia="仿宋_GB2312" w:cs="DengXian-Regular"/>
          <w:sz w:val="32"/>
          <w:szCs w:val="32"/>
        </w:rPr>
        <w:t>%,主要是认真贯彻落实</w:t>
      </w:r>
      <w:r>
        <w:rPr>
          <w:rFonts w:hint="eastAsia" w:ascii="仿宋_GB2312" w:eastAsia="仿宋_GB2312" w:cs="DengXian-Regular"/>
          <w:sz w:val="32"/>
          <w:szCs w:val="32"/>
          <w:lang w:val="en-US" w:eastAsia="zh-CN"/>
        </w:rPr>
        <w:t>中央八项规定精神</w:t>
      </w:r>
      <w:r>
        <w:rPr>
          <w:rFonts w:hint="eastAsia" w:ascii="仿宋_GB2312" w:eastAsia="仿宋_GB2312" w:cs="DengXian-Regular"/>
          <w:sz w:val="32"/>
          <w:szCs w:val="32"/>
        </w:rPr>
        <w:t>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ind w:firstLine="56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560"/>
        <w:rPr>
          <w:rFonts w:hint="eastAsia" w:ascii="仿宋" w:hAnsi="仿宋" w:eastAsia="仿宋"/>
          <w:sz w:val="32"/>
          <w:szCs w:val="32"/>
        </w:rPr>
      </w:pPr>
      <w:r>
        <w:rPr>
          <w:rFonts w:hint="eastAsia" w:ascii="仿宋" w:hAnsi="仿宋" w:eastAsia="仿宋"/>
          <w:sz w:val="32"/>
          <w:szCs w:val="32"/>
        </w:rPr>
        <w:t>根据区财政预算绩效管理要求，市场监督管理局以“部门职责一工作活动”为依据，确定部门预算项目和预算额度，清晰描述预算项目开支范围和内容，确定预算项目的绩效目标、绩效指标和评价标准，为预算绩效控制、绩效分析、绩效评价打下好的基础。</w:t>
      </w:r>
    </w:p>
    <w:p>
      <w:pPr>
        <w:adjustRightInd w:val="0"/>
        <w:snapToGrid w:val="0"/>
        <w:spacing w:after="0" w:line="580" w:lineRule="exact"/>
        <w:ind w:firstLine="640" w:firstLineChars="200"/>
        <w:rPr>
          <w:rFonts w:hint="eastAsia" w:ascii="仿宋_GB2312" w:eastAsia="仿宋_GB2312" w:cs="DengXian-Regular"/>
          <w:sz w:val="32"/>
          <w:szCs w:val="32"/>
        </w:rPr>
      </w:pPr>
    </w:p>
    <w:p>
      <w:pPr>
        <w:ind w:firstLine="560"/>
        <w:rPr>
          <w:rFonts w:hint="eastAsia" w:ascii="仿宋_GB2312" w:eastAsia="仿宋_GB2312" w:cs="DengXian-Regular"/>
          <w:sz w:val="32"/>
          <w:szCs w:val="32"/>
        </w:rPr>
      </w:pPr>
      <w:r>
        <w:rPr>
          <w:rFonts w:hint="eastAsia" w:ascii="仿宋_GB2312" w:eastAsia="仿宋_GB2312" w:cs="DengXian-Regular"/>
          <w:sz w:val="32"/>
          <w:szCs w:val="32"/>
        </w:rPr>
        <w:t>（二）项目绩效自评结果。</w:t>
      </w:r>
    </w:p>
    <w:p>
      <w:pPr>
        <w:ind w:firstLine="560"/>
        <w:rPr>
          <w:rFonts w:hint="eastAsia" w:ascii="仿宋" w:hAnsi="仿宋" w:eastAsia="仿宋"/>
          <w:sz w:val="32"/>
          <w:szCs w:val="32"/>
        </w:rPr>
      </w:pPr>
      <w:r>
        <w:rPr>
          <w:rFonts w:hint="eastAsia" w:ascii="仿宋" w:hAnsi="仿宋" w:eastAsia="仿宋"/>
          <w:sz w:val="32"/>
          <w:szCs w:val="32"/>
        </w:rPr>
        <w:t>按照区财政预算绩效管理要求，市场监督管理局对201</w:t>
      </w:r>
      <w:r>
        <w:rPr>
          <w:rFonts w:hint="eastAsia" w:ascii="仿宋" w:hAnsi="仿宋" w:eastAsia="仿宋"/>
          <w:sz w:val="32"/>
          <w:szCs w:val="32"/>
          <w:lang w:val="en-US" w:eastAsia="zh-CN"/>
        </w:rPr>
        <w:t>8</w:t>
      </w:r>
      <w:r>
        <w:rPr>
          <w:rFonts w:hint="eastAsia" w:ascii="仿宋" w:hAnsi="仿宋" w:eastAsia="仿宋"/>
          <w:sz w:val="32"/>
          <w:szCs w:val="32"/>
        </w:rPr>
        <w:t>年初确定的部门一般公共预算支出项目全面开展了绩效自评。</w:t>
      </w:r>
    </w:p>
    <w:p>
      <w:pPr>
        <w:ind w:firstLine="560"/>
        <w:rPr>
          <w:rFonts w:hint="eastAsia" w:ascii="仿宋_GB2312" w:eastAsia="仿宋_GB2312" w:cs="DengXian-Regular"/>
          <w:sz w:val="32"/>
          <w:szCs w:val="32"/>
        </w:rPr>
      </w:pPr>
      <w:r>
        <w:rPr>
          <w:rFonts w:hint="eastAsia" w:ascii="仿宋" w:hAnsi="仿宋" w:eastAsia="仿宋"/>
          <w:sz w:val="32"/>
          <w:szCs w:val="32"/>
        </w:rPr>
        <w:t>通过实施预算项目绩效评价发现，预算项目绩效目标设定还需进一步详尽，绩效指标应充分体现“结果”导向原则。进一步改进完善的措施:一是按照"结果"导向原则做好项目绩效目标设定工作，将绩效目标设定从“支出完成”和“实现产出”向注重“全面结果”的评价重点转变;二是完善项目绩效指标设定，进一步探索更具科学性和可操作性的绩效分析、绩效考核指标体系。</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4521213</w:t>
      </w:r>
      <w:r>
        <w:rPr>
          <w:rFonts w:hint="eastAsia" w:ascii="仿宋_GB2312" w:eastAsia="仿宋_GB2312" w:cs="DengXian-Regular"/>
          <w:sz w:val="32"/>
          <w:szCs w:val="32"/>
        </w:rPr>
        <w:t>元，比年初预算数增加</w:t>
      </w:r>
      <w:r>
        <w:rPr>
          <w:rFonts w:hint="eastAsia" w:ascii="仿宋_GB2312" w:eastAsia="仿宋_GB2312" w:cs="DengXian-Regular"/>
          <w:sz w:val="32"/>
          <w:szCs w:val="32"/>
          <w:lang w:val="en-US" w:eastAsia="zh-CN"/>
        </w:rPr>
        <w:t>1683641</w:t>
      </w:r>
      <w:r>
        <w:rPr>
          <w:rFonts w:hint="eastAsia" w:ascii="仿宋_GB2312" w:eastAsia="仿宋_GB2312" w:cs="DengXian-Regular"/>
          <w:sz w:val="32"/>
          <w:szCs w:val="32"/>
        </w:rPr>
        <w:t>元，增长（降低）</w:t>
      </w:r>
      <w:r>
        <w:rPr>
          <w:rFonts w:hint="eastAsia" w:ascii="仿宋_GB2312" w:eastAsia="仿宋_GB2312" w:cs="DengXian-Regular"/>
          <w:sz w:val="32"/>
          <w:szCs w:val="32"/>
          <w:lang w:val="en-US" w:eastAsia="zh-CN"/>
        </w:rPr>
        <w:t>37.24</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追加专项抽检经费</w:t>
      </w:r>
      <w:r>
        <w:rPr>
          <w:rFonts w:hint="eastAsia" w:ascii="仿宋_GB2312" w:eastAsia="仿宋_GB2312" w:cs="DengXian-Regular"/>
          <w:sz w:val="32"/>
          <w:szCs w:val="32"/>
        </w:rPr>
        <w:t>。</w:t>
      </w:r>
    </w:p>
    <w:p>
      <w:pPr>
        <w:pStyle w:val="4"/>
        <w:numPr>
          <w:ilvl w:val="0"/>
          <w:numId w:val="3"/>
        </w:numPr>
        <w:spacing w:before="0" w:after="0" w:line="580" w:lineRule="exact"/>
        <w:ind w:left="0" w:leftChars="0" w:firstLine="643" w:firstLineChars="200"/>
        <w:rPr>
          <w:rFonts w:hint="eastAsia" w:ascii="楷体_GB2312" w:eastAsia="楷体_GB2312" w:cs="DengXian-Bold"/>
        </w:rPr>
      </w:pPr>
      <w:r>
        <w:rPr>
          <w:rFonts w:hint="eastAsia" w:ascii="楷体_GB2312" w:eastAsia="楷体_GB2312" w:cs="DengXian-Bold"/>
        </w:rPr>
        <w:t>政府采购情况</w:t>
      </w:r>
    </w:p>
    <w:p>
      <w:pPr>
        <w:spacing w:line="560" w:lineRule="exact"/>
        <w:ind w:firstLine="1120" w:firstLineChars="350"/>
        <w:jc w:val="left"/>
      </w:pPr>
      <w:r>
        <w:rPr>
          <w:rFonts w:hint="eastAsia" w:ascii="仿宋" w:hAnsi="仿宋" w:eastAsia="仿宋"/>
          <w:color w:val="000000"/>
          <w:sz w:val="32"/>
          <w:szCs w:val="32"/>
        </w:rPr>
        <w:t>此表无数据，空表列示。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spacing w:line="560" w:lineRule="exact"/>
        <w:ind w:firstLine="640" w:firstLineChars="200"/>
        <w:jc w:val="left"/>
        <w:rPr>
          <w:rFonts w:hint="eastAsia" w:ascii="仿宋" w:hAnsi="仿宋" w:eastAsia="仿宋"/>
          <w:color w:val="000000"/>
          <w:sz w:val="32"/>
          <w:szCs w:val="32"/>
        </w:rPr>
      </w:pPr>
      <w:r>
        <w:rPr>
          <w:rFonts w:hint="eastAsia" w:ascii="仿宋_GB2312" w:eastAsia="仿宋_GB2312" w:cs="DengXian-Regular"/>
          <w:sz w:val="32"/>
          <w:szCs w:val="32"/>
        </w:rPr>
        <w:t>截至2018年12月31日，</w:t>
      </w:r>
      <w:r>
        <w:rPr>
          <w:rFonts w:hint="eastAsia" w:ascii="仿宋" w:hAnsi="仿宋" w:eastAsia="仿宋"/>
          <w:color w:val="000000"/>
          <w:sz w:val="32"/>
          <w:szCs w:val="32"/>
        </w:rPr>
        <w:t>本部门共有车辆53辆（车改车辆手续不全尚未列减），其中，一般公务用车2辆;单位价值50万元以上通用设备2台。</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 w:hAnsi="仿宋" w:eastAsia="仿宋"/>
          <w:sz w:val="32"/>
          <w:szCs w:val="32"/>
        </w:rPr>
      </w:pPr>
      <w:r>
        <w:rPr>
          <w:rFonts w:hint="eastAsia" w:ascii="仿宋_GB2312" w:eastAsia="仿宋_GB2312" w:cs="DengXian-Regular"/>
          <w:sz w:val="32"/>
          <w:szCs w:val="32"/>
        </w:rPr>
        <w:t>1、本部门2018年度</w:t>
      </w:r>
      <w:r>
        <w:rPr>
          <w:rFonts w:hint="eastAsia" w:ascii="仿宋" w:hAnsi="仿宋" w:eastAsia="仿宋"/>
          <w:sz w:val="32"/>
          <w:szCs w:val="32"/>
        </w:rPr>
        <w:t>年末结转和结余</w:t>
      </w:r>
      <w:r>
        <w:rPr>
          <w:rFonts w:hint="eastAsia" w:ascii="仿宋" w:hAnsi="仿宋" w:eastAsia="仿宋"/>
          <w:sz w:val="32"/>
          <w:szCs w:val="32"/>
          <w:lang w:val="en-US" w:eastAsia="zh-CN"/>
        </w:rPr>
        <w:t>1144100</w:t>
      </w:r>
      <w:r>
        <w:rPr>
          <w:rFonts w:hint="eastAsia" w:ascii="仿宋" w:hAnsi="仿宋" w:eastAsia="仿宋"/>
          <w:sz w:val="32"/>
          <w:szCs w:val="32"/>
        </w:rPr>
        <w:t>元</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257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100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100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UnicodeMS">
    <w:altName w:val="Malgun Gothic"/>
    <w:panose1 w:val="00000000000000000000"/>
    <w:charset w:val="81"/>
    <w:family w:val="auto"/>
    <w:pitch w:val="default"/>
    <w:sig w:usb0="00000000" w:usb1="00000000" w:usb2="00000010" w:usb3="00000000" w:csb0="00080001" w:csb1="00000000"/>
  </w:font>
  <w:font w:name="仿宋">
    <w:panose1 w:val="02010609060101010101"/>
    <w:charset w:val="86"/>
    <w:family w:val="auto"/>
    <w:pitch w:val="default"/>
    <w:sig w:usb0="800002BF" w:usb1="38CF7CFA" w:usb2="00000016" w:usb3="00000000" w:csb0="00040001" w:csb1="00000000"/>
  </w:font>
  <w:font w:name="MS-UIGothic,Bold">
    <w:altName w:val="Malgun Gothic"/>
    <w:panose1 w:val="00000000000000000000"/>
    <w:charset w:val="81"/>
    <w:family w:val="auto"/>
    <w:pitch w:val="default"/>
    <w:sig w:usb0="00000000" w:usb1="00000000" w:usb2="00000010" w:usb3="00000000" w:csb0="00080000" w:csb1="00000000"/>
  </w:font>
  <w:font w:name="DengXian-Regular">
    <w:altName w:val="宋体"/>
    <w:panose1 w:val="00000000000000000000"/>
    <w:charset w:val="86"/>
    <w:family w:val="auto"/>
    <w:pitch w:val="default"/>
    <w:sig w:usb0="00000000" w:usb1="00000000" w:usb2="00000010" w:usb3="00000000" w:csb0="00040001" w:csb1="00000000"/>
  </w:font>
  <w:font w:name="楷体_GB2312">
    <w:panose1 w:val="02010609030101010101"/>
    <w:charset w:val="86"/>
    <w:family w:val="modern"/>
    <w:pitch w:val="default"/>
    <w:sig w:usb0="00000001" w:usb1="080E0000" w:usb2="00000000" w:usb3="00000000" w:csb0="00040000" w:csb1="00000000"/>
  </w:font>
  <w:font w:name="DengXian-Bold">
    <w:altName w:val="宋体"/>
    <w:panose1 w:val="00000000000000000000"/>
    <w:charset w:val="86"/>
    <w:family w:val="auto"/>
    <w:pitch w:val="default"/>
    <w:sig w:usb0="00000000" w:usb1="00000000" w:usb2="0000001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A359C6"/>
    <w:multiLevelType w:val="singleLevel"/>
    <w:tmpl w:val="28A359C6"/>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792BED7"/>
    <w:multiLevelType w:val="singleLevel"/>
    <w:tmpl w:val="5792BED7"/>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mMjEyZTdhYzI5M2Q3NWNjNzVjZGEwNTdlZDFmNzMifQ=="/>
  </w:docVars>
  <w:rsids>
    <w:rsidRoot w:val="00172A27"/>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3E07"/>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5745A"/>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4073F84"/>
    <w:rsid w:val="0B60750A"/>
    <w:rsid w:val="0D9846E5"/>
    <w:rsid w:val="104C6EC9"/>
    <w:rsid w:val="10686488"/>
    <w:rsid w:val="10DF728A"/>
    <w:rsid w:val="1264200E"/>
    <w:rsid w:val="141C5B77"/>
    <w:rsid w:val="17F7704D"/>
    <w:rsid w:val="18D8339D"/>
    <w:rsid w:val="19A04AB6"/>
    <w:rsid w:val="1A21388F"/>
    <w:rsid w:val="1A570D2F"/>
    <w:rsid w:val="1CE61055"/>
    <w:rsid w:val="28FB0B8D"/>
    <w:rsid w:val="2A9870FC"/>
    <w:rsid w:val="2C0421A5"/>
    <w:rsid w:val="2D2B7942"/>
    <w:rsid w:val="2D46481D"/>
    <w:rsid w:val="2E733B28"/>
    <w:rsid w:val="31852B5A"/>
    <w:rsid w:val="32D01238"/>
    <w:rsid w:val="3875014B"/>
    <w:rsid w:val="3ACA4D96"/>
    <w:rsid w:val="3C23103C"/>
    <w:rsid w:val="3D9565DE"/>
    <w:rsid w:val="3DFC59A8"/>
    <w:rsid w:val="3ECF245E"/>
    <w:rsid w:val="3FB96314"/>
    <w:rsid w:val="44151123"/>
    <w:rsid w:val="45662237"/>
    <w:rsid w:val="4A332E8E"/>
    <w:rsid w:val="4C18667F"/>
    <w:rsid w:val="53A44FAF"/>
    <w:rsid w:val="55872E29"/>
    <w:rsid w:val="56462545"/>
    <w:rsid w:val="57374319"/>
    <w:rsid w:val="58142DBA"/>
    <w:rsid w:val="594329EC"/>
    <w:rsid w:val="5BEE1540"/>
    <w:rsid w:val="5CBA42C0"/>
    <w:rsid w:val="5DE61A5D"/>
    <w:rsid w:val="62CE2692"/>
    <w:rsid w:val="63C04243"/>
    <w:rsid w:val="649C01C7"/>
    <w:rsid w:val="651E1D68"/>
    <w:rsid w:val="699A3F60"/>
    <w:rsid w:val="6ADF65D7"/>
    <w:rsid w:val="6FE43AC8"/>
    <w:rsid w:val="70BC2100"/>
    <w:rsid w:val="70F66291"/>
    <w:rsid w:val="726605DE"/>
    <w:rsid w:val="72902E62"/>
    <w:rsid w:val="73B8605B"/>
    <w:rsid w:val="73C61104"/>
    <w:rsid w:val="776452EA"/>
    <w:rsid w:val="7935771A"/>
    <w:rsid w:val="7BB70B33"/>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autoRedefine/>
    <w:qFormat/>
    <w:uiPriority w:val="1"/>
    <w:rPr>
      <w:rFonts w:asciiTheme="minorHAnsi" w:hAnsiTheme="minorEastAsia" w:eastAsiaTheme="minorEastAsia" w:cstheme="minorBidi"/>
      <w:sz w:val="22"/>
      <w:szCs w:val="22"/>
      <w:lang w:eastAsia="zh-CN"/>
    </w:rPr>
  </w:style>
  <w:style w:type="character" w:customStyle="1" w:styleId="24">
    <w:name w:val="Style3"/>
    <w:basedOn w:val="14"/>
    <w:autoRedefine/>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styleId="3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37</Pages>
  <Words>8745</Words>
  <Characters>10470</Characters>
  <Lines>76</Lines>
  <Paragraphs>21</Paragraphs>
  <TotalTime>21</TotalTime>
  <ScaleCrop>false</ScaleCrop>
  <LinksUpToDate>false</LinksUpToDate>
  <CharactersWithSpaces>10707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千绯影</cp:lastModifiedBy>
  <cp:lastPrinted>2019-08-02T01:01:00Z</cp:lastPrinted>
  <dcterms:modified xsi:type="dcterms:W3CDTF">2024-05-06T01:40:45Z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0561418A0AFA4326A8755E18F052E7FF</vt:lpwstr>
  </property>
</Properties>
</file>