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24" w:beforeLines="200" w:after="0" w:line="240" w:lineRule="auto"/>
        <w:jc w:val="center"/>
        <w:rPr>
          <w:rFonts w:ascii="黑体" w:eastAsia="黑体"/>
          <w:sz w:val="48"/>
          <w:szCs w:val="48"/>
        </w:rPr>
      </w:pPr>
      <w:r>
        <w:rPr>
          <w:sz w:val="48"/>
          <w:szCs w:val="28"/>
        </w:rPr>
        <w:drawing>
          <wp:inline distT="0" distB="0" distL="114300" distR="114300">
            <wp:extent cx="5610225" cy="7783195"/>
            <wp:effectExtent l="0" t="0" r="9525" b="8255"/>
            <wp:docPr id="76" name="图片 76" descr="照片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照片 001"/>
                    <pic:cNvPicPr>
                      <a:picLocks noChangeAspect="1"/>
                    </pic:cNvPicPr>
                  </pic:nvPicPr>
                  <pic:blipFill>
                    <a:blip r:embed="rId6"/>
                    <a:stretch>
                      <a:fillRect/>
                    </a:stretch>
                  </pic:blipFill>
                  <pic:spPr>
                    <a:xfrm>
                      <a:off x="0" y="0"/>
                      <a:ext cx="5610225" cy="7783195"/>
                    </a:xfrm>
                    <a:prstGeom prst="rect">
                      <a:avLst/>
                    </a:prstGeom>
                  </pic:spPr>
                </pic:pic>
              </a:graphicData>
            </a:graphic>
          </wp:inline>
        </w:drawing>
      </w:r>
      <w:r>
        <w:rPr>
          <w:sz w:val="48"/>
          <w:szCs w:val="28"/>
        </w:rPr>
        <mc:AlternateContent>
          <mc:Choice Requires="wpg">
            <w:drawing>
              <wp:anchor distT="0" distB="0" distL="114300" distR="114300" simplePos="0" relativeHeight="251671552"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95pt;height:46.7pt;width:250.05pt;mso-position-vertical-relative:page;z-index:251671552;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vbfrIEQDAABACQAADgAAAGRycy9lMm9Eb2MueG1s&#10;7VbLbhMxFN0j8Q+W93RmkkxealKFhlRIhVYqiLXj8Twkj21sp5OyZsGSP0BixzcgPqfiN7i2J2lS&#10;KtECYoUiTfy8j3PPuTOHR+uao0umTSXFBCcHMUZMUJlVopjg168WT4YYGUtERrgUbIKvmMFH08eP&#10;Dhs1Zh1ZSp4xjcCIMONGTXBprRpHkaElq4k5kIoJ2MylromFqS6iTJMGrNc86sRxP2qkzpSWlBkD&#10;q/OwiVuL+j4GZZ5XlM0lXdVM2GBVM04spGTKShk89dHmOaP2LM8Ns4hPMGRq/ROcwHjpntH0kIwL&#10;TVRZ0TYEcp8QbuVUk0qA062pObEErXT1k6m6oloamdsDKusoJOIRgSyS+BY2J1qulM+lGDeF2oIO&#10;hbqF+m+bpS8vzzWqMmDCYISRIDWU/PvX99cfPyC3Avg0qhjDsROtLtS5bheKMHMpr3Ndu39IBq09&#10;sldbZNnaIgqL3WSQ9rspRhT20lE3HrXQ0xLq46710jTByO12+kka6kLLZ+39Ydrrh8tJdzR0u9HG&#10;ceTi24bTKGCluYHK/BlUFyVRzFfAOAw2UA2BPi1Un75cf/uMkm5Ayp/awmTGBhC7A6O7kt1AtZMq&#10;gLaXKhkrbewJkzVygwnWwG9PO3J5amxAZXPEuTWSV9mi4txPdLE85hpdEtDCfOR+/i5f1S9kFpaH&#10;aRz7ygC8Jpz3UO8Z4gI1E9xJe3AUUQI9IAftwbBWwCMjCowIL6C5UKu9ByFdDBBeSGBOTBncebNt&#10;ilyAJ1e+gJkbLWV2BZBrGWRrFF1UkPcpMfacaNAp+IdOZs/gkXMJQcl2hFEp9bu71t154ATsYtSA&#10;7iHgtyuiGUb8uQC2jJJeD8xaP+mlgw5M9O7OcndHrOpjCXACdSE6P3TnLd8Mcy3rN9DwZs4rbBFB&#10;wXeApp0c29CPoGVSNpv5Y9AcFLGn4kJRZ9whJ+RsZWVe+TLfoNOCBpx3Sv0n5Idk98nfeyD5B4NW&#10;6cNNG9iSv9vptTpPOl5TW53/RfLP5nHcmbe88xzcaOTB1N673SomcPtpPOgnC186U5KMhVWnr18K&#10;zEn43iKx6+XaN+X/enmoXvyrA16svsW1HwHuzb079/q6+fCZ/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YPMNU2wAAAAsBAAAPAAAAAAAAAAEAIAAAACIAAABkcnMvZG93bnJldi54bWxQSwECFAAU&#10;AAAACACHTuJAvbfrIE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丰润区看守所</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0528"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7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8.95pt;height:46.7pt;width:222.8pt;mso-position-vertical-relative:page;z-index:251670528;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IRuBe0QDAABACQAADgAAAGRycy9lMm9Eb2MueG1s&#10;7VbLbhMxFN0j8Q+W93QezeSlJlVoaIVUaKWCWDsez0Py2MZ2OilrFiz5AyR2fAPicyp+g2t7Mn1Q&#10;iRYEKxRp4ud9nHvOndnb3zQcnTNtailmONmJMWKCyrwW5Qy/fnX4ZIyRsUTkhEvBZviCGbw/f/xo&#10;r1VTlspK8pxpBEaEmbZqhitr1TSKDK1YQ8yOVEzAZiF1QyxMdRnlmrRgveFRGsfDqJU6V1pSZgys&#10;LsMm7izq+xiURVFTtpR03TBhg1XNOLGQkqlqZfDcR1sUjNqTojDMIj7DkKn1T3AC45V7RvM9Mi01&#10;UVVNuxDIfUK4lVNDagFOe1NLYgla6/onU01NtTSysDtUNlFIxCMCWSTxLWyOtFwrn0s5bUvVgw6F&#10;uoX6b5ulL89PNapzYMJoiJEgDZT8+9f3lx8/ILcC+LSqnMKxI63O1KnuFsowcylvCt24f0gGbTyy&#10;Fz2ybGMRhcV0nE6yIYBOYS+b7MaTDnpaQX3ctUGWJRi53XSYZKEutHrW3R9nA4jOXU52J2O3G20d&#10;Ry6+PpxWASvNFVTmz6A6q4hivgLGYdBDNeqh+vTl8ttnlOwGpPypHiYzNYDYHRjdlewWqmupJiMP&#10;RJ8qmSpt7BGTDXKDGdbAb087cn5sbEBle8S5NZLX+WHNuZ/ocnXANTonoIXlxP38Xb5uXsg8LI+z&#10;OPaVAZ8mnPdQ3zDEBWqhpNkAjiJKoAcUoD0YNgp4ZESJEeElNBdqtfcgpIsBwgsJLImpgjtvtqsm&#10;F+DJlS9g5kYrmV8A5FoG2RpFD2vI+5gYe0o06BT8QyezJ/AouISgZDfCqJL63V3r7jxwAnYxakH3&#10;EPDbNdEMI/5cAFsmyWAAZq2fDLJRChN9fWd1fUesmwMJcAJ1ITo/dOct3w4LLZs30PAWzitsEUHB&#10;d4CmmxzY0I+gZVK2WPhj0BwUscfiTFFn3CEn5GJtZVH7Ml+h04EGnHdK/SfkhxdE1yc68g8eSP4R&#10;yMcrfbxtAz35d9NBp/Mk9Zr6G+RfLOM4XXa88xzcauTB1L5xu1NM4PbTeDRMDn3pTEVyFladvn4p&#10;MCfhe4vEblYb35T/6+WhevGvDnix+hbXfQS4N/f1udfX1YfP/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ezVw+2wAAAAsBAAAPAAAAAAAAAAEAIAAAACIAAABkcnMvZG93bnJldi54bWxQSwECFAAU&#10;AAAACACHTuJAIRuBe0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59264"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68480"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68480;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yaRGbkACAABr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xcMEYig2SbFf9RtkK6ruAMzTMB3ByfMWyS9EiFfCYxyABQsTL3HUmpCENhJnDflv&#10;/9Inf3QJVs46jFfJw9e18Ioz/cGif0fjg4M0j/lyMJ3t4+KfWlZPLXZtTgkTPMZqOpnF5B/1Vqw9&#10;mS/Yq2XKCpOwErlLHrfiaRyGHnsp1XKZnTCBTsQLe+1kCj3QuVxHqtvMdKJp4GbDHmYwN2CzL2nI&#10;n96z1+M/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IrDqd4AAAANAQAADwAAAAAAAAABACAA&#10;AAAiAAAAZHJzL2Rvd25yZXYueG1sUEsBAhQAFAAAAAgAh07iQMmkRm5AAgAAawQAAA4AAAAAAAAA&#10;AQAgAAAALQEAAGRycy9lMm9Eb2MueG1sUEsFBgAAAAAGAAYAWQEAAN8FAAAAAA==&#10;">
                <v:fill on="f" focussize="0,0"/>
                <v:stroke on="f" weight="0.5pt"/>
                <v:imagedata o:title=""/>
                <o:lock v:ext="edit" aspectratio="f"/>
                <v:textbo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v:textbox>
              </v:shape>
            </w:pict>
          </mc:Fallback>
        </mc:AlternateConten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0288"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15"/>
                <wp:cNvGraphicFramePr/>
                <a:graphic xmlns:a="http://schemas.openxmlformats.org/drawingml/2006/main">
                  <a:graphicData uri="http://schemas.microsoft.com/office/word/2010/wordprocessingGroup">
                    <wpg:wgp>
                      <wpg:cNvGrpSpPr/>
                      <wpg:grpSpPr>
                        <a:xfrm>
                          <a:off x="0" y="0"/>
                          <a:ext cx="3114675" cy="592957"/>
                          <a:chOff x="4551" y="52615"/>
                          <a:chExt cx="8546" cy="1398"/>
                        </a:xfrm>
                      </wpg:grpSpPr>
                      <wps:wsp>
                        <wps:cNvPr id="1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5pt;height:46.7pt;width:245.25pt;mso-position-vertical-relative:page;z-index:251660288;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H7011EkDAAA8CQAADgAAAGRycy9lMm9Eb2MueG1s&#10;7VbLbhs3FN0HyD8Q3Mfz0IweA0uGasVGAKc24BZdUxzOA+CQLEl55KyzyDJ/UKC7fkPRzzH6G70k&#10;R7LsGoidBF0VAkZ8XN7H4Tl35vhk23F0w7RppZjj5CjGiAkqy1bUc/zzT2dvphgZS0RJuBRsjm+Z&#10;wSeL16+Oe1WwVDaSl0wjcCJM0as5bqxVRRQZ2rCOmCOpmIDNSuqOWJjqOio16cF7x6M0jsdRL3Wp&#10;tKTMGFhdhU08eNTPcSirqqVsJemmY8IGr5pxYqEk07TK4IXPtqoYtZdVZZhFfI6hUuufEATGa/eM&#10;FsekqDVRTUuHFMhzUnhUU0daAUH3rlbEErTR7b9cdS3V0sjKHlHZRaEQjwhUkcSPsDnXcqN8LXXR&#10;12oPOlzUI9S/2i398eZKo7YEJuQYCdLBjf/958e7z58QLAA6vaoLMDrX6lpd6WGhDjNX8LbSnfuH&#10;UtDW43q7x5VtLaKwOEqSbDwB/xT28lk6yycBeNrA7bhjWZ4nGLnddBzikoI2b4fz0zwbh8PJaDZ1&#10;R6Nd4Mjlt0+nV8BJcw+U+TagrhuimMffOAx2QI32QP32x91fv6NkFIDyRnuUTGEAsCcgeqrWHVIH&#10;lSYA2GGlpFDa2HMmO+QGc6yB3J5z5ObC2GC6M3FhjeRtedZy7ie6Xp9yjW4ICGE1cz9/lm+697IM&#10;y9M8jr0iAF0T7D3SDxxxgfo5TvMMTBEl0AAqEB4MOwUkMqLGiPAaOgu12kcQ0uUA6YUCVsQ0IZx3&#10;O5TIBURytxcwc6O1LG8BcS2DZo2iZy3UfUGMvSIaRArxoY3ZS3hUXEJSchhh1Ej94al1Zw+UgF2M&#10;ehA9JPzrhmiGEX8ngCyzJMtcl/CTLJ+kMNGHO+vDHbHpTiXACcyF7PzQ2Vu+G1Zadr9At1u6qLBF&#10;BIXYAZphcmpDM4J+Sdly6c2gMyhiL8S1os65Q07I5cbKqvXXfI/OABpQ3gn1v+B+9pj72Qu5P5kM&#10;Op/Ohu675/4oBe+uRSRJ6iW1V/l35P5yFcfpaqCdp+BOIi9m9oPTg2ACtX+IJ+PkzN+caUjJwqqT&#10;1xf15RT8bI3Y7XoLyronxP9yea5c/IsDXqq+ww0fAO6tfTj38rr/6Fn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CDJ1BDbAAAACwEAAA8AAAAAAAAAAQAgAAAAIgAAAGRycy9kb3ducmV2LnhtbFBL&#10;AQIUABQAAAAIAIdO4kAfvTXUSQMAADwJAAAOAAAAAAAAAAEAIAAAACoBAABkcnMvZTJvRG9jLnht&#10;bFBLBQYAAAAABgAGAFkBAADlBgAAAAA=&#10;">
                <o:lock v:ext="edit" aspectratio="f"/>
                <v:rect id="_x0000_s1026" o:spid="_x0000_s1026" o:spt="1" style="position:absolute;left:4551;top:52615;height:1175;width:8546;v-text-anchor:middle;" fillcolor="#D9D9D9 [2732]"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pPr>
        <w:ind w:firstLine="705" w:firstLineChars="196"/>
        <w:rPr>
          <w:rFonts w:hint="eastAsia" w:ascii="仿宋" w:hAnsi="仿宋" w:eastAsia="仿宋"/>
          <w:sz w:val="36"/>
          <w:szCs w:val="36"/>
        </w:rPr>
      </w:pPr>
      <w:r>
        <w:rPr>
          <w:rFonts w:hint="eastAsia" w:ascii="仿宋" w:hAnsi="仿宋" w:eastAsia="仿宋"/>
          <w:sz w:val="36"/>
          <w:szCs w:val="36"/>
        </w:rPr>
        <w:t>主要职能：依据国家法律对被羁押的人犯实行武装警戒看守，保障安全；负责对犯罪嫌疑人、犯罪分子的教育转化工作，配合预审、起诉、审判工作。管理人犯的生活和卫生；保障侦查、起诉和审判工作的顺利进行。</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hint="eastAsia" w:ascii="仿宋_GB2312" w:eastAsia="仿宋_GB2312" w:cs="ArialUnicodeMS" w:hAnsiTheme="minorHAnsi"/>
          <w:kern w:val="0"/>
          <w:sz w:val="32"/>
          <w:szCs w:val="32"/>
          <w:lang w:val="en-US" w:eastAsia="zh-CN"/>
        </w:rPr>
        <w:t>1</w:t>
      </w:r>
      <w:r>
        <w:rPr>
          <w:rFonts w:hint="eastAsia" w:ascii="仿宋_GB2312" w:eastAsia="仿宋_GB2312" w:cs="ArialUnicodeMS" w:hAnsiTheme="minorHAnsi"/>
          <w:kern w:val="0"/>
          <w:sz w:val="32"/>
          <w:szCs w:val="32"/>
        </w:rPr>
        <w:t xml:space="preserve"> 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唐山市丰润区看守所</w:t>
            </w:r>
            <w:r>
              <w:rPr>
                <w:rFonts w:hint="eastAsia" w:ascii="仿宋_GB2312" w:eastAsia="仿宋_GB2312" w:cs="ArialUnicodeMS" w:hAnsiTheme="minorHAnsi"/>
                <w:kern w:val="0"/>
                <w:sz w:val="28"/>
                <w:szCs w:val="28"/>
              </w:rPr>
              <w:t>(</w:t>
            </w:r>
            <w:r>
              <w:rPr>
                <w:rFonts w:hint="eastAsia" w:ascii="仿宋_GB2312" w:eastAsia="仿宋_GB2312" w:cs="ArialUnicodeMS" w:hAnsiTheme="minorHAnsi"/>
                <w:kern w:val="0"/>
                <w:sz w:val="28"/>
                <w:szCs w:val="28"/>
                <w:lang w:eastAsia="zh-CN"/>
              </w:rPr>
              <w:t>二</w:t>
            </w:r>
            <w:r>
              <w:rPr>
                <w:rFonts w:hint="eastAsia" w:ascii="仿宋_GB2312" w:eastAsia="仿宋_GB2312" w:cs="ArialUnicodeMS" w:hAnsiTheme="minorHAnsi"/>
                <w:kern w:val="0"/>
                <w:sz w:val="28"/>
                <w:szCs w:val="28"/>
              </w:rPr>
              <w:t>级)</w:t>
            </w:r>
          </w:p>
        </w:tc>
        <w:tc>
          <w:tcPr>
            <w:tcW w:w="244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行政单位</w:t>
            </w:r>
          </w:p>
        </w:tc>
        <w:tc>
          <w:tcPr>
            <w:tcW w:w="266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jc w:val="left"/>
              <w:rPr>
                <w:rFonts w:hint="eastAsia" w:ascii="仿宋_GB2312" w:eastAsia="仿宋" w:cs="ArialUnicodeMS" w:hAnsiTheme="minorHAnsi"/>
                <w:kern w:val="0"/>
                <w:sz w:val="28"/>
                <w:szCs w:val="28"/>
                <w:lang w:eastAsia="zh-CN"/>
              </w:rPr>
            </w:pPr>
            <w:r>
              <w:rPr>
                <w:rFonts w:hint="eastAsia" w:ascii="仿宋" w:hAnsi="仿宋" w:eastAsia="仿宋"/>
                <w:sz w:val="36"/>
                <w:szCs w:val="36"/>
              </w:rPr>
              <w:t>丰润区看守所正股级，设所长一人，指导员一人，副所长</w:t>
            </w:r>
            <w:r>
              <w:rPr>
                <w:rFonts w:hint="eastAsia" w:ascii="仿宋" w:hAnsi="仿宋" w:eastAsia="仿宋"/>
                <w:sz w:val="36"/>
                <w:szCs w:val="36"/>
                <w:lang w:eastAsia="zh-CN"/>
              </w:rPr>
              <w:t>五</w:t>
            </w:r>
            <w:r>
              <w:rPr>
                <w:rFonts w:hint="eastAsia" w:ascii="仿宋" w:hAnsi="仿宋" w:eastAsia="仿宋"/>
                <w:sz w:val="36"/>
                <w:szCs w:val="36"/>
              </w:rPr>
              <w:t>人；根据工作需要，配备看守、管教、医务、财会、炊事等工作人员。机构人员情况：民警2</w:t>
            </w:r>
            <w:r>
              <w:rPr>
                <w:rFonts w:hint="eastAsia" w:ascii="仿宋" w:hAnsi="仿宋" w:eastAsia="仿宋"/>
                <w:sz w:val="36"/>
                <w:szCs w:val="36"/>
                <w:lang w:val="en-US" w:eastAsia="zh-CN"/>
              </w:rPr>
              <w:t>2</w:t>
            </w:r>
            <w:r>
              <w:rPr>
                <w:rFonts w:hint="eastAsia" w:ascii="仿宋" w:hAnsi="仿宋" w:eastAsia="仿宋"/>
                <w:sz w:val="36"/>
                <w:szCs w:val="36"/>
              </w:rPr>
              <w:t>人，文职1人，工勤1人，协警19人，炊事员8人，门卫2人，锅炉工</w:t>
            </w:r>
            <w:r>
              <w:rPr>
                <w:rFonts w:hint="eastAsia" w:ascii="仿宋" w:hAnsi="仿宋" w:eastAsia="仿宋"/>
                <w:sz w:val="36"/>
                <w:szCs w:val="36"/>
                <w:lang w:val="en-US" w:eastAsia="zh-CN"/>
              </w:rPr>
              <w:t>1</w:t>
            </w:r>
            <w:r>
              <w:rPr>
                <w:rFonts w:hint="eastAsia" w:ascii="仿宋" w:hAnsi="仿宋" w:eastAsia="仿宋"/>
                <w:sz w:val="36"/>
                <w:szCs w:val="36"/>
              </w:rPr>
              <w:t>人。人员经费由分局机关账列支</w:t>
            </w:r>
            <w:r>
              <w:rPr>
                <w:rFonts w:hint="eastAsia" w:ascii="仿宋" w:hAnsi="仿宋" w:eastAsia="仿宋"/>
                <w:sz w:val="36"/>
                <w:szCs w:val="36"/>
                <w:lang w:eastAsia="zh-CN"/>
              </w:rPr>
              <w:t>。</w:t>
            </w:r>
          </w:p>
        </w:tc>
      </w:tr>
    </w:tbl>
    <w:p>
      <w:pPr>
        <w:spacing w:after="0" w:line="560" w:lineRule="exact"/>
        <w:rPr>
          <w:rFonts w:ascii="仿宋_GB2312" w:eastAsia="仿宋_GB2312" w:cs="ArialUnicodeMS" w:hAnsiTheme="minorHAnsi"/>
          <w:kern w:val="0"/>
          <w:sz w:val="32"/>
          <w:szCs w:val="32"/>
        </w:rPr>
      </w:pPr>
    </w:p>
    <w:p>
      <w:pPr>
        <w:widowControl/>
        <w:spacing w:line="560" w:lineRule="exact"/>
        <w:jc w:val="both"/>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2336"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1312"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1312;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AZRl+A9AgAAaQ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ls8TCDGYpMUh/WwRbam+hbAPI2zEZw865D8XIR4KTyGAQVjXeIFjkYTktBW4qwl//Vf+uSP&#10;HsHKWY/hqnj4shFecabfW3TvzeQw8RDz5XA2n+LiH1rWDy12Y04I8zvBYjqZxeQf9U5sPJnP2KpV&#10;ygqTsBK5Kx534kkcRx5bKdVqlZ0wf07Ec3vlZAo90rnaRGq6zHSiaeRmyx4mMDdguy1pxB/es9f9&#10;H2L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5rPdDcAAAADQEAAA8AAAAAAAAAAQAgAAAAIgAA&#10;AGRycy9kb3ducmV2LnhtbFBLAQIUABQAAAAIAIdO4kAGUZfgPQIAAGkEAAAOAAAAAAAAAAEAIAAA&#10;ACsBAABkcnMvZTJvRG9jLnhtbFBLBQYAAAAABgAGAFkBAADa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456"/>
        <w:gridCol w:w="540"/>
        <w:gridCol w:w="1607"/>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mc:AlternateContent>
                <mc:Choice Requires="wpg">
                  <w:drawing>
                    <wp:anchor distT="0" distB="0" distL="114300" distR="114300" simplePos="0" relativeHeight="251672576"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10"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0.25pt;margin-top:-81.85pt;height:41.2pt;width:243.2pt;mso-position-vertical-relative:page;z-index:251672576;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GfG6VNAAwAAPAkAAA4AAABkcnMvZTJvRG9jLnht&#10;bO1WzW4TMRC+I/EOlu90f7L5WzWpQkMqpEIrFcTZ8Xp/JK9tbKebcubAkTdA4sYzIB6n4jUYezdp&#10;WirRgHpDkTa2Zzw/33wzu4dH65qjS6ZNJcUERwchRkxQmVWimOC3bxbPRhgZS0RGuBRsgq+YwUfT&#10;p08OG5WyWJaSZ0wjMCJM2qgJLq1VaRAYWrKamAOpmABhLnVNLGx1EWSaNGC95kEchoOgkTpTWlJm&#10;DJzOWyHuLOqHGJR5XlE2l3RVM2Fbq5pxYiElU1bK4KmPNs8ZtWd5bphFfIIhU+uf4ATWS/cMpock&#10;LTRRZUW7EMhDQriTU00qAU63pubEErTS1W+m6opqaWRuD6isgzYRjwhkEYV3sDnRcqV8LkXaFGoL&#10;OhTqDup/bZa+vjzXqMqACQCJIDVU/Of3j9efPyE4AHQaVaSgdKLVhTrX3UHR7lzC61zX7h9SQWuP&#10;69UWV7a2iMJhLxyNBgnYpyDrx70Y1h54WkJ13LWk348w8tJB1N8IX3T3R/1k0F6OeuORkwYbx4GL&#10;bxtOo4CT5gYo829AXZREMY+/cRhsgIJIO6C+fLv+8RVFPReS8w1KW5RMagCweyC6L9cNUjuZRkOP&#10;wzZTkipt7AmTNXKLCdZAbs85cnlqbAvKRsW5NZJX2aLi3G90sTzmGl0SaIT52P38Xb6qX8msPR71&#10;w9AXBnyaVt8jfcsQF6iZ4LifgCqiBAZADo0Hy1oBiYwoMCK8gMlCrfYehHQx+HK76ObElK07b7Yr&#10;JhfgySHYYuZWS5ldAeJatj1rFF1UcP+UGHtONDQp+IcxZs/gkXMJQcluhVEp9Yf7zp0+UAKkGDXQ&#10;9BDw+xXRDCP+UgBZxlHiaGr9JukPY9joXclyVyJW9bEEOIEPEJ1fOn3LN8tcy/odTLuZ8woiIij4&#10;bqHpNse2HUYwLymbzbwaTAZF7Km4UNQZd+UTcrayMq98mW/Q6UADyrf8e3Tux9CHt7mf7Mn94bDr&#10;89G4GwJb7vfipOvyKPYt9Rjcn83DMJ53tPMU3LTI3sy+dbtrmJbaz8PhIFr4ypmSZKw9de31x/7a&#10;q0fsernuRs//dtmvXfyLA16qfsJ1HwDurb279+1189E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DgrxUj3AAAAA0BAAAPAAAAAAAAAAEAIAAAACIAAABkcnMvZG93bnJldi54bWxQSwECFAAUAAAA&#10;CACHTuJAZ8bpU0ADAAA8CQAADgAAAAAAAAABACAAAAArAQAAZHJzL2Uyb0RvYy54bWxQSwUGAAAA&#10;AAYABgBZAQAA3Q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收入支出决算总表</w:t>
            </w:r>
          </w:p>
        </w:tc>
      </w:tr>
      <w:tr>
        <w:tblPrEx>
          <w:tblCellMar>
            <w:top w:w="0" w:type="dxa"/>
            <w:left w:w="0" w:type="dxa"/>
            <w:bottom w:w="0" w:type="dxa"/>
            <w:right w:w="0" w:type="dxa"/>
          </w:tblCellMar>
        </w:tblPrEx>
        <w:trPr>
          <w:trHeight w:val="321" w:hRule="atLeast"/>
          <w:jc w:val="center"/>
        </w:trPr>
        <w:tc>
          <w:tcPr>
            <w:tcW w:w="245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60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公开01表</w:t>
            </w:r>
          </w:p>
        </w:tc>
      </w:tr>
      <w:tr>
        <w:tblPrEx>
          <w:tblCellMar>
            <w:top w:w="0" w:type="dxa"/>
            <w:left w:w="0" w:type="dxa"/>
            <w:bottom w:w="0" w:type="dxa"/>
            <w:right w:w="0" w:type="dxa"/>
          </w:tblCellMar>
        </w:tblPrEx>
        <w:trPr>
          <w:trHeight w:val="418" w:hRule="atLeast"/>
          <w:jc w:val="center"/>
        </w:trPr>
        <w:tc>
          <w:tcPr>
            <w:tcW w:w="245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bidi="ar"/>
              </w:rPr>
              <w:t>部门：</w:t>
            </w:r>
            <w:r>
              <w:rPr>
                <w:rFonts w:hint="eastAsia" w:ascii="宋体" w:hAnsi="宋体" w:cs="宋体"/>
                <w:color w:val="000000"/>
                <w:kern w:val="0"/>
                <w:sz w:val="20"/>
                <w:szCs w:val="20"/>
                <w:lang w:eastAsia="zh-CN" w:bidi="ar"/>
              </w:rPr>
              <w:t>唐山市丰润区看守所</w:t>
            </w:r>
          </w:p>
        </w:tc>
        <w:tc>
          <w:tcPr>
            <w:tcW w:w="5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60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支出</w:t>
            </w:r>
          </w:p>
        </w:tc>
      </w:tr>
      <w:tr>
        <w:tblPrEx>
          <w:tblCellMar>
            <w:top w:w="0" w:type="dxa"/>
            <w:left w:w="0" w:type="dxa"/>
            <w:bottom w:w="0" w:type="dxa"/>
            <w:right w:w="0" w:type="dxa"/>
          </w:tblCellMar>
        </w:tblPrEx>
        <w:trPr>
          <w:trHeight w:val="295"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r>
      <w:tr>
        <w:tblPrEx>
          <w:tblCellMar>
            <w:top w:w="0" w:type="dxa"/>
            <w:left w:w="0" w:type="dxa"/>
            <w:bottom w:w="0" w:type="dxa"/>
            <w:right w:w="0" w:type="dxa"/>
          </w:tblCellMar>
        </w:tblPrEx>
        <w:trPr>
          <w:trHeight w:val="295"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0" w:type="dxa"/>
            <w:bottom w:w="0" w:type="dxa"/>
            <w:right w:w="0" w:type="dxa"/>
          </w:tblCellMar>
        </w:tblPrEx>
        <w:trPr>
          <w:trHeight w:val="365"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一、财政拨款收入</w:t>
            </w: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554"/>
              </w:tabs>
              <w:spacing w:after="0" w:line="200" w:lineRule="exact"/>
              <w:jc w:val="left"/>
              <w:rPr>
                <w:rFonts w:hint="default" w:ascii="宋体" w:hAnsi="宋体" w:eastAsia="宋体" w:cs="宋体"/>
                <w:color w:val="000000"/>
                <w:sz w:val="20"/>
                <w:szCs w:val="20"/>
                <w:lang w:val="en-US" w:eastAsia="zh-CN"/>
              </w:rPr>
            </w:pPr>
            <w:r>
              <w:rPr>
                <w:rFonts w:hint="eastAsia" w:ascii="宋体" w:hAnsi="宋体" w:cs="宋体"/>
                <w:color w:val="000000"/>
                <w:sz w:val="20"/>
                <w:szCs w:val="20"/>
                <w:lang w:eastAsia="zh-CN"/>
              </w:rPr>
              <w:tab/>
            </w:r>
            <w:r>
              <w:rPr>
                <w:rFonts w:hint="eastAsia" w:ascii="宋体" w:hAnsi="宋体" w:cs="宋体"/>
                <w:color w:val="000000"/>
                <w:sz w:val="20"/>
                <w:szCs w:val="20"/>
                <w:lang w:val="en-US" w:eastAsia="zh-CN"/>
              </w:rPr>
              <w:t>220.21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二、上级补助收入</w:t>
            </w: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三、事业收入</w:t>
            </w: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四、经营收入</w:t>
            </w: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lang w:val="en-US" w:eastAsia="zh-CN"/>
              </w:rPr>
              <w:t>220.21</w:t>
            </w: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五、附属单位上缴收入</w:t>
            </w: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六、其他收入</w:t>
            </w: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20"/>
                <w:szCs w:val="20"/>
                <w:lang w:val="en-US" w:eastAsia="zh-CN"/>
              </w:rPr>
              <w:t>220.21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lang w:val="en-US" w:eastAsia="zh-CN"/>
              </w:rPr>
              <w:t>220.21</w:t>
            </w:r>
          </w:p>
        </w:tc>
      </w:tr>
      <w:tr>
        <w:tblPrEx>
          <w:tblCellMar>
            <w:top w:w="0" w:type="dxa"/>
            <w:left w:w="0" w:type="dxa"/>
            <w:bottom w:w="0" w:type="dxa"/>
            <w:right w:w="0" w:type="dxa"/>
          </w:tblCellMar>
        </w:tblPrEx>
        <w:trPr>
          <w:trHeight w:val="385"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用事业基金弥补收支差额</w:t>
            </w: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年初结转和结余</w:t>
            </w: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45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16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20"/>
                <w:szCs w:val="20"/>
                <w:lang w:val="en-US" w:eastAsia="zh-CN"/>
              </w:rPr>
              <w:t>220.21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lang w:val="en-US" w:eastAsia="zh-CN"/>
              </w:rPr>
              <w:t>220.21</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327"/>
        <w:gridCol w:w="1905"/>
        <w:gridCol w:w="139"/>
        <w:gridCol w:w="260"/>
        <w:gridCol w:w="651"/>
        <w:gridCol w:w="164"/>
        <w:gridCol w:w="526"/>
        <w:gridCol w:w="290"/>
        <w:gridCol w:w="580"/>
        <w:gridCol w:w="235"/>
        <w:gridCol w:w="815"/>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6"/>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收入决</w:t>
            </w:r>
            <w:r>
              <w:rPr>
                <w:sz w:val="44"/>
              </w:rPr>
              <mc:AlternateContent>
                <mc:Choice Requires="wpg">
                  <w:drawing>
                    <wp:anchor distT="0" distB="0" distL="114300" distR="114300" simplePos="0" relativeHeight="251673600"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4"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73600;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HfJ2XFEAwAAPAkAAA4AAABkcnMvZTJvRG9jLnht&#10;bO1Wy24TMRTdI/EPlvd0HsnkpaZVaEiFVGilglg7Hs9D8tjGdjIpaxYs+QMkdnwD4nMqfoNrj5M+&#10;qEQL6g5Fmti+1/dx7rl3Zv9w03C0ZtrUUkxxshdjxASVeS3KKX77ZvFshJGxROSES8Gm+IIZfHjw&#10;9Ml+qyYslZXkOdMIjAgzadUUV9aqSRQZWrGGmD2pmABhIXVDLGx1GeWatGC94VEax4OolTpXWlJm&#10;DJzOOyEOFvV9DMqiqCmbS7pqmLCdVc04sZCSqWpl8IGPtigYtadFYZhFfIohU+uf4ATWS/eMDvbJ&#10;pNREVTUNIZD7hHArp4bUApzuTM2JJWil699MNTXV0sjC7lHZRF0iHhHIIolvYXOs5Ur5XMpJW6od&#10;6FCoW6j/tVn6en2mUZ1Pca+PkSANVPzn94+Xnz8hOAB0WlVOQOlYq3N1psNB2e1cwptCN+4fUkEb&#10;j+vFDle2sYjCYS8ejQZ9gJyCLEt7Kaw98LSC6rhr/SxLMPLSQZJthS/C/VHWH3SXk9545KTR1nHk&#10;4tuF0yrgpLkCyvwbUOcVUczjbxwGW6CyHVBfvl3++IqSngvJ+QalHUpmYgCwOyC6K9ctUtcyTYYe&#10;h12mZKK0scdMNsgtplgDuT3nyPrE2A6UrYpzaySv80XNud/ocnnENVoTaIT52P38Xb5qXsm8Ox5l&#10;cewLAz5Np++RvmGIC9ROcZr1QRVRAgOggMaDZaOAREaUGBFewmShVnsPQroYfLlddHNiqs6dNxuK&#10;yQV4cgh2mLnVUuYXgLiWXc8aRRc13D8hxp4RDU0K/mGM2VN4FFxCUDKsMKqk/nDXudMHSoAUoxaa&#10;HgJ+vyKaYcRfCiDLOOk7mlq/6WfDFDb6umR5XSJWzZEEOIG5EJ1fOn3Lt8tCy+YdTLuZ8woiIij4&#10;7qAJmyPbDSOYl5TNZl4NJoMi9kScK+qMu/IJOVtZWdS+zFfoBNCA8h3/Hp/70IdhSATuhyFxb+4P&#10;h6HPR+MwBHbc76UwgtyISJLUt9RjcH82j+N0HmjnKbhtkQcz+8bt0DAdtZ/Hw0Gy8JUzFclZd+ra&#10;64/99aAesZvlJoye/+3ysHbxLw54qfoJFz4A3Fv7+t6319VHz8E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CebiNwAAAANAQAADwAAAAAAAAABACAAAAAiAAAAZHJzL2Rvd25yZXYueG1sUEsBAhQA&#10;FAAAAAgAh07iQHfJ2XF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2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90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部门：</w:t>
            </w:r>
            <w:r>
              <w:rPr>
                <w:rFonts w:hint="eastAsia" w:ascii="宋体" w:hAnsi="宋体" w:cs="宋体"/>
                <w:color w:val="000000"/>
                <w:kern w:val="0"/>
                <w:szCs w:val="21"/>
                <w:lang w:eastAsia="zh-CN" w:bidi="ar"/>
              </w:rPr>
              <w:t>唐山市丰润区看守所</w:t>
            </w: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25" w:hRule="atLeast"/>
          <w:jc w:val="center"/>
        </w:trPr>
        <w:tc>
          <w:tcPr>
            <w:tcW w:w="2746"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w:t>
            </w:r>
          </w:p>
        </w:tc>
        <w:tc>
          <w:tcPr>
            <w:tcW w:w="105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69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财政拨款收入</w:t>
            </w:r>
          </w:p>
        </w:tc>
        <w:tc>
          <w:tcPr>
            <w:tcW w:w="87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上级补助收入</w:t>
            </w:r>
          </w:p>
        </w:tc>
        <w:tc>
          <w:tcPr>
            <w:tcW w:w="105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事业收入</w:t>
            </w:r>
          </w:p>
        </w:tc>
        <w:tc>
          <w:tcPr>
            <w:tcW w:w="548"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其他收入</w:t>
            </w:r>
          </w:p>
        </w:tc>
      </w:tr>
      <w:tr>
        <w:tblPrEx>
          <w:tblCellMar>
            <w:top w:w="0" w:type="dxa"/>
            <w:left w:w="0" w:type="dxa"/>
            <w:bottom w:w="0" w:type="dxa"/>
            <w:right w:w="0" w:type="dxa"/>
          </w:tblCellMar>
        </w:tblPrEx>
        <w:trPr>
          <w:trHeight w:val="626"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功能分类科目编码</w:t>
            </w:r>
          </w:p>
        </w:tc>
        <w:tc>
          <w:tcPr>
            <w:tcW w:w="1905"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科目名称</w:t>
            </w:r>
          </w:p>
        </w:tc>
        <w:tc>
          <w:tcPr>
            <w:tcW w:w="105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69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87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105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548"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91" w:hRule="atLeast"/>
          <w:jc w:val="center"/>
        </w:trPr>
        <w:tc>
          <w:tcPr>
            <w:tcW w:w="2746"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105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10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r>
      <w:tr>
        <w:tblPrEx>
          <w:tblCellMar>
            <w:top w:w="0" w:type="dxa"/>
            <w:left w:w="0" w:type="dxa"/>
            <w:bottom w:w="0" w:type="dxa"/>
            <w:right w:w="0" w:type="dxa"/>
          </w:tblCellMar>
        </w:tblPrEx>
        <w:trPr>
          <w:trHeight w:val="90" w:hRule="atLeast"/>
          <w:jc w:val="center"/>
        </w:trPr>
        <w:tc>
          <w:tcPr>
            <w:tcW w:w="2746"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105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424"/>
              </w:tabs>
              <w:spacing w:after="0" w:line="240" w:lineRule="atLeast"/>
              <w:jc w:val="left"/>
              <w:rPr>
                <w:rFonts w:hint="default" w:ascii="宋体" w:hAnsi="宋体" w:eastAsia="宋体" w:cs="宋体"/>
                <w:b/>
                <w:color w:val="000000"/>
                <w:sz w:val="18"/>
                <w:szCs w:val="18"/>
                <w:lang w:val="en-US" w:eastAsia="zh-CN"/>
              </w:rPr>
            </w:pPr>
            <w:r>
              <w:rPr>
                <w:rFonts w:hint="eastAsia" w:ascii="宋体" w:hAnsi="宋体" w:cs="宋体"/>
                <w:b/>
                <w:color w:val="000000"/>
                <w:sz w:val="18"/>
                <w:szCs w:val="18"/>
                <w:lang w:eastAsia="zh-CN"/>
              </w:rPr>
              <w:tab/>
            </w:r>
            <w:r>
              <w:rPr>
                <w:rFonts w:hint="eastAsia" w:ascii="宋体" w:hAnsi="宋体" w:cs="宋体"/>
                <w:b/>
                <w:color w:val="000000"/>
                <w:sz w:val="18"/>
                <w:szCs w:val="18"/>
                <w:lang w:val="en-US" w:eastAsia="zh-CN"/>
              </w:rPr>
              <w:t>220.21</w:t>
            </w:r>
          </w:p>
        </w:tc>
        <w:tc>
          <w:tcPr>
            <w:tcW w:w="69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lang w:val="en-US" w:eastAsia="zh-CN"/>
              </w:rPr>
              <w:t>220.21</w:t>
            </w:r>
          </w:p>
        </w:tc>
        <w:tc>
          <w:tcPr>
            <w:tcW w:w="87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105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548"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204</w:t>
            </w:r>
          </w:p>
        </w:tc>
        <w:tc>
          <w:tcPr>
            <w:tcW w:w="19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公共安全支出</w:t>
            </w:r>
          </w:p>
        </w:tc>
        <w:tc>
          <w:tcPr>
            <w:tcW w:w="10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 w:val="18"/>
                <w:szCs w:val="18"/>
                <w:lang w:val="en-US" w:eastAsia="zh-CN"/>
              </w:rPr>
              <w:t>220.21</w:t>
            </w:r>
          </w:p>
        </w:tc>
        <w:tc>
          <w:tcPr>
            <w:tcW w:w="6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 w:val="18"/>
                <w:szCs w:val="18"/>
                <w:lang w:val="en-US" w:eastAsia="zh-CN"/>
              </w:rPr>
              <w:t>220.21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20402</w:t>
            </w:r>
          </w:p>
        </w:tc>
        <w:tc>
          <w:tcPr>
            <w:tcW w:w="19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公安</w:t>
            </w:r>
          </w:p>
        </w:tc>
        <w:tc>
          <w:tcPr>
            <w:tcW w:w="10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 w:val="18"/>
                <w:szCs w:val="18"/>
                <w:lang w:val="en-US" w:eastAsia="zh-CN"/>
              </w:rPr>
              <w:t>220.21</w:t>
            </w:r>
          </w:p>
        </w:tc>
        <w:tc>
          <w:tcPr>
            <w:tcW w:w="6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 w:val="18"/>
                <w:szCs w:val="18"/>
                <w:lang w:val="en-US" w:eastAsia="zh-CN"/>
              </w:rPr>
              <w:t>220.21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2040217</w:t>
            </w:r>
          </w:p>
        </w:tc>
        <w:tc>
          <w:tcPr>
            <w:tcW w:w="19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拘押收教场所管理</w:t>
            </w:r>
          </w:p>
        </w:tc>
        <w:tc>
          <w:tcPr>
            <w:tcW w:w="10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 w:val="18"/>
                <w:szCs w:val="18"/>
                <w:lang w:val="en-US" w:eastAsia="zh-CN"/>
              </w:rPr>
              <w:t>220.21</w:t>
            </w:r>
          </w:p>
        </w:tc>
        <w:tc>
          <w:tcPr>
            <w:tcW w:w="6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 w:val="18"/>
                <w:szCs w:val="18"/>
                <w:lang w:val="en-US" w:eastAsia="zh-CN"/>
              </w:rPr>
              <w:t>220.21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4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4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269"/>
        <w:gridCol w:w="1755"/>
        <w:gridCol w:w="543"/>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支出决算</w:t>
            </w:r>
            <w:r>
              <w:rPr>
                <w:sz w:val="44"/>
              </w:rPr>
              <mc:AlternateContent>
                <mc:Choice Requires="wpg">
                  <w:drawing>
                    <wp:anchor distT="0" distB="0" distL="114300" distR="114300" simplePos="0" relativeHeight="25167462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8"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462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UJ5FtEAwAAPAkAAA4AAABkcnMvZTJvRG9jLnht&#10;bO1WzW4TMRC+I/EOlu90f7L5VZMqNKRCKrRSQZwdr/dH8trGdropZw4ceQMkbjwD4nEqXoOxd7NJ&#10;SyVaEJxQpI3tGc/PN9/M7uHRpuLokmlTSjHF0UGIERNUpqXIp/j1q+WTEUbGEpESLgWb4itm8NHs&#10;8aPDWk1YLAvJU6YRGBFmUqspLqxVkyAwtGAVMQdSMQHCTOqKWNjqPEg1qcF6xYM4DAdBLXWqtKTM&#10;GDhdNELcWtT3MSizrKRsIem6YsI2VjXjxEJKpiiVwTMfbZYxas+yzDCL+BRDptY/wQmsV+4ZzA7J&#10;JNdEFSVtQyD3CeFWThUpBTjtTC2IJWity59MVSXV0sjMHlBZBU0iHhHIIgpvYXOi5Vr5XPJJnasO&#10;dCjULdR/2yx9eXmuUZlOcQ/qLkgFFf/+9f31xw8IDgCdWuUTUDrR6kKd6/Ygb3Yu4U2mK/cPqaCN&#10;x/Wqw5VtLKJw2AtHo0ECkFOQ9eNeDGsPPC2gOu5a0u9HGHnpIOpvhc/a+6N+MmguR72xjyrYOg5c&#10;fF04tQJOmh1Q5s+AuiiIYh5/4zDYAjXugPr05frbZxT1GqC8UoeSmRgA7A6I7sp1i9ReptHQ49Bl&#10;SiZKG3vCZIXcYoo1kNtzjlyeGgt4gupWxbk1kpfpsuTcb3S+OuYaXRJohMXY/fxdvq5eyLQ5HvXD&#10;0BcGDJlG3xu9YYgLVE9x3E9AFVECAyCDxoNlpYBERuQYEZ7DZKFWew9Cuhh8uV10C2KKxp0365AD&#10;d1zAn6teg5lbrWR6BYhr2fSsUXRZwv1TYuw50dCk4B/GmD2DR8YlBCXbFUaF1O/uOnf6QAmQYlRD&#10;00PAb9dEM4z4cwFkGUeJo6n1m6Q/jGGj9yWrfYlYV8cS4ATmQnR+6fQt3y4zLas3MO3mziuIiKDg&#10;u4Gm3RzbZhjBvKRsPvdqMBkUsafiQlFn3JVPyPnayqz0Zd6h04IGlHeN+g+479Bph0TL/eSB3B8O&#10;2z4fjdsh0HG/Fydtl0exb6m/wf35IgzjRUs7T8FtizyY2Tdutw3TUPtpOBxES185U5CUNaeuvX7Z&#10;Xw/qEbtZbaCBdoT43y73bRf/4oCXqh8/7QeAe2vv73177T56Zj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JpSytwAAAANAQAADwAAAAAAAAABACAAAAAiAAAAZHJzL2Rvd25yZXYueG1sUEsBAhQA&#10;FAAAAAgAh07iQAUJ5Ft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5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4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部门：</w:t>
            </w:r>
            <w:r>
              <w:rPr>
                <w:rFonts w:hint="eastAsia" w:ascii="宋体" w:hAnsi="宋体" w:cs="宋体"/>
                <w:color w:val="000000"/>
                <w:kern w:val="0"/>
                <w:szCs w:val="21"/>
                <w:lang w:eastAsia="zh-CN" w:bidi="ar"/>
              </w:rPr>
              <w:t>唐山市丰润区看守所</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837" w:hRule="atLeast"/>
        </w:trPr>
        <w:tc>
          <w:tcPr>
            <w:tcW w:w="260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979"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对附属单位补助支出</w:t>
            </w:r>
          </w:p>
        </w:tc>
      </w:tr>
      <w:tr>
        <w:tblPrEx>
          <w:tblCellMar>
            <w:top w:w="0" w:type="dxa"/>
            <w:left w:w="0" w:type="dxa"/>
            <w:bottom w:w="0" w:type="dxa"/>
            <w:right w:w="0" w:type="dxa"/>
          </w:tblCellMar>
        </w:tblPrEx>
        <w:trPr>
          <w:trHeight w:val="782" w:hRule="atLeast"/>
        </w:trPr>
        <w:tc>
          <w:tcPr>
            <w:tcW w:w="84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979"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6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97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440" w:hRule="atLeast"/>
        </w:trPr>
        <w:tc>
          <w:tcPr>
            <w:tcW w:w="26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97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220.21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6.25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213.96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84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204</w:t>
            </w:r>
          </w:p>
        </w:tc>
        <w:tc>
          <w:tcPr>
            <w:tcW w:w="1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公共安全支出</w:t>
            </w:r>
          </w:p>
        </w:tc>
        <w:tc>
          <w:tcPr>
            <w:tcW w:w="97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Cs w:val="21"/>
                <w:lang w:val="en-US" w:eastAsia="zh-CN"/>
              </w:rPr>
              <w:t>220.21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Cs w:val="21"/>
                <w:lang w:val="en-US" w:eastAsia="zh-CN"/>
              </w:rPr>
              <w:t>6.25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Cs w:val="21"/>
                <w:lang w:val="en-US" w:eastAsia="zh-CN"/>
              </w:rPr>
              <w:t>213.96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84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20402</w:t>
            </w:r>
          </w:p>
        </w:tc>
        <w:tc>
          <w:tcPr>
            <w:tcW w:w="1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公安</w:t>
            </w:r>
          </w:p>
        </w:tc>
        <w:tc>
          <w:tcPr>
            <w:tcW w:w="97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Cs w:val="21"/>
                <w:lang w:val="en-US" w:eastAsia="zh-CN"/>
              </w:rPr>
              <w:t>220.21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Cs w:val="21"/>
                <w:lang w:val="en-US" w:eastAsia="zh-CN"/>
              </w:rPr>
              <w:t>6.25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Cs w:val="21"/>
                <w:lang w:val="en-US" w:eastAsia="zh-CN"/>
              </w:rPr>
              <w:t>213.96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84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2040217</w:t>
            </w:r>
          </w:p>
        </w:tc>
        <w:tc>
          <w:tcPr>
            <w:tcW w:w="1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拘押收教场所管理</w:t>
            </w:r>
          </w:p>
        </w:tc>
        <w:tc>
          <w:tcPr>
            <w:tcW w:w="97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Cs w:val="21"/>
                <w:lang w:val="en-US" w:eastAsia="zh-CN"/>
              </w:rPr>
              <w:t>220.21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Cs w:val="21"/>
                <w:lang w:val="en-US" w:eastAsia="zh-CN"/>
              </w:rPr>
              <w:t>6.25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Cs w:val="21"/>
                <w:lang w:val="en-US" w:eastAsia="zh-CN"/>
              </w:rPr>
              <w:t>213.96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84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7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84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7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84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7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7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586"/>
        <w:gridCol w:w="345"/>
        <w:gridCol w:w="989"/>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财政拨款收入支出决</w:t>
            </w:r>
            <w:r>
              <w:rPr>
                <w:sz w:val="44"/>
              </w:rPr>
              <mc:AlternateContent>
                <mc:Choice Requires="wpg">
                  <w:drawing>
                    <wp:anchor distT="0" distB="0" distL="114300" distR="114300" simplePos="0" relativeHeight="251675648"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3"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5648;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BfzrsdDAwAAPAkAAA4AAABkcnMvZTJvRG9jLnht&#10;bO1WzW4TMRC+I/EOlu90f7KbPzWpQkMqpEIrFcTZ8Xp/JK9tbKebcubAkTdA4sYzIB6n4jUYezdp&#10;GirRguCEIm1sz3h+vplvdg+P1jVHl0ybSooJjg5CjJigMqtEMcGvXy2eDDEyloiMcCnYBF8xg4+m&#10;jx8dNmrMYllKnjGNwIgw40ZNcGmtGgeBoSWriTmQigkQ5lLXxMJWF0GmSQPWax7EYdgPGqkzpSVl&#10;xsDpvBXizqK+j0GZ5xVlc0lXNRO2taoZJxZSMmWlDJ76aPOcUXuW54ZZxCcYMrX+CU5gvXTPYHpI&#10;xoUmqqxoFwK5Twh7OdWkEuB0a2pOLEErXf1kqq6olkbm9oDKOmgT8YhAFlG4h82JlivlcynGTaG2&#10;oEOh9lD/bbP05eW5RlU2wUkPI0FqqPj3r++vP35AcADoNKoYg9KJVhfqXHcHRbtzCa9zXbt/SAWt&#10;Pa5XW1zZ2iIKh71wOOwnADkFWRr3Ylh74GkJ1XHXkjSNMPLSfpRuhM+6+8M06beXo95o6KTBxnHg&#10;4tuG0yjoSXMDlPkzoC5KopjH3zgMNkAlW6A+fbn+9hlFHVBeaYuSGRsA7A6I7sp1g9ROptHA47DN&#10;lIyVNvaEyRq5xQRraG7fc+Ty1NgWlI2Kc2skr7JFxbnf6GJ5zDW6JECE+cj9/F2+ql/IrD0epmHo&#10;CwM+Tavvkb5liAvUTHCcJqCKKIEBkAPxYFkraCIjCowIL2CyUKu9ByFdDL7cLro5MWXrzpvtiskF&#10;eHLVazFzq6XMrgBxLVvOGkUXFdw/JcaeEw0kBf8wxuwZPHIuISjZrTAqpX5317nTh5YAKUYNkB4C&#10;frsimmHEnwtollGUuDa1fpOkgxg2eley3JWIVX0sAU7oXIjOL52+5ZtlrmX9BqbdzHkFEREUfLfQ&#10;dJtj2w4jmJeUzWZeDSaDIvZUXCjqjLvyCTlbWZlXvsw36HSgQcs7ov6L3k/3ez9xFXS+gSD36f3B&#10;oOP5cNQNgW3v92JglhsRURR7Sv2N3p/NwzCed23nW3BDkQd39q3bHWHa1n4aDvrRwlfOlCRj7amj&#10;1y/59SCO2PVy3cH/ny4Po4t/ccBL1U+47gPAvbV3955eNx890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cmlLK3AAAAA0BAAAPAAAAAAAAAAEAIAAAACIAAABkcnMvZG93bnJldi54bWxQSwECFAAU&#10;AAAACACHTuJAF/Oux0MDAAA8CQAADgAAAAAAAAABACAAAAAr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8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11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bidi="ar"/>
              </w:rPr>
              <w:t>部门：</w:t>
            </w:r>
            <w:r>
              <w:rPr>
                <w:rFonts w:hint="eastAsia" w:ascii="宋体" w:hAnsi="宋体" w:cs="宋体"/>
                <w:color w:val="000000"/>
                <w:kern w:val="0"/>
                <w:sz w:val="20"/>
                <w:szCs w:val="20"/>
                <w:lang w:eastAsia="zh-CN" w:bidi="ar"/>
              </w:rPr>
              <w:t>唐山市丰润区看守所</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90" w:hRule="atLeast"/>
        </w:trPr>
        <w:tc>
          <w:tcPr>
            <w:tcW w:w="264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收     入</w:t>
            </w:r>
          </w:p>
        </w:tc>
        <w:tc>
          <w:tcPr>
            <w:tcW w:w="6292"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     出</w:t>
            </w:r>
          </w:p>
        </w:tc>
      </w:tr>
      <w:tr>
        <w:tblPrEx>
          <w:tblCellMar>
            <w:top w:w="0" w:type="dxa"/>
            <w:left w:w="0" w:type="dxa"/>
            <w:bottom w:w="0" w:type="dxa"/>
            <w:right w:w="0" w:type="dxa"/>
          </w:tblCellMar>
        </w:tblPrEx>
        <w:trPr>
          <w:trHeight w:val="170" w:hRule="atLeast"/>
        </w:trPr>
        <w:tc>
          <w:tcPr>
            <w:tcW w:w="2303"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98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政府性基金预算财政拨款</w:t>
            </w: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r>
      <w:tr>
        <w:tblPrEx>
          <w:tblCellMar>
            <w:top w:w="0" w:type="dxa"/>
            <w:left w:w="0" w:type="dxa"/>
            <w:bottom w:w="0" w:type="dxa"/>
            <w:right w:w="0" w:type="dxa"/>
          </w:tblCellMar>
        </w:tblPrEx>
        <w:trPr>
          <w:trHeight w:val="120" w:hRule="atLeast"/>
        </w:trPr>
        <w:tc>
          <w:tcPr>
            <w:tcW w:w="2303"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一、一般公共预算财政拨款</w:t>
            </w: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371"/>
              </w:tabs>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eastAsia="zh-CN"/>
              </w:rPr>
              <w:tab/>
            </w:r>
            <w:r>
              <w:rPr>
                <w:rFonts w:hint="eastAsia" w:ascii="宋体" w:hAnsi="宋体" w:cs="宋体"/>
                <w:color w:val="000000"/>
                <w:sz w:val="18"/>
                <w:szCs w:val="18"/>
                <w:lang w:val="en-US" w:eastAsia="zh-CN"/>
              </w:rPr>
              <w:t>220.21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303"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二、政府性基金预算财政拨款</w:t>
            </w: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220.21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220.21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lang w:bidi="ar"/>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本年收入合计</w:t>
            </w: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220.21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220.21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220.21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303"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年初财政拨款结转和结余</w:t>
            </w: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303"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一般公共预算财政拨款</w:t>
            </w: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303"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政府性基金预算财政拨款</w:t>
            </w: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303"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w:t>
            </w:r>
          </w:p>
        </w:tc>
        <w:tc>
          <w:tcPr>
            <w:tcW w:w="9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220.21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220.21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220.21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17"/>
        <w:gridCol w:w="2092"/>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10"/>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w:t>
            </w:r>
            <w:r>
              <w:rPr>
                <w:sz w:val="44"/>
              </w:rPr>
              <mc:AlternateContent>
                <mc:Choice Requires="wpg">
                  <w:drawing>
                    <wp:anchor distT="0" distB="0" distL="114300" distR="114300" simplePos="0" relativeHeight="25167667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6"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667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0T8CxCAwAAPAkAAA4AAABkcnMvZTJvRG9jLnht&#10;bO1WzW4TMRC+I/EOlu90f7L5VZMqNKRCKrRSQZwdr/dH8trGdropZw4ceQMkbjwD4nEqXoOxd7NN&#10;SyUaUG8o0sb2jOfnm29m9/BoU3F0ybQppZji6CDEiAkq01LkU/z2zfLZCCNjiUgJl4JN8RUz+Gj2&#10;9MlhrSYsloXkKdMIjAgzqdUUF9aqSRAYWrCKmAOpmABhJnVFLGx1HqSa1GC94kEchoOgljpVWlJm&#10;DJwuGiFuLeqHGJRZVlK2kHRdMWEbq5pxYiElU5TK4JmPNssYtWdZZphFfIohU+uf4ATWK/cMZodk&#10;kmuiipK2IZCHhHAnp4qUApx2phbEErTW5W+mqpJqaWRmD6isgiYRjwhkEYV3sDnRcq18LvmkzlUH&#10;OhTqDup/bZa+vjzXqEynOBlgJEgFFf/5/eP1508IDgCdWuUTUDrR6kKd6/Ygb3Yu4U2mK/cPqaCN&#10;x/Wqw5VtLKJw2AtHo0ECkFOQ9eNeDGsPPC2gOu5a0u9HGHnpIOpvhS/a+6O+C85djnrjkZMGW8eB&#10;i68Lp1bASXMDlPk3oC4KopjH3zgMtkANO6C+fLv+8RVFPReS8w1KHUpmYgCweyC6L9ctUjuZRkOP&#10;Q5cpmSht7AmTFXKLKdZAbs85cnlqbAPKVsW5NZKX6bLk3G90vjrmGl0SaITF2P38Xb6uXsm0OR71&#10;w9AXBnyaRt8jfcsQF6ie4rifgCqiBAZABo0Hy0oBiYzIMSI8h8lCrfYehHQx+HK76BbEFI07b7Yt&#10;JhfgySHYYOZWK5leAeJaNj1rFF2WcP+UGHtONDQp+IcxZs/gkXEJQcl2hVEh9Yf7zp0+UAKkGNXQ&#10;9BDw+zXRDCP+UgBZxlHiaGr9JukPY9joXclqVyLW1bEEOIG5EJ1fOn3Lt8tMy+odTLu58woiIij4&#10;bqBpN8e2GUYwLymbz70aTAZF7Km4UNQZd+UTcr62Mit9mW/QaUEDyjf8e3zuw8uhHRIt95M9uT+E&#10;7vF9Phq3Q6Djfi9O2i6PYt9Sj8H9+SIM40VLO0/BbYvszexbt9uGaaj9PBwOoqWvnClIyppT115/&#10;7K+9esRuVpt29Pxvl/3axb844KXqJ1z7AeDe2rt73143Hz2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yaUsrcAAAADQEAAA8AAAAAAAAAAQAgAAAAIgAAAGRycy9kb3ducmV2LnhtbFBLAQIUABQA&#10;AAAIAIdO4kD9E/AsQgMAADwJAAAOAAAAAAAAAAEAIAAAACs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公开05表</w:t>
            </w:r>
          </w:p>
        </w:tc>
      </w:tr>
      <w:tr>
        <w:tblPrEx>
          <w:tblCellMar>
            <w:top w:w="0" w:type="dxa"/>
            <w:left w:w="0" w:type="dxa"/>
            <w:bottom w:w="0" w:type="dxa"/>
            <w:right w:w="0" w:type="dxa"/>
          </w:tblCellMar>
        </w:tblPrEx>
        <w:trPr>
          <w:trHeight w:val="334" w:hRule="atLeast"/>
        </w:trPr>
        <w:tc>
          <w:tcPr>
            <w:tcW w:w="3847" w:type="dxa"/>
            <w:gridSpan w:val="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部门：</w:t>
            </w:r>
            <w:r>
              <w:rPr>
                <w:rFonts w:hint="eastAsia" w:ascii="宋体" w:hAnsi="宋体" w:cs="宋体"/>
                <w:color w:val="000000"/>
                <w:kern w:val="0"/>
                <w:szCs w:val="21"/>
                <w:lang w:eastAsia="zh-CN" w:bidi="ar"/>
              </w:rPr>
              <w:t>唐山市丰润区看守所</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51" w:hRule="atLeast"/>
        </w:trPr>
        <w:tc>
          <w:tcPr>
            <w:tcW w:w="310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2109"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r>
      <w:tr>
        <w:tblPrEx>
          <w:tblCellMar>
            <w:top w:w="0" w:type="dxa"/>
            <w:left w:w="0" w:type="dxa"/>
            <w:bottom w:w="0" w:type="dxa"/>
            <w:right w:w="0" w:type="dxa"/>
          </w:tblCellMar>
        </w:tblPrEx>
        <w:trPr>
          <w:trHeight w:val="368" w:hRule="atLeast"/>
        </w:trPr>
        <w:tc>
          <w:tcPr>
            <w:tcW w:w="3102"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lang w:val="en-US" w:eastAsia="zh-CN"/>
              </w:rPr>
              <w:t>220.21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lang w:val="en-US" w:eastAsia="zh-CN"/>
              </w:rPr>
              <w:t>6.25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lang w:val="en-US" w:eastAsia="zh-CN"/>
              </w:rPr>
              <w:t>213.96</w:t>
            </w:r>
          </w:p>
        </w:tc>
      </w:tr>
      <w:tr>
        <w:tblPrEx>
          <w:tblCellMar>
            <w:top w:w="0" w:type="dxa"/>
            <w:left w:w="0" w:type="dxa"/>
            <w:bottom w:w="0" w:type="dxa"/>
            <w:right w:w="0" w:type="dxa"/>
          </w:tblCellMar>
        </w:tblPrEx>
        <w:trPr>
          <w:trHeight w:val="368" w:hRule="atLeast"/>
        </w:trPr>
        <w:tc>
          <w:tcPr>
            <w:tcW w:w="101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204</w:t>
            </w:r>
          </w:p>
        </w:tc>
        <w:tc>
          <w:tcPr>
            <w:tcW w:w="20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公共安全支出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Cs w:val="21"/>
                <w:lang w:val="en-US" w:eastAsia="zh-CN"/>
              </w:rPr>
              <w:t>220.21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Cs w:val="21"/>
                <w:lang w:val="en-US" w:eastAsia="zh-CN"/>
              </w:rPr>
              <w:t>6.25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Cs w:val="21"/>
                <w:lang w:val="en-US" w:eastAsia="zh-CN"/>
              </w:rPr>
              <w:t>213.96</w:t>
            </w:r>
          </w:p>
        </w:tc>
      </w:tr>
      <w:tr>
        <w:tblPrEx>
          <w:tblCellMar>
            <w:top w:w="0" w:type="dxa"/>
            <w:left w:w="0" w:type="dxa"/>
            <w:bottom w:w="0" w:type="dxa"/>
            <w:right w:w="0" w:type="dxa"/>
          </w:tblCellMar>
        </w:tblPrEx>
        <w:trPr>
          <w:trHeight w:val="368" w:hRule="atLeast"/>
        </w:trPr>
        <w:tc>
          <w:tcPr>
            <w:tcW w:w="101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20402</w:t>
            </w:r>
          </w:p>
        </w:tc>
        <w:tc>
          <w:tcPr>
            <w:tcW w:w="20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公安</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Cs w:val="21"/>
                <w:lang w:val="en-US" w:eastAsia="zh-CN"/>
              </w:rPr>
              <w:t>220.21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Cs w:val="21"/>
                <w:lang w:val="en-US" w:eastAsia="zh-CN"/>
              </w:rPr>
              <w:t>6.25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Cs w:val="21"/>
                <w:lang w:val="en-US" w:eastAsia="zh-CN"/>
              </w:rPr>
              <w:t>213.96</w:t>
            </w:r>
          </w:p>
        </w:tc>
      </w:tr>
      <w:tr>
        <w:tblPrEx>
          <w:tblCellMar>
            <w:top w:w="0" w:type="dxa"/>
            <w:left w:w="0" w:type="dxa"/>
            <w:bottom w:w="0" w:type="dxa"/>
            <w:right w:w="0" w:type="dxa"/>
          </w:tblCellMar>
        </w:tblPrEx>
        <w:trPr>
          <w:trHeight w:val="368" w:hRule="atLeast"/>
        </w:trPr>
        <w:tc>
          <w:tcPr>
            <w:tcW w:w="101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val="en-US" w:eastAsia="zh-CN"/>
              </w:rPr>
              <w:t>2040217</w:t>
            </w:r>
          </w:p>
        </w:tc>
        <w:tc>
          <w:tcPr>
            <w:tcW w:w="20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lang w:eastAsia="zh-CN"/>
              </w:rPr>
              <w:t>拘押收教场所管理</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Cs w:val="21"/>
                <w:lang w:val="en-US" w:eastAsia="zh-CN"/>
              </w:rPr>
              <w:t>220.21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Cs w:val="21"/>
                <w:lang w:val="en-US" w:eastAsia="zh-CN"/>
              </w:rPr>
              <w:t>6.25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b/>
                <w:color w:val="000000"/>
                <w:szCs w:val="21"/>
                <w:lang w:val="en-US" w:eastAsia="zh-CN"/>
              </w:rPr>
              <w:t>213.96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10"/>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部门：</w:t>
            </w:r>
            <w:r>
              <w:rPr>
                <w:sz w:val="44"/>
              </w:rPr>
              <mc:AlternateContent>
                <mc:Choice Requires="wpg">
                  <w:drawing>
                    <wp:anchor distT="0" distB="0" distL="114300" distR="114300" simplePos="0" relativeHeight="251677696"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49"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25pt;margin-top:-129.4pt;height:41.2pt;width:243.2pt;mso-position-vertical-relative:page;z-index:251677696;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CtwgUfQAMAADwJAAAOAAAAZHJzL2Uyb0RvYy54&#10;bWztVsluFDEQvSPxD5bvpJfpnk2ZREOGREiBRAqIs8ftXiS3bWxPesKZA0f+AIkb34D4nIjfoOz2&#10;TBYikYByQyP12K5yLa9eVffu/rrl6Jxp00gxw8lOjBETVBaNqGb47ZvDZ2OMjCWiIFwKNsMXzOD9&#10;vadPdjs1ZamsJS+YRmBEmGmnZri2Vk2jyNCatcTsSMUECEupW2Jhq6uo0KQD6y2P0jgeRp3UhdKS&#10;MmPgdNELcbCo72NQlmVD2ULSVcuE7a1qxomFlEzdKIP3fLRlyag9KUvDLOIzDJla/wQnsF66Z7S3&#10;S6aVJqpuaAiB3CeEWzm1pBHgdGtqQSxBK938ZqptqJZGlnaHyjbqE/GIQBZJfAubIy1XyudSTbtK&#10;bUGHQt1C/a/N0tfnpxo1xQxnE4wEaaHiP79/vPz8CcEBoNOpagpKR1qdqVMdDqp+5xJel7p1/5AK&#10;WntcL7a4srVFFA4H8Xg8zAByCrI8HaSw9sDTGqrjrmV5nmDkpcMk3whfhPvjPBv2l5PBZOyk0cZx&#10;5OLbhtMp4KS5Asr8G1BnNVHM428cBgGoHBIJQH35dvnjK0oGLiTnG5S2KJmpAcDugOiuXDdIXcs0&#10;GXkctpmSqdLGHjHZIreYYQ3k9pwj58fG9qBsVJxbI3lTHDac+42ulgdco3MCjbCYuJ+/y1ftK1n0&#10;x+M8jn1hwKfp9T3SNwxxgboZTvMMVBElMABKaDxYtgpIZESFEeEVTBZqtfcgpIvBl9tFtyCm7t15&#10;s6GYXIAnh2CPmVstZXEBiGvZ96xR9LCB+8fE2FOioUnBP4wxewKPkksISoYVRrXUH+46d/pACZBi&#10;1EHTQ8DvV0QzjPhLAWSZJJmjqfWbLB+lsNHXJcvrErFqDyTACcyF6PzS6Vu+WZZatu9g2s2dVxAR&#10;QcF3D03YHNh+GMG8pGw+92owGRSxx+JMUWfclU/I+crKsvFlvkIngAaU7/n3+NyHXG9yP3sg90ej&#10;0OfjSRgCW+4P0ix0eZL6lnoM7s8XcZwuAu08BTct8mBm37gdGqan9vN4NEwOfeVMTQrWn7r2+mN/&#10;PahH7Hq5DqPnf7s8rF38iwNeqn7ChQ8A99a+vvftdfXRs/c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sDI+9N0AAAAOAQAADwAAAAAAAAABACAAAAAiAAAAZHJzL2Rvd25yZXYueG1sUEsBAhQAFAAA&#10;AAgAh07iQK3CBR9AAwAAPAkAAA4AAAAAAAAAAQAgAAAALA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宋体" w:hAnsi="宋体" w:cs="宋体"/>
                <w:color w:val="000000"/>
                <w:kern w:val="0"/>
                <w:sz w:val="22"/>
                <w:szCs w:val="22"/>
                <w:lang w:eastAsia="zh-CN" w:bidi="ar"/>
              </w:rPr>
              <w:t>唐山市丰润区看守所</w: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6.25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6.25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6.25</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w:t>
            </w:r>
            <w:r>
              <w:rPr>
                <w:sz w:val="44"/>
              </w:rPr>
              <mc:AlternateContent>
                <mc:Choice Requires="wpg">
                  <w:drawing>
                    <wp:anchor distT="0" distB="0" distL="114300" distR="114300" simplePos="0" relativeHeight="251678720"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52"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78720;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CGfTeo/AwAAPAkAAA4AAABkcnMvZTJvRG9jLnht&#10;bO1WzW4TMRC+I/EOlu90f5LNn5pUoSEVUqGVCuLseL0/ktc2tpNNOXPgyBsgceMZEI9T8RqMvZs0&#10;DZVoQL2hSBvbM56fb76Z3eOTdcXRimlTSjHG0VGIERNUpqXIx/jtm/mzAUbGEpESLgUb42tm8Mnk&#10;6ZPjWo1YLAvJU6YRGBFmVKsxLqxVoyAwtGAVMUdSMQHCTOqKWNjqPEg1qcF6xYM4DHtBLXWqtKTM&#10;GDidNULcWtQPMSizrKRsJumyYsI2VjXjxEJKpiiVwRMfbZYxai+yzDCL+BhDptY/wQmsF+4ZTI7J&#10;KNdEFSVtQyAPCWEvp4qUApxuTc2IJWipy99MVSXV0sjMHlFZBU0iHhHIIgr3sDnTcql8LvmoztUW&#10;dCjUHup/bZa+Xl1qVKZjnMQYCVJBxX9+/3jz+ROCA0CnVvkIlM60ulKXuj3Im51LeJ3pyv1DKmjt&#10;cb3e4srWFlE47ISDQa8LkFOQJXEnhrUHnhZQHXetmyQRRl7ai5KN8EV7f5B0e83lqDMcOGmwcRy4&#10;+Lbh1Ao4aW6BMv8G1FVBFPP4G4fBBqjOFqgv325+fEVRx4XkfIPSFiUzMgDYPRDdl+sGqZ1Mo77H&#10;YZspGSlt7BmTFXKLMdZAbs85sjo3tgFlo+LcGsnLdF5y7jc6X5xyjVYEGmE2dD9/ly+rVzJtjgdJ&#10;GPrCgE/T6Huk7xjiAtVjHCddUEWUwADIoPFgWSkgkRE5RoTnMFmo1d6DkC4GX24X3YyYonHnzbbF&#10;5AI8OQQbzNxqIdNrQFzLpmeNovMS7p8TYy+JhiYF/zDG7AU8Mi4hKNmuMCqk/nDfudMHSoAUoxqa&#10;HgJ+vySaYcRfCiDLMOo6mlq/6Sb9GDZ6V7LYlYhldSoBTmAuROeXTt/yzTLTsnoH027qvIKICAq+&#10;G2jazalthhHMS8qmU68Gk0ERey6uFHXGXfmEnC6tzEpf5lt0WtCA8g3/Hp/73X3udw/kfr/f9vlg&#10;2A6BLfc7MVh3IyKKYt9Sj8H96SwM41lLO0/BTYsczOw7t9uGaaj9POz3ormvnClIyppT115/7K+D&#10;esSuF+t29Pxvl8Paxb844KXqJ1z7AeDe2rt73163Hz2T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wnm4jcAAAADQEAAA8AAAAAAAAAAQAgAAAAIgAAAGRycy9kb3ducmV2LnhtbFBLAQIUABQAAAAI&#10;AIdO4kAhn03qPwMAADwJAAAOAAAAAAAAAAEAIAAAACs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lang w:bidi="ar"/>
              </w:rPr>
              <w:t>部门：</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hint="eastAsia" w:ascii="宋体" w:hAnsi="宋体" w:cs="宋体"/>
                <w:color w:val="000000"/>
                <w:kern w:val="0"/>
                <w:szCs w:val="21"/>
                <w:highlight w:val="none"/>
                <w:lang w:bidi="ar"/>
              </w:rPr>
            </w:pPr>
            <w:r>
              <w:rPr>
                <w:rFonts w:hint="eastAsia" w:ascii="楷体" w:hAnsi="楷体" w:eastAsia="楷体" w:cs="楷体"/>
                <w:sz w:val="32"/>
                <w:szCs w:val="32"/>
                <w:highlight w:val="none"/>
              </w:rPr>
              <w:t>本部门本年度无相关收入（或支出、收支及结转结余等）情况，按要求空表列示</w:t>
            </w:r>
          </w:p>
          <w:p>
            <w:pPr>
              <w:widowControl/>
              <w:adjustRightInd w:val="0"/>
              <w:snapToGrid w:val="0"/>
              <w:spacing w:after="0" w:line="240" w:lineRule="auto"/>
              <w:jc w:val="left"/>
              <w:textAlignment w:val="center"/>
              <w:rPr>
                <w:rFonts w:hint="eastAsia" w:ascii="宋体" w:hAnsi="宋体" w:eastAsia="宋体" w:cs="宋体"/>
                <w:color w:val="000000"/>
                <w:kern w:val="0"/>
                <w:szCs w:val="21"/>
                <w:lang w:eastAsia="zh-CN" w:bidi="ar"/>
              </w:rPr>
            </w:pPr>
          </w:p>
          <w:p>
            <w:pPr>
              <w:widowControl/>
              <w:adjustRightInd w:val="0"/>
              <w:snapToGrid w:val="0"/>
              <w:spacing w:after="0" w:line="240" w:lineRule="auto"/>
              <w:jc w:val="left"/>
              <w:textAlignment w:val="center"/>
              <w:rPr>
                <w:rFonts w:hint="eastAsia" w:ascii="宋体" w:hAnsi="宋体" w:cs="宋体"/>
                <w:color w:val="000000"/>
                <w:kern w:val="0"/>
                <w:szCs w:val="21"/>
                <w:lang w:bidi="ar"/>
              </w:rPr>
            </w:pPr>
          </w:p>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lang w:bidi="ar"/>
              </w:rPr>
              <w:t>政府性基金预算财政拨款</w:t>
            </w:r>
            <w:r>
              <w:rPr>
                <w:sz w:val="44"/>
              </w:rPr>
              <mc:AlternateContent>
                <mc:Choice Requires="wpg">
                  <w:drawing>
                    <wp:anchor distT="0" distB="0" distL="114300" distR="114300" simplePos="0" relativeHeight="25167974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5"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974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lMDZ9BAwAAPAkAAA4AAABkcnMvZTJvRG9jLnht&#10;bO1Wy24TMRTdI/EPlvd0HsnkMeq0Cg2pkAqtVBBrx+N5SB7b2E4mZc2CJX+AxI5vQHxOxW9w7Zmk&#10;DyrRgmCFIk38vI9zz7kz+4ebhqM106aWIsPRXogRE1TmtSgz/PrV4skEI2OJyAmXgmX4ghl8ePD4&#10;0X6rUhbLSvKcaQRGhElbleHKWpUGgaEVa4jZk4oJ2CykboiFqS6DXJMWrDc8iMNwFLRS50pLyoyB&#10;1Xm3iXuL+j4GZVHUlM0lXTVM2M6qZpxYSMlUtTL4wEdbFIza06IwzCKeYcjU+ic4gfHSPYODfZKW&#10;mqiqpn0I5D4h3MqpIbUApztTc2IJWun6J1NNTbU0srB7VDZBl4hHBLKIwlvYHGu5Uj6XMm1LtQMd&#10;CnUL9d82S1+uzzSq8wwnCUaCNFDx71/fX378gGAB0GlVmcKhY63O1ZnuF8pu5hLeFLpx/5AK2nhc&#10;L3a4so1FFBYH4WQyGgLkFPaSeBDD2ANPK6iOuzZMkggjvzuKvF+S0upZf3+SDEfd5WgwnbirwdZx&#10;4OLbhdMq4KS5Asr8GVDnFVHM428cBlugIJYeqE9fLr99RtGgA8of2qFkUgOA3QHRXblukbqWaTT2&#10;OOwyJanSxh4z2SA3yLAGcnvOkfWJsR0o2yPOrZG8zhc1536iy+UR12hNQAjzqfv5u3zVvJB5tzxJ&#10;wtAXBnya7rxH+oYhLlCb4TgZwlFECTSAAoQHw0YBiYwoMSK8hM5CrfYehHQx+HK76ObEVJ07b7Yv&#10;JhfgyVWvw8yNljK/AMS17DRrFF3UcP+EGHtGNIgU/EMbs6fwKLiEoGQ/wqiS+t1d6+48UAJ2MWpB&#10;9BDw2xXRDCP+XABZptHQ0dT6yTAZxzDR13eW13fEqjmSACcwF6LzQ3fe8u2w0LJ5A91u5rzCFhEU&#10;fHfQ9JMj2zUj6JeUzWb+GHQGReyJOFfUGXflE3K2srKofZmv0OlBA8o7of4L7o9vc3/4QO6PwYLX&#10;+WTaN4Ed9wfxsFd5FHtJ/Q3uz+ZhGM972nkKbiXyYGbfuN0LpqP203A8iha+cqYiOetWnbx+qa8H&#10;acRulhtQ1hUh/svlvnLxLw54qfoO138AuLf29bmX19VHz8E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JpSytwAAAANAQAADwAAAAAAAAABACAAAAAiAAAAZHJzL2Rvd25yZXYueG1sUEsBAhQAFAAA&#10;AAgAh07iQKlMDZ9BAwAAPAkAAA4AAAAAAAAAAQAgAAAAKw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36"/>
                <w:szCs w:val="36"/>
                <w:lang w:bidi="ar"/>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部门：</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hint="eastAsia" w:ascii="宋体" w:hAnsi="宋体" w:cs="宋体"/>
                <w:color w:val="000000"/>
                <w:kern w:val="0"/>
                <w:szCs w:val="21"/>
                <w:highlight w:val="none"/>
                <w:lang w:bidi="ar"/>
              </w:rPr>
            </w:pPr>
            <w:r>
              <w:rPr>
                <w:rFonts w:hint="eastAsia" w:ascii="楷体" w:hAnsi="楷体" w:eastAsia="楷体" w:cs="楷体"/>
                <w:sz w:val="32"/>
                <w:szCs w:val="32"/>
                <w:highlight w:val="none"/>
              </w:rPr>
              <w:t>本部门本年度无相关收入（或支出、收支及结转结余等）情况，按要求空表列示</w:t>
            </w:r>
          </w:p>
          <w:p>
            <w:pPr>
              <w:widowControl/>
              <w:adjustRightInd w:val="0"/>
              <w:spacing w:after="0" w:line="240" w:lineRule="auto"/>
              <w:jc w:val="left"/>
              <w:textAlignment w:val="center"/>
              <w:rPr>
                <w:rFonts w:hint="eastAsia" w:ascii="宋体" w:hAnsi="宋体" w:cs="宋体"/>
                <w:color w:val="000000"/>
                <w:kern w:val="0"/>
                <w:szCs w:val="21"/>
                <w:lang w:bidi="ar"/>
              </w:rPr>
            </w:pPr>
          </w:p>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注：本表反映部门本年度政府性基金预算财政拨款收入、支出及结转和结余情况。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国有资本经营预算财政拨</w:t>
            </w:r>
            <w:r>
              <w:rPr>
                <w:sz w:val="44"/>
              </w:rPr>
              <mc:AlternateContent>
                <mc:Choice Requires="wpg">
                  <w:drawing>
                    <wp:anchor distT="0" distB="0" distL="114300" distR="114300" simplePos="0" relativeHeight="251680768"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8"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0768;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EfcOlEAwAAPAkAAA4AAABkcnMvZTJvRG9jLnht&#10;bO1Wy24TMRTdI/EPlvd0HsnkpU6q0JAKqdBKBbF2PJ6H5LGN7XRS1ixY8gdI7PgGxOdU/AbXnsmj&#10;pRItCFYo0sT2vb6Pc8+9M4dH65qjS6ZNJUWKo4MQIyaozCpRpPj1q8WTEUbGEpERLgVL8RUz+Gj6&#10;+NFhoyYslqXkGdMIjAgzaVSKS2vVJAgMLVlNzIFUTIAwl7omFra6CDJNGrBe8yAOw0HQSJ0pLSkz&#10;Bk7nrRB3FvV9DMo8ryibS7qqmbCtVc04sZCSKStl8NRHm+eM2rM8N8winmLI1PonOIH10j2D6SGZ&#10;FJqosqJdCOQ+IdzKqSaVAKdbU3NiCVrp6idTdUW1NDK3B1TWQZuIRwSyiMJb2JxouVI+l2LSFGoL&#10;OhTqFuq/bZa+vDzXqMpSnEDdBamh4t+/vr/++AHBAaDTqGICSidaXahz3R0U7c4lvM517f4hFbT2&#10;uF5tcWVriygc9sLRaNAHyCnIkrgXw9oDT0uojrvWT5IIIy8dRMlG+Ky7P0r6g/Zy1Bv7qIKN48DF&#10;tw2nUcBJswPK/BlQFyVRzONvHAYboMZboD59uf72GUW9FiivtEXJTAwAdgdEd+W6QWov02jocdhm&#10;SiZKG3vCZI3cIsUayO05Ry5PjQU8QXWj4twayatsUXHuN7pYHnONLgk0wnzsfv4uX9UvZNYej5Iw&#10;9IUBQ6bV90ZvGOICNSmOkz6oIkpgAOTQeLCsFZDIiAIjwguYLNRq70FIF4Mvt4tuTkzZuvNmHXLg&#10;jgv4c9VrMXOrpcyuAHEt2541ii4quH9KjD0nGpoU/MMYs2fwyLmEoGS3wqiU+t1d504fKAFSjBpo&#10;egj47YpohhF/LoAs46jvaGr9pp8MY9jofclyXyJW9bEEOIG5EJ1fOn3LN8tcy/oNTLuZ8woiIij4&#10;bqHpNse2HUYwLymbzbwaTAZF7Km4UNQZd+UTcrayMq98mXfodKAB5V2j/gPuDyCLbkh03O8/kPvD&#10;Ydfno3E3BLbc78X9rsuj2LfU3+D+bB6G8byjnafgpkUezOwbt7uGaan9NBwOooWvnClJxtpT116/&#10;7K8H9YhdL9fQQDtC/G+X+7aLf3HAS9WPn+4DwL219/e+vXYfPdM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JpSytwAAAANAQAADwAAAAAAAAABACAAAAAiAAAAZHJzL2Rvd25yZXYueG1sUEsBAhQA&#10;FAAAAAgAh07iQPEfcOl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编制单位：</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hint="eastAsia" w:ascii="宋体" w:hAnsi="宋体" w:cs="宋体"/>
                <w:color w:val="000000"/>
                <w:kern w:val="0"/>
                <w:szCs w:val="21"/>
                <w:highlight w:val="none"/>
                <w:lang w:bidi="ar"/>
              </w:rPr>
            </w:pPr>
            <w:r>
              <w:rPr>
                <w:rFonts w:hint="eastAsia" w:ascii="楷体" w:hAnsi="楷体" w:eastAsia="楷体" w:cs="楷体"/>
                <w:sz w:val="32"/>
                <w:szCs w:val="32"/>
                <w:highlight w:val="none"/>
              </w:rPr>
              <w:t>本部门本年度无相关收入（或支出、收支及结转结余等）情况，按要求空表列示</w:t>
            </w:r>
          </w:p>
          <w:p>
            <w:pPr>
              <w:widowControl/>
              <w:spacing w:after="0" w:line="240" w:lineRule="auto"/>
              <w:jc w:val="left"/>
              <w:textAlignment w:val="center"/>
              <w:rPr>
                <w:rFonts w:hint="eastAsia" w:ascii="宋体" w:hAnsi="宋体" w:cs="宋体"/>
                <w:color w:val="000000"/>
                <w:kern w:val="0"/>
                <w:sz w:val="22"/>
                <w:szCs w:val="22"/>
                <w:lang w:bidi="ar"/>
              </w:rPr>
            </w:pPr>
          </w:p>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注：本表反映部门本年度国有资本经营预算财政拨款支出情况。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政府采购</w:t>
            </w:r>
            <w:r>
              <w:rPr>
                <w:sz w:val="44"/>
              </w:rPr>
              <mc:AlternateContent>
                <mc:Choice Requires="wpg">
                  <w:drawing>
                    <wp:anchor distT="0" distB="0" distL="114300" distR="114300" simplePos="0" relativeHeight="25168179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61"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6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179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NILo9AwAAPAkAAA4AAABkcnMvZTJvRG9jLnht&#10;bO1WzW4TMRC+I/EOlu90f/IfdVOFhlRIhVYqiLPj9f5IXtvYTjblzIEjb4DEjWdAPE7FazD2btI0&#10;VKIB9YYibWzPeH6++WZ2j0/WFUcrpk0pRYKjoxAjJqhMS5En+O2b+bMhRsYSkRIuBUvwNTP4ZPL0&#10;yXGtxiyWheQp0wiMCDOuVYILa9U4CAwtWEXMkVRMgDCTuiIWtjoPUk1qsF7xIA7DflBLnSotKTMG&#10;TmeNELcW9UMMyiwrKZtJuqyYsI1VzTixkJIpSmXwxEebZYzaiywzzCKeYMjU+ic4gfXCPYPJMRnn&#10;mqiipG0I5CEh7OVUkVKA062pGbEELXX5m6mqpFoamdkjKqugScQjAllE4R42Z1oulc8lH9e52oIO&#10;hdpD/a/N0terS43KNMH9CCNBKqj4z+8fbz5/QnAA6NQqH4PSmVZX6lK3B3mzcwmvM125f0gFrT2u&#10;11tc2doiCoedcDjsdwFyCrJe3Ilh7YGnBVTHXev2euDeS/tRbyN80d4f9rr95nLUGQ2dNNg4Dlx8&#10;23BqBZw0t0CZfwPqqiCKefyNw2ADVLwF6su3mx9fUdRxITnfoLRFyYwNAHYPRPflukFqJ9No4HHY&#10;ZkrGSht7xmSF3CLBGsjtOUdW58Y2oGxUnFsjeZnOS879RueLU67RikAjzEbu5+/yZfVKps3xsBeG&#10;vjDg0zT6Huk7hrhAdYLjXhdUESUwADJoPFhWCkhkRI4R4TlMFmq19yCki8GX20U3I6Zo3HmzbTG5&#10;AE8OwQYzt1rI9BoQ17LpWaPovIT758TYS6KhScE/jDF7AY+MSwhKtiuMCqk/3Hfu9IESIMWohqaH&#10;gN8viWYY8ZcCyDKKuo6m1m+6vUEMG70rWexKxLI6lQAnMBei80unb/lmmWlZvYNpN3VeQUQEBd8N&#10;NO3m1DbDCOYlZdOpV4PJoIg9F1eKOuOufEJOl1ZmpS/zLTotaED5hn+Pz/3OPve7B3J/MGj7fDhq&#10;h8CW+52423Z5FPuWegzuT2dhGM9a2nkKblrkYGbfud02TEPt5+GgH8195UxBUtacuvb6Y38d1CN2&#10;vVi3o+d/uxzWLv7FAS9VP+HaDwD31t7d+/a6/eiZ/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c&#10;mlLK3AAAAA0BAAAPAAAAAAAAAAEAIAAAACIAAABkcnMvZG93bnJldi54bWxQSwECFAAUAAAACACH&#10;TuJA740guj0DAAA8CQAADgAAAAAAAAABACAAAAAr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编制单位：</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hint="eastAsia" w:ascii="宋体" w:hAnsi="宋体" w:cs="宋体"/>
                <w:color w:val="000000"/>
                <w:kern w:val="0"/>
                <w:szCs w:val="21"/>
                <w:highlight w:val="none"/>
                <w:lang w:bidi="ar"/>
              </w:rPr>
            </w:pPr>
            <w:r>
              <w:rPr>
                <w:rFonts w:hint="eastAsia" w:ascii="楷体" w:hAnsi="楷体" w:eastAsia="楷体" w:cs="楷体"/>
                <w:sz w:val="32"/>
                <w:szCs w:val="32"/>
                <w:highlight w:val="none"/>
              </w:rPr>
              <w:t>本部门本年度无相关收入（或支出、收支及结转结余等）情况，按要求空表列示</w:t>
            </w:r>
          </w:p>
          <w:p>
            <w:pPr>
              <w:widowControl/>
              <w:adjustRightInd w:val="0"/>
              <w:snapToGrid w:val="0"/>
              <w:spacing w:after="0" w:line="240" w:lineRule="auto"/>
              <w:jc w:val="left"/>
              <w:textAlignment w:val="center"/>
              <w:rPr>
                <w:rFonts w:hint="eastAsia" w:ascii="宋体" w:hAnsi="宋体" w:cs="宋体"/>
                <w:color w:val="000000"/>
                <w:kern w:val="0"/>
                <w:szCs w:val="21"/>
                <w:lang w:bidi="ar"/>
              </w:rPr>
            </w:pPr>
          </w:p>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注：本表反映部门本年度纳入部门预算范围的政府采购预算及支出情况。     </w:t>
            </w:r>
          </w:p>
        </w:tc>
      </w:tr>
    </w:tbl>
    <w:p>
      <w:pPr>
        <w:widowControl/>
        <w:spacing w:after="0" w:line="560" w:lineRule="exact"/>
        <w:jc w:val="left"/>
        <w:rPr>
          <w:rFonts w:ascii="仿宋_GB2312" w:eastAsia="仿宋_GB2312" w:hAnsiTheme="majorEastAsia"/>
          <w:b/>
          <w:sz w:val="28"/>
          <w:szCs w:val="28"/>
          <w:highlight w:val="yellow"/>
        </w:rPr>
      </w:pPr>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3360"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3360;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1ZcsEj0CAABnBAAADgAAAGRycy9lMm9Eb2Mu&#10;eG1srVTBjtMwEL0j8Q+W7zRpabZQNV2VrYqQVuxKBXF2HaeJZHuM7TYpHwB/sCcu3PmufgdjJ+1W&#10;C4c9cHHGM+OZeW9mMrtulSR7YV0NOqfDQUqJ0ByKWm9z+vnT6tUbSpxnumAStMjpQTh6PX/5YtaY&#10;qRhBBbIQlmAQ7aaNyWnlvZkmieOVUMwNwAiNxhKsYh6vdpsUljUYXclklKZXSQO2MBa4cA61y85I&#10;+4j2OQGhLGsulsB3SmjfRbVCMo+QXFUbR+ex2rIU3N+VpROeyJwiUh9PTILyJpzJfMamW8tMVfO+&#10;BPacEp5gUqzWmPQcask8Iztb/xVK1dyCg9IPOKikAxIZQRTD9Ak364oZEbEg1c6cSXf/Lyz/uL+3&#10;pC5ymlGimcKGHx9+HH/+Pv76TrJAT2PcFL3WBv18+w5aHJqT3qEyoG5Lq8IX8RC0I7mHM7mi9YSj&#10;cpJNhpMxmjjaRukozSaR/uTxubHOvxegSBByarF7kVS2v3UeS0HXk0vIpmFVSxk7KDVpcnr1Okvj&#10;g7MFX0iNDwOIrtgg+XbT9sg2UBwQmIVuMpzhqxqT3zLn75nFUcCCcVn8HR6lBEwCvURJBfbbv/TB&#10;HzuEVkoaHK2cuq87ZgUl8oPG3r0djgMPPl7G2WSEF3tp2Vxa9E7dAE7vENfS8CgGfy9PYmlBfcGd&#10;WoSsaGKaY+6c+pN447uBx53kYrGITjh9hvlbvTY8hO7oXOw8lHVkOtDUcdOzh/MXG9DvShjwy3v0&#10;evw/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WaejN4AAAANAQAADwAAAAAAAAABACAAAAAi&#10;AAAAZHJzL2Rvd25yZXYueG1sUEsBAhQAFAAAAAgAh07iQNWXLBI9AgAAZwQAAA4AAAAAAAAAAQAg&#10;AAAALQEAAGRycy9lMm9Eb2MueG1sUEsFBgAAAAAGAAYAWQEAANw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8793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8"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793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HAhPMUMDAAA8CQAADgAAAGRycy9lMm9Eb2MueG1s&#10;7VbNbhMxEL4j8Q6W73R3k938qUkVGlIhFVqpIM6O1/sjeW1jO92UMweOvAESN54B8TgVr8HYu9mm&#10;pRINCE4o0sb2jOfnm/lm9/BoU3F0ybQppZji6CDEiAkq01LkU/z61fLJCCNjiUgJl4JN8RUz+Gj2&#10;+NFhrSasJwvJU6YRGBFmUqspLqxVkyAwtGAVMQdSMQHCTOqKWNjqPEg1qcF6xYNeGA6CWupUaUmZ&#10;MXC6aIS4tagfYlBmWUnZQtJ1xYRtrGrGiYWUTFEqg2c+2ixj1J5lmWEW8SmGTK1/ghNYr9wzmB2S&#10;Sa6JKkrahkAeEsKdnCpSCnDamVoQS9Balz+ZqkqqpZGZPaCyCppEPCKQRRTeweZEy7XyueSTOlcd&#10;6FCoO6j/tln68vJcozKFToC6C1JBxb9/fX/98QOCA0CnVvkElE60ulDnuj3Im51LeJPpyv1DKmjj&#10;cb3qcGUbiygc9kf9fjxOMKIgS5JRNEga4GkB1XHX4iSJMHLS3iDqhM/a+6MkHjSXo/7YRxVsHQcu&#10;vi6cWkFPmhugzJ8BdVEQxTz+xmGwBWrcAfXpy/W3zyjqN0B5pQ4lMzEA2D0Q3ZfrFqmdTKOhx6HL&#10;lEyUNvaEyQq5xRRraG7fc+Ty1FioDKhuVZxbI3mZLkvO/Ubnq2Ou0SUBIizG7ufv8nX1QqbN8SgJ&#10;Q88IMGQafW/0liEuUD3FvSQGVUQJDIAMiAfLSkETGZFjRHgOk4Va7T0I6WLwPHPRLYgpGnferEMO&#10;3HEBf656DWZutZLpFSCuZcNZo+iyhPunxNhzooGk4B/GmD2DR8YlBCXbFUaF1O/uO3f60BIgxagG&#10;0kPAb9dEM4z4cwHNMo7i2E0Jv4mTYQ82eley2pWIdXUsAU7oXIjOL52+5dtlpmX1Bqbd3HkFEREU&#10;fDfQtJtj2wwjmJeUzedeDSaDIvZUXCjqjLvyCTlfW5mVvsw36LSgQcs7ov6D3neAtEOi7f14z94f&#10;Dluej8bt9O16v9+LW5ZHPU+pv9H780UY9hZt2/kW3FJk786+dbslTNPaT8PhIFr6ypmCpKw5dfT6&#10;Jb/24ojdrDZ+JP+ny7508S8OeKn68dN+ALi39u7e0+vmo2f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J+ys7bAAAACwEAAA8AAAAAAAAAAQAgAAAAIgAAAGRycy9kb3ducmV2LnhtbFBLAQIUABQA&#10;AAAIAIdO4kAcCE8xQwMAADw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hint="default" w:ascii="仿宋_GB2312" w:eastAsia="仿宋_GB2312" w:cs="DengXian-Regular"/>
          <w:sz w:val="32"/>
          <w:szCs w:val="32"/>
          <w:lang w:val="en-US" w:eastAsia="zh-CN"/>
        </w:rPr>
      </w:pPr>
      <w:r>
        <w:rPr>
          <w:rFonts w:hint="eastAsia" w:ascii="仿宋_GB2312" w:eastAsia="仿宋_GB2312" w:cs="DengXian-Regular"/>
          <w:sz w:val="32"/>
          <w:szCs w:val="32"/>
        </w:rPr>
        <w:t>本部门2018年度收支总计（含结转和结余）</w:t>
      </w:r>
      <w:r>
        <w:rPr>
          <w:rFonts w:hint="eastAsia" w:ascii="仿宋_GB2312" w:eastAsia="仿宋_GB2312" w:cs="DengXian-Regular"/>
          <w:sz w:val="32"/>
          <w:szCs w:val="32"/>
          <w:lang w:val="en-US" w:eastAsia="zh-CN"/>
        </w:rPr>
        <w:t>220.21</w:t>
      </w:r>
      <w:r>
        <w:rPr>
          <w:rFonts w:hint="eastAsia" w:ascii="仿宋_GB2312" w:eastAsia="仿宋_GB2312" w:cs="DengXian-Regular"/>
          <w:sz w:val="32"/>
          <w:szCs w:val="32"/>
        </w:rPr>
        <w:t>万元。与2017年度决算相比，收支各减少</w:t>
      </w:r>
      <w:r>
        <w:rPr>
          <w:rFonts w:hint="eastAsia" w:ascii="仿宋_GB2312" w:eastAsia="仿宋_GB2312" w:cs="DengXian-Regular"/>
          <w:sz w:val="32"/>
          <w:szCs w:val="32"/>
          <w:lang w:val="en-US" w:eastAsia="zh-CN"/>
        </w:rPr>
        <w:t>22.36</w:t>
      </w:r>
      <w:r>
        <w:rPr>
          <w:rFonts w:hint="eastAsia" w:ascii="仿宋_GB2312" w:eastAsia="仿宋_GB2312" w:cs="DengXian-Regular"/>
          <w:sz w:val="32"/>
          <w:szCs w:val="32"/>
        </w:rPr>
        <w:t>万元，下降</w:t>
      </w:r>
      <w:r>
        <w:rPr>
          <w:rFonts w:hint="eastAsia" w:ascii="仿宋_GB2312" w:eastAsia="仿宋_GB2312" w:cs="DengXian-Regular"/>
          <w:sz w:val="32"/>
          <w:szCs w:val="32"/>
          <w:lang w:val="en-US" w:eastAsia="zh-CN"/>
        </w:rPr>
        <w:t>9.22</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2017年度有供暖管网、供电电源等资金。</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220.21</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均为</w:t>
      </w:r>
      <w:r>
        <w:rPr>
          <w:rFonts w:hint="eastAsia" w:ascii="仿宋_GB2312" w:eastAsia="仿宋_GB2312" w:cs="DengXian-Regular"/>
          <w:sz w:val="32"/>
          <w:szCs w:val="32"/>
        </w:rPr>
        <w:t>财政拨款收入</w:t>
      </w:r>
      <w:r>
        <w:rPr>
          <w:rFonts w:hint="eastAsia" w:ascii="仿宋_GB2312" w:eastAsia="仿宋_GB2312" w:cs="DengXian-Regular"/>
          <w:sz w:val="32"/>
          <w:szCs w:val="32"/>
          <w:lang w:eastAsia="zh-CN"/>
        </w:rPr>
        <w:t>。</w:t>
      </w:r>
      <w:r>
        <w:rPr>
          <w:rFonts w:hint="eastAsia" w:ascii="仿宋_GB2312" w:eastAsia="仿宋_GB2312" w:cs="DengXian-Regular"/>
          <w:sz w:val="32"/>
          <w:szCs w:val="32"/>
        </w:rPr>
        <w:t>如图所示：</w:t>
      </w:r>
    </w:p>
    <w:p>
      <w:pPr>
        <w:adjustRightInd w:val="0"/>
        <w:snapToGrid w:val="0"/>
        <w:spacing w:after="0" w:line="580" w:lineRule="exact"/>
        <w:ind w:firstLine="1260" w:firstLineChars="600"/>
        <w:rPr>
          <w:rFonts w:ascii="仿宋_GB2312" w:eastAsia="仿宋_GB2312" w:cs="DengXian-Regular"/>
          <w:sz w:val="32"/>
          <w:szCs w:val="32"/>
        </w:rPr>
      </w:pPr>
      <w:r>
        <w:rPr>
          <w:rFonts w:hint="eastAsia" w:ascii="黑体" w:eastAsia="黑体"/>
          <w:lang w:eastAsia="zh-CN"/>
        </w:rPr>
        <w:drawing>
          <wp:anchor distT="0" distB="0" distL="114300" distR="114300" simplePos="0" relativeHeight="251696128" behindDoc="0" locked="0" layoutInCell="1" allowOverlap="1">
            <wp:simplePos x="0" y="0"/>
            <wp:positionH relativeFrom="column">
              <wp:posOffset>948690</wp:posOffset>
            </wp:positionH>
            <wp:positionV relativeFrom="paragraph">
              <wp:posOffset>183515</wp:posOffset>
            </wp:positionV>
            <wp:extent cx="4290060" cy="3223260"/>
            <wp:effectExtent l="4445" t="4445" r="10795" b="10795"/>
            <wp:wrapSquare wrapText="bothSides"/>
            <wp:docPr id="73" name="图表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3" w:firstLineChars="200"/>
        <w:rPr>
          <w:rFonts w:hint="eastAsia" w:ascii="黑体" w:eastAsia="黑体"/>
          <w:b w:val="0"/>
          <w:bCs w:val="0"/>
        </w:rPr>
      </w:pPr>
      <w:r>
        <w:rPr>
          <w:sz w:val="32"/>
        </w:rPr>
        <mc:AlternateContent>
          <mc:Choice Requires="wps">
            <w:drawing>
              <wp:anchor distT="0" distB="0" distL="114300" distR="114300" simplePos="0" relativeHeight="251686912" behindDoc="0" locked="0" layoutInCell="1" allowOverlap="1">
                <wp:simplePos x="0" y="0"/>
                <wp:positionH relativeFrom="column">
                  <wp:posOffset>1300480</wp:posOffset>
                </wp:positionH>
                <wp:positionV relativeFrom="paragraph">
                  <wp:posOffset>329565</wp:posOffset>
                </wp:positionV>
                <wp:extent cx="3076575" cy="501650"/>
                <wp:effectExtent l="0" t="0" r="9525" b="12700"/>
                <wp:wrapNone/>
                <wp:docPr id="32" name="文本框 32"/>
                <wp:cNvGraphicFramePr/>
                <a:graphic xmlns:a="http://schemas.openxmlformats.org/drawingml/2006/main">
                  <a:graphicData uri="http://schemas.microsoft.com/office/word/2010/wordprocessingShape">
                    <wps:wsp>
                      <wps:cNvSpPr txBox="1"/>
                      <wps:spPr>
                        <a:xfrm>
                          <a:off x="2308860" y="7554595"/>
                          <a:ext cx="3076575" cy="5016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4pt;margin-top:25.95pt;height:39.5pt;width:242.25pt;z-index:251686912;mso-width-relative:page;mso-height-relative:page;" fillcolor="#FFFFFF [3201]" filled="t" stroked="f" coordsize="21600,21600" o:gfxdata="UEsDBAoAAAAAAIdO4kAAAAAAAAAAAAAAAAAEAAAAZHJzL1BLAwQUAAAACACHTuJAkh+tANYAAAAK&#10;AQAADwAAAGRycy9kb3ducmV2LnhtbE2Py07DMBBF90j8gzVI7KidtlRNiNMFElukPujajYc4wh5H&#10;sfv8+g4rWI7u0b1n6tUleHHCMfWRNBQTBQKpjbanTsNu+/GyBJGyIWt8JNRwxQSr5vGhNpWNZ1rj&#10;aZM7wSWUKqPB5TxUUqbWYTBpEgckzr7jGEzmc+ykHc2Zy4OXU6UWMpieeMGZAd8dtj+bY9Cw78Jt&#10;/1UMo7PBz+nzdt3uYq/181Oh3kBkvOQ/GH71WR0adjrEI9kkvIapmrN61vBalCAYWCzLGYgDkzNV&#10;gmxq+f+F5g5QSwMEFAAAAAgAh07iQMQOBYdfAgAAnQQAAA4AAABkcnMvZTJvRG9jLnhtbK1UzW4T&#10;MRC+I/EOlu90Nz+btFE2VUgVhFTRSgVxdrzerCXbY2wnu+UB4A164sKd5+pzMPYmbSkceiAHZ+z5&#10;POPvm5mdn3dakb1wXoIp6eAkp0QYDpU025J++rh+c0qJD8xUTIERJb0Vnp4vXr+at3YmhtCAqoQj&#10;GMT4WWtL2oRgZ1nmeSM08ydghUFnDU6zgFu3zSrHWoyuVTbM80nWgqusAy68x9OL3kkPEd1LAkJd&#10;Sy4ugO+0MKGP6oRiASn5RlpPF+m1dS14uKprLwJRJUWmIa2YBO1NXLPFnM22jtlG8sMT2Eue8IyT&#10;ZtJg0odQFywwsnPyr1Bacgce6nDCQWc9kaQIshjkz7S5aZgViQtK7e2D6P7/heUf9teOyKqkoyEl&#10;hmms+P3d9/sfv+5/fiN4hgK11s8Qd2MRGbq30GHbHM89HkbeXe10/EdGBP3DUX56OkGRb0s6LYpx&#10;cVb0UosuEI6AUT6dFNOCEo6IIh9MilSL7DGSdT68E6BJNErqsJRJYba/9AFfhdAjJCb2oGS1lkql&#10;jdtuVsqRPcOyr9Mvpscrf8CUIW1JJyPMHW8ZiPd7nDIIj8R7gtEK3aY7qLGB6hbFcND3k7d8LfGV&#10;l8yHa+awgZA5jli4wqVWgEngYFHSgPv6r/OIx7qil5IWG7Kk/suOOUGJem+w4meD8Th2cNqMi+kQ&#10;N+6pZ/PUY3Z6BUh+gMNseTIjPqijWTvQn3ESlzErupjhmLuk4WiuQj8mOMlcLJcJhD1rWbg0N5bH&#10;0L1oy12AWqaSRJl6bQ7qYdcm2Q8TFsfi6T6hHr8q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S&#10;H60A1gAAAAoBAAAPAAAAAAAAAAEAIAAAACIAAABkcnMvZG93bnJldi54bWxQSwECFAAUAAAACACH&#10;TuJAxA4Fh18CAACdBAAADgAAAAAAAAABACAAAAAlAQAAZHJzL2Uyb0RvYy54bWxQSwUGAAAAAAYA&#10;BgBZAQAA9gU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p>
                    <w:p>
                      <w:pPr>
                        <w:rPr>
                          <w:sz w:val="20"/>
                          <w:szCs w:val="22"/>
                        </w:rPr>
                      </w:pPr>
                    </w:p>
                  </w:txbxContent>
                </v:textbox>
              </v:shape>
            </w:pict>
          </mc:Fallback>
        </mc:AlternateContent>
      </w: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黑体" w:eastAsia="黑体"/>
        </w:rPr>
      </w:pPr>
      <w:r>
        <w:rPr>
          <w:rFonts w:hint="eastAsia" w:ascii="仿宋_GB2312" w:eastAsia="仿宋_GB2312" w:cs="DengXian-Regular"/>
          <w:sz w:val="32"/>
          <w:szCs w:val="32"/>
        </w:rPr>
        <w:t>本部门2018年度本年支出合计</w:t>
      </w:r>
      <w:r>
        <w:rPr>
          <w:rFonts w:hint="eastAsia" w:ascii="仿宋_GB2312" w:eastAsia="仿宋_GB2312" w:cs="DengXian-Regular"/>
          <w:sz w:val="32"/>
          <w:szCs w:val="32"/>
          <w:lang w:val="en-US" w:eastAsia="zh-CN"/>
        </w:rPr>
        <w:t>220.21</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6.25</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2.8</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213.96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97.2</w:t>
      </w:r>
      <w:r>
        <w:rPr>
          <w:rFonts w:hint="eastAsia" w:ascii="仿宋_GB2312" w:eastAsia="仿宋_GB2312" w:cs="DengXian-Regular"/>
          <w:sz w:val="32"/>
          <w:szCs w:val="32"/>
        </w:rPr>
        <w:t>%。</w:t>
      </w:r>
      <w:r>
        <w:rPr>
          <w:sz w:val="44"/>
        </w:rPr>
        <mc:AlternateContent>
          <mc:Choice Requires="wpg">
            <w:drawing>
              <wp:anchor distT="0" distB="0" distL="114300" distR="114300" simplePos="0" relativeHeight="25168281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0"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281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1k3OEADAAA8CQAADgAAAGRycy9lMm9Eb2MueG1s&#10;7VbLbhMxFN0j8Q+W93QemclLTavQ0Aqp0EoFsXY8nofksY3tdFLWLFjyB0js+AbE51T8Btf2JH1Q&#10;iRYEKxRpYvva93F8zp3Z3V+3HJ0zbRopZjjZiTFigsqiEdUMv351+GSMkbFEFIRLwWb4ghm8v/f4&#10;0W6npiyVteQF0wicCDPt1AzX1qppFBlas5aYHamYAGMpdUssTHUVFZp04L3lURrHw6iTulBaUmYM&#10;rC6CEfce9X0cyrJsKFtIumqZsMGrZpxYKMnUjTJ4z2dblozak7I0zCI+w1Cp9U8IAuOle0Z7u2Ra&#10;aaLqhvYpkPukcKumljQCgm5dLYglaKWbn1y1DdXSyNLuUNlGoRCPCFSRxLewOdJypXwt1bSr1BZ0&#10;uKhbqP+2W/ry/FSjppjhEUAiSAs3/v3r+8uPHxAsADqdqqaw6UirM3Wq+4UqzFzB61K37h9KQWuP&#10;68UWV7a2iMLiYDwYZJMcIwq2PB8nwzwAT2u4HXcsy/MEI2dNh8nW+Kw/P86zYTicDCZjdzTaBI5c&#10;ftt0OgWcNFdAmT8D6qwminn8jcNgAxRk2gP16cvlt88oGQSg/KYtSmZqALA7ILqr1g1S1ypNRh6H&#10;baVkqrSxR0y2yA1mWAO5PefI+bGxAZTNFhfWSN4Uhw3nfqKr5QHX6JyAEBYT9/Nn+ap9IYuwPM7j&#10;2N85xDRhv0f6hiMuUDfDaZ7BVkQJNIAShAfDVgGJjKgwIryCzkKt9hGEdDlAeqGABTF1COfd9pfJ&#10;BURytxcwc6OlLC4AcS2DZo2ihw3UfUyMPSUaRArxoY3ZE3iUXEJSsh9hVEv97q51tx8oAVaMOhA9&#10;JPx2RTTDiD8XQJZJkmXg1vpJlo9SmOjrluV1i1i1BxLgBD5Adn7o9lu+GZZatm+g281dVDARQSF2&#10;gKafHNjQjKBfUjaf+23QGRSxx+JMUefcISfkfGVl2fhrvkKnBw0o74T6L7if3uZ+9kDuj0a9zseT&#10;vvtuuT9Is17lSeol9Te4P1/EcbroaecpuJHIg5l943QvmEDtp/FomBz6mzM1KVhYdfL6pb6cgu+t&#10;Ebtern1L/i+Xh8rFvzjgpeo7XP8B4N7a1+deXlcfPX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CLWTc4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sz w:val="32"/>
        </w:rPr>
        <mc:AlternateContent>
          <mc:Choice Requires="wps">
            <w:drawing>
              <wp:anchor distT="0" distB="0" distL="114300" distR="114300" simplePos="0" relativeHeight="251685888" behindDoc="1" locked="0" layoutInCell="1" allowOverlap="1">
                <wp:simplePos x="0" y="0"/>
                <wp:positionH relativeFrom="column">
                  <wp:posOffset>951230</wp:posOffset>
                </wp:positionH>
                <wp:positionV relativeFrom="paragraph">
                  <wp:posOffset>267970</wp:posOffset>
                </wp:positionV>
                <wp:extent cx="3159125" cy="535940"/>
                <wp:effectExtent l="0" t="0" r="3175" b="16510"/>
                <wp:wrapNone/>
                <wp:docPr id="30" name="文本框 30"/>
                <wp:cNvGraphicFramePr/>
                <a:graphic xmlns:a="http://schemas.openxmlformats.org/drawingml/2006/main">
                  <a:graphicData uri="http://schemas.microsoft.com/office/word/2010/wordprocessingShape">
                    <wps:wsp>
                      <wps:cNvSpPr txBox="1"/>
                      <wps:spPr>
                        <a:xfrm>
                          <a:off x="1959610" y="4178300"/>
                          <a:ext cx="3159125" cy="535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both"/>
                              <w:rPr>
                                <w:rFonts w:ascii="仿宋_GB2312" w:eastAsia="仿宋_GB2312" w:cs="DengXian-Regular"/>
                                <w:sz w:val="28"/>
                                <w:szCs w:val="28"/>
                              </w:rPr>
                            </w:pP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9pt;margin-top:21.1pt;height:42.2pt;width:248.75pt;z-index:-251630592;mso-width-relative:page;mso-height-relative:page;" fillcolor="#FFFFFF [3201]" filled="t" stroked="f" coordsize="21600,21600" o:gfxdata="UEsDBAoAAAAAAIdO4kAAAAAAAAAAAAAAAAAEAAAAZHJzL1BLAwQUAAAACACHTuJA6LRSANQAAAAK&#10;AQAADwAAAGRycy9kb3ducmV2LnhtbE2PO0/EMBCEeyT+g7VIdJyTEAUIca5AokXiXrUvXuIIex3Z&#10;vuevZ6mgHM1o5ptuefZOHDGmKZCCclGAQBqCmWhUsFm/PzyDSFmT0S4QKrhggmV/e9Pp1oQTfeJx&#10;lUfBJZRarcDmPLdSpsGi12kRZiT2vkL0OrOMozRRn7jcO1kVRSO9nogXrJ7xzeLwvTp4BbvRX3fb&#10;co7WeFfTx/Wy3oRJqfu7sngFkfGc/8Lwi8/o0DPTPhzIJOFY1y+MnhXUVQWCA0399Ahiz07VNCD7&#10;Tv6/0P8AUEsDBBQAAAAIAIdO4kDYQCfSXgIAAJ0EAAAOAAAAZHJzL2Uyb0RvYy54bWytVMFu2zAM&#10;vQ/YPwi6r46TuG2COkXWIsOAYi3QDTsrshwLkERNUmJ3H7D9QU+77L7vyneMkp2263boYTk4lPj8&#10;SD6SPjvvtCI74bwEU9L8aESJMBwqaTYl/fRx9eaUEh+YqZgCI0p6Jzw9X7x+ddbauRhDA6oSjiCJ&#10;8fPWlrQJwc6zzPNGaOaPwAqDzhqcZgGPbpNVjrXIrlU2Ho2OsxZcZR1w4T3eXvZOOjC6lxBCXUsu&#10;LoFvtTChZ3VCsYAl+UZaTxcp27oWPFzXtReBqJJipSE9MQja6/jMFmdsvnHMNpIPKbCXpPCsJs2k&#10;waAPVJcsMLJ18i8qLbkDD3U44qCzvpCkCFaRj55pc9swK1ItKLW3D6L7/0fLP+xuHJFVSScoiWEa&#10;O76//77/8Wv/8xvBOxSotX6OuFuLyNC9hQ7H5nDv8TLW3dVOx3+siET/rJgd58h4V9JpfnI6GQ1S&#10;iy4QjoBJXszycUEJR0QxKWbTBMgemazz4Z0ATaJRUoetTAqz3ZUPmBVCD5AY2IOS1UoqlQ5us75Q&#10;juwYtn2VfjFhfOUPmDKkLenxpBglZgPx/R6nDMJj4X2B0QrduhvUWEN1h2I46OfJW76SmOUV8+GG&#10;ORwgrBxXLFzjo1aAQWCwKGnAff3XfcRjX9FLSYsDWVL/ZcucoES9N9jxWT5FjUhIh2lxMsaDe+pZ&#10;P/WYrb4ALD7HZbY8mREf1MGsHejPuInLGBVdzHCMXdJwMC9Cvya4yVwslwmEM2tZuDK3lkfqKLWB&#10;5TZALVNLoky9NoN6OLVJ9mHD4lo8PSfU41dl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tFIA&#10;1AAAAAoBAAAPAAAAAAAAAAEAIAAAACIAAABkcnMvZG93bnJldi54bWxQSwECFAAUAAAACACHTuJA&#10;2EAn0l4CAACdBAAADgAAAAAAAAABACAAAAAjAQAAZHJzL2Uyb0RvYy54bWxQSwUGAAAAAAYABgBZ&#10;AQAA8wUAAAAA&#10;">
                <v:fill on="t" focussize="0,0"/>
                <v:stroke on="f" weight="0.5pt"/>
                <v:imagedata o:title=""/>
                <o:lock v:ext="edit" aspectratio="f"/>
                <v:textbox>
                  <w:txbxContent>
                    <w:p>
                      <w:pPr>
                        <w:adjustRightInd w:val="0"/>
                        <w:snapToGrid w:val="0"/>
                        <w:spacing w:line="560" w:lineRule="exact"/>
                        <w:jc w:val="both"/>
                        <w:rPr>
                          <w:rFonts w:ascii="仿宋_GB2312" w:eastAsia="仿宋_GB2312" w:cs="DengXian-Regular"/>
                          <w:sz w:val="28"/>
                          <w:szCs w:val="28"/>
                        </w:rPr>
                      </w:pPr>
                    </w:p>
                    <w:p>
                      <w:pPr>
                        <w:rPr>
                          <w:sz w:val="20"/>
                          <w:szCs w:val="22"/>
                        </w:rPr>
                      </w:pPr>
                    </w:p>
                  </w:txbxContent>
                </v:textbox>
              </v:shape>
            </w:pict>
          </mc:Fallback>
        </mc:AlternateContent>
      </w:r>
    </w:p>
    <w:p>
      <w:pPr>
        <w:pStyle w:val="3"/>
        <w:spacing w:before="0" w:after="0" w:line="580" w:lineRule="exact"/>
        <w:rPr>
          <w:rFonts w:ascii="黑体" w:eastAsia="黑体"/>
          <w:b w:val="0"/>
          <w:bCs w:val="0"/>
        </w:rPr>
      </w:pPr>
      <w:r>
        <w:rPr>
          <w:rFonts w:hint="eastAsia" w:eastAsiaTheme="minorEastAsia"/>
          <w:lang w:eastAsia="zh-CN"/>
        </w:rPr>
        <w:drawing>
          <wp:anchor distT="0" distB="0" distL="114300" distR="114300" simplePos="0" relativeHeight="251692032" behindDoc="0" locked="0" layoutInCell="1" allowOverlap="1">
            <wp:simplePos x="0" y="0"/>
            <wp:positionH relativeFrom="column">
              <wp:posOffset>267970</wp:posOffset>
            </wp:positionH>
            <wp:positionV relativeFrom="paragraph">
              <wp:posOffset>76200</wp:posOffset>
            </wp:positionV>
            <wp:extent cx="5080000" cy="3351530"/>
            <wp:effectExtent l="4445" t="4445" r="20955" b="15875"/>
            <wp:wrapSquare wrapText="bothSides"/>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eastAsiaTheme="minorEastAsia"/>
          <w:lang w:val="en-US" w:eastAsia="zh-CN"/>
        </w:rPr>
        <w:t xml:space="preserve">     </w:t>
      </w: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hint="eastAsia" w:ascii="仿宋_GB2312" w:eastAsia="仿宋_GB2312" w:cs="DengXian-Regular"/>
          <w:sz w:val="32"/>
          <w:szCs w:val="32"/>
          <w:lang w:val="en-US" w:eastAsia="zh-CN"/>
        </w:rPr>
        <w:t>220.21</w:t>
      </w:r>
      <w:r>
        <w:rPr>
          <w:rFonts w:hint="eastAsia" w:ascii="仿宋_GB2312" w:eastAsia="仿宋_GB2312" w:cs="DengXian-Regular"/>
          <w:sz w:val="32"/>
          <w:szCs w:val="32"/>
        </w:rPr>
        <w:t>万元,比2017年度减少</w:t>
      </w:r>
      <w:r>
        <w:rPr>
          <w:rFonts w:hint="eastAsia" w:ascii="仿宋_GB2312" w:eastAsia="仿宋_GB2312" w:cs="DengXian-Regular"/>
          <w:sz w:val="32"/>
          <w:szCs w:val="32"/>
          <w:lang w:val="en-US" w:eastAsia="zh-CN"/>
        </w:rPr>
        <w:t>22.36</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9.22</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2017年度有供暖管网、供电电源等资金</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220.21</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减少</w:t>
      </w:r>
      <w:r>
        <w:rPr>
          <w:rFonts w:hint="eastAsia" w:ascii="仿宋_GB2312" w:eastAsia="仿宋_GB2312" w:cs="DengXian-Regular"/>
          <w:sz w:val="32"/>
          <w:szCs w:val="32"/>
          <w:lang w:val="en-US" w:eastAsia="zh-CN"/>
        </w:rPr>
        <w:t>22.36</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9.22</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2017年度有供暖管网、供电电源等资金</w:t>
      </w:r>
      <w:r>
        <w:rPr>
          <w:rFonts w:hint="eastAsia" w:ascii="仿宋_GB2312" w:eastAsia="仿宋_GB2312" w:cs="DengXian-Regular"/>
          <w:sz w:val="32"/>
          <w:szCs w:val="32"/>
        </w:rPr>
        <w:t>。</w:t>
      </w: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color w:val="000000" w:themeColor="text1"/>
          <w:sz w:val="32"/>
          <w:szCs w:val="32"/>
          <w:highlight w:val="yellow"/>
          <w:lang w:eastAsia="zh-CN"/>
          <w14:textFill>
            <w14:solidFill>
              <w14:schemeClr w14:val="tx1"/>
            </w14:solidFill>
          </w14:textFill>
        </w:rPr>
      </w:pPr>
    </w:p>
    <w:p>
      <w:pPr>
        <w:adjustRightInd w:val="0"/>
        <w:snapToGrid w:val="0"/>
        <w:spacing w:after="0" w:line="580" w:lineRule="exact"/>
        <w:rPr>
          <w:rFonts w:hint="eastAsia" w:ascii="仿宋_GB2312" w:eastAsia="仿宋_GB2312" w:cs="DengXian-Regular"/>
          <w:color w:val="000000" w:themeColor="text1"/>
          <w:sz w:val="32"/>
          <w:szCs w:val="32"/>
          <w:highlight w:val="none"/>
          <w:lang w:eastAsia="zh-CN"/>
          <w14:textFill>
            <w14:solidFill>
              <w14:schemeClr w14:val="tx1"/>
            </w14:solidFill>
          </w14:textFill>
        </w:rPr>
      </w:pPr>
      <w:r>
        <w:rPr>
          <w:rFonts w:hint="eastAsia" w:ascii="仿宋_GB2312" w:eastAsia="仿宋_GB2312" w:cs="DengXian-Regular"/>
          <w:color w:val="000000" w:themeColor="text1"/>
          <w:sz w:val="32"/>
          <w:szCs w:val="32"/>
          <w:highlight w:val="none"/>
          <w:lang w:eastAsia="zh-CN"/>
          <w14:textFill>
            <w14:solidFill>
              <w14:schemeClr w14:val="tx1"/>
            </w14:solidFill>
          </w14:textFill>
        </w:rPr>
        <w:t>单位：万元</w:t>
      </w:r>
    </w:p>
    <w:p>
      <w:pPr>
        <w:adjustRightInd w:val="0"/>
        <w:snapToGrid w:val="0"/>
        <w:spacing w:after="0" w:line="580" w:lineRule="exact"/>
        <w:ind w:firstLine="420" w:firstLineChars="200"/>
        <w:rPr>
          <w:rFonts w:hint="eastAsia" w:ascii="仿宋_GB2312" w:eastAsia="仿宋_GB2312" w:cs="DengXian-Regular"/>
          <w:sz w:val="32"/>
          <w:szCs w:val="32"/>
        </w:rPr>
      </w:pPr>
      <w:r>
        <w:rPr>
          <w:rFonts w:hint="eastAsia" w:eastAsiaTheme="minorEastAsia"/>
          <w:lang w:eastAsia="zh-CN"/>
        </w:rPr>
        <w:drawing>
          <wp:anchor distT="0" distB="0" distL="114300" distR="114300" simplePos="0" relativeHeight="251693056" behindDoc="0" locked="0" layoutInCell="1" allowOverlap="1">
            <wp:simplePos x="0" y="0"/>
            <wp:positionH relativeFrom="column">
              <wp:posOffset>434975</wp:posOffset>
            </wp:positionH>
            <wp:positionV relativeFrom="paragraph">
              <wp:posOffset>226695</wp:posOffset>
            </wp:positionV>
            <wp:extent cx="5384165" cy="3587750"/>
            <wp:effectExtent l="4445" t="4445" r="21590" b="8255"/>
            <wp:wrapSquare wrapText="bothSides"/>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hint="eastAsia" w:ascii="楷体_GB2312" w:eastAsia="楷体_GB2312" w:cs="DengXian-Bold"/>
          <w:b/>
          <w:bCs/>
          <w:sz w:val="32"/>
          <w:szCs w:val="32"/>
        </w:rPr>
      </w:pPr>
    </w:p>
    <w:p>
      <w:pPr>
        <w:spacing w:after="0" w:line="580" w:lineRule="exact"/>
        <w:ind w:firstLine="643" w:firstLineChars="200"/>
        <w:rPr>
          <w:rFonts w:hint="eastAsia" w:ascii="楷体_GB2312" w:eastAsia="楷体_GB2312" w:cs="DengXian-Bold"/>
          <w:b/>
          <w:bCs/>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本部门2018年度一般公共预算财政拨款收入</w:t>
      </w:r>
      <w:r>
        <w:rPr>
          <w:rFonts w:hint="eastAsia" w:ascii="仿宋_GB2312" w:eastAsia="仿宋_GB2312" w:cs="DengXian-Regular"/>
          <w:sz w:val="32"/>
          <w:szCs w:val="32"/>
          <w:lang w:val="en-US" w:eastAsia="zh-CN"/>
        </w:rPr>
        <w:t>220.21</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136.56</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58.96</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eastAsia="zh-CN"/>
        </w:rPr>
        <w:t>追加取暖费、更换监室钢窗、更换锅炉房房顶等资金</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220.21</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136.56</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58.96</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eastAsia="zh-CN"/>
        </w:rPr>
        <w:t>追加取暖费、更换监室钢窗、更换锅炉房房顶等资金。</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pStyle w:val="7"/>
        <w:bidi w:val="0"/>
        <w:rPr>
          <w:rFonts w:hint="eastAsia"/>
        </w:rPr>
      </w:pPr>
      <w:r>
        <w:rPr>
          <w:rFonts w:hint="eastAsia" w:ascii="仿宋_GB2312" w:eastAsia="仿宋_GB2312" w:cs="DengXian-Regular"/>
          <w:sz w:val="32"/>
          <w:szCs w:val="32"/>
          <w:lang w:eastAsia="zh-CN"/>
        </w:rPr>
        <w:drawing>
          <wp:anchor distT="0" distB="0" distL="114300" distR="114300" simplePos="0" relativeHeight="251697152" behindDoc="0" locked="0" layoutInCell="1" allowOverlap="1">
            <wp:simplePos x="0" y="0"/>
            <wp:positionH relativeFrom="column">
              <wp:posOffset>701040</wp:posOffset>
            </wp:positionH>
            <wp:positionV relativeFrom="paragraph">
              <wp:posOffset>302260</wp:posOffset>
            </wp:positionV>
            <wp:extent cx="4671060" cy="3040380"/>
            <wp:effectExtent l="4445" t="4445" r="10795" b="22225"/>
            <wp:wrapSquare wrapText="bothSides"/>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hint="eastAsia"/>
          <w:lang w:eastAsia="zh-CN"/>
        </w:rPr>
        <w:t>单位：万元</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adjustRightInd w:val="0"/>
        <w:snapToGrid w:val="0"/>
        <w:spacing w:after="0" w:line="580" w:lineRule="exact"/>
        <w:rPr>
          <w:rFonts w:hint="eastAsia"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rPr>
      </w:pPr>
      <w:r>
        <w:rPr>
          <w:sz w:val="32"/>
        </w:rPr>
        <mc:AlternateContent>
          <mc:Choice Requires="wps">
            <w:drawing>
              <wp:anchor distT="0" distB="0" distL="114300" distR="114300" simplePos="0" relativeHeight="251691008" behindDoc="1" locked="0" layoutInCell="1" allowOverlap="1">
                <wp:simplePos x="0" y="0"/>
                <wp:positionH relativeFrom="column">
                  <wp:posOffset>583565</wp:posOffset>
                </wp:positionH>
                <wp:positionV relativeFrom="paragraph">
                  <wp:posOffset>313055</wp:posOffset>
                </wp:positionV>
                <wp:extent cx="4358005" cy="494665"/>
                <wp:effectExtent l="0" t="0" r="4445" b="635"/>
                <wp:wrapNone/>
                <wp:docPr id="37" name="文本框 28"/>
                <wp:cNvGraphicFramePr/>
                <a:graphic xmlns:a="http://schemas.openxmlformats.org/drawingml/2006/main">
                  <a:graphicData uri="http://schemas.microsoft.com/office/word/2010/wordprocessingShape">
                    <wps:wsp>
                      <wps:cNvSpPr txBox="1"/>
                      <wps:spPr>
                        <a:xfrm>
                          <a:off x="1591945" y="7538085"/>
                          <a:ext cx="4358005" cy="494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both"/>
                              <w:rPr>
                                <w:sz w:val="18"/>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 o:spid="_x0000_s1026" o:spt="202" type="#_x0000_t202" style="position:absolute;left:0pt;margin-left:45.95pt;margin-top:24.65pt;height:38.95pt;width:343.15pt;z-index:-251625472;mso-width-relative:page;mso-height-relative:page;" fillcolor="#FFFFFF [3201]" filled="t" stroked="f" coordsize="21600,21600" o:gfxdata="UEsDBAoAAAAAAIdO4kAAAAAAAAAAAAAAAAAEAAAAZHJzL1BLAwQUAAAACACHTuJAbuuLQ9UAAAAJ&#10;AQAADwAAAGRycy9kb3ducmV2LnhtbE2Py07DMBBF90j8gzWV2FEnoSJNiNMFElsk+lq78RBHtcdR&#10;7D6/nmEFy9E9uvdMs7p6J844xSGQgnyegUDqghmoV7DdfDwvQcSkyWgXCBXcMMKqfXxodG3Chb7w&#10;vE694BKKtVZgUxprKWNn0es4DyMSZ99h8jrxOfXSTPrC5d7JIstepdcD8YLVI75b7I7rk1ew7/19&#10;v8vHyRrvFvR5v222YVDqaZZnbyASXtMfDL/6rA4tOx3CiUwUTkGVV0wqWFQvIDgvy2UB4sBgURYg&#10;20b+/6D9AVBLAwQUAAAACACHTuJAgVchsGACAACdBAAADgAAAGRycy9lMm9Eb2MueG1srVSxbtsw&#10;EN0L9B8I7o1kW3JsI3LhJnBRIGgCpEVnmqIsAiSPJWlL6Qe0f9CpS/d+V76jR8pO0rRDhmqgjryn&#10;d7x3dzp73WtF9sJ5Caaio5OcEmE41NJsK/rxw/rVjBIfmKmZAiMqeis8fb18+eKsswsxhhZULRxB&#10;EuMXna1oG4JdZJnnrdDMn4AVBp0NOM0Cbt02qx3rkF2rbJzn06wDV1sHXHiPpxeDkx4Y3XMIoWkk&#10;FxfAd1qYMLA6oVjAlHwrrafLdNumETxcNY0XgaiKYqYhrRgE7U1cs+UZW2wds63khyuw51zhSU6a&#10;SYNB76kuWGBk5+RfVFpyBx6acMJBZ0MiSRHMYpQ/0eamZVakXFBqb+9F9/+Plr/fXzsi64pOTikx&#10;TGPF775/u/vx6+7nVzKeRYE66xeIu7GIDP0b6LFtjuceD2PefeN0fGNGJPrL+WhelJTcVvS0nMzy&#10;WTlILfpAOAKKSTnLcwRwRBTzYjpNgOyByTof3grQJBoVdVjKpDDbX/qAt0LoERIDe1CyXkul0sZt&#10;N+fKkT3Dsq/TE8PjJ3/AlCFdRaeTMk/MBuL3A04ZhMfEhwSjFfpNf1BjA/UtiuFg6Cdv+VriLS+Z&#10;D9fMYQNhe+GIhStcGgUYBA4WJS24L/86j3isK3op6bAhK+o/75gTlKh3Bis+HxVF7OC0KcrTMW7c&#10;Y8/mscfs9Dlg8iMcZsuTGfFBHc3Ggf6Ek7iKUdHFDMfYFQ1H8zwMY4KTzMVqlUDYs5aFS3NjeaSO&#10;UhtY7QI0MpUkyjRoc1APuzbJfpiwOBaP9wn18FdZ/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u&#10;64tD1QAAAAkBAAAPAAAAAAAAAAEAIAAAACIAAABkcnMvZG93bnJldi54bWxQSwECFAAUAAAACACH&#10;TuJAgVchsGACAACdBAAADgAAAAAAAAABACAAAAAkAQAAZHJzL2Uyb0RvYy54bWxQSwUGAAAAAAYA&#10;BgBZAQAA9gUAAAAA&#10;">
                <v:fill on="t" focussize="0,0"/>
                <v:stroke on="f" weight="0.5pt"/>
                <v:imagedata o:title=""/>
                <o:lock v:ext="edit" aspectratio="f"/>
                <v:textbox>
                  <w:txbxContent>
                    <w:p>
                      <w:pPr>
                        <w:adjustRightInd w:val="0"/>
                        <w:snapToGrid w:val="0"/>
                        <w:spacing w:line="560" w:lineRule="exact"/>
                        <w:jc w:val="both"/>
                        <w:rPr>
                          <w:sz w:val="18"/>
                          <w:szCs w:val="21"/>
                        </w:rPr>
                      </w:pPr>
                    </w:p>
                  </w:txbxContent>
                </v:textbox>
              </v:shape>
            </w:pict>
          </mc:Fallback>
        </mc:AlternateConten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pStyle w:val="3"/>
        <w:spacing w:before="0" w:after="0" w:line="580" w:lineRule="exact"/>
        <w:rPr>
          <w:rFonts w:ascii="黑体" w:eastAsia="黑体"/>
          <w:b w:val="0"/>
          <w:bCs w:val="0"/>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220.21</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highlight w:val="none"/>
        </w:rPr>
        <w:t>：</w:t>
      </w:r>
      <w:r>
        <w:rPr>
          <w:rFonts w:hint="eastAsia" w:ascii="仿宋_GB2312" w:eastAsia="仿宋_GB2312" w:cs="DengXian-Regular"/>
          <w:sz w:val="32"/>
          <w:szCs w:val="32"/>
        </w:rPr>
        <w:t>一般公共服务（类）支出</w:t>
      </w:r>
      <w:r>
        <w:rPr>
          <w:rFonts w:hint="eastAsia" w:ascii="仿宋_GB2312" w:eastAsia="仿宋_GB2312" w:cs="DengXian-Regular"/>
          <w:sz w:val="32"/>
          <w:szCs w:val="32"/>
          <w:lang w:val="en-US" w:eastAsia="zh-CN"/>
        </w:rPr>
        <w:t>6.25</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2.8</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213.96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97.2</w:t>
      </w:r>
      <w:r>
        <w:rPr>
          <w:rFonts w:hint="eastAsia" w:ascii="仿宋_GB2312" w:eastAsia="仿宋_GB2312" w:cs="DengXian-Regular"/>
          <w:sz w:val="32"/>
          <w:szCs w:val="32"/>
        </w:rPr>
        <w:t>%。</w:t>
      </w:r>
      <w:r>
        <w:rPr>
          <w:sz w:val="44"/>
        </w:rPr>
        <mc:AlternateContent>
          <mc:Choice Requires="wpg">
            <w:drawing>
              <wp:anchor distT="0" distB="0" distL="114300" distR="114300" simplePos="0" relativeHeight="25169408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3" name="组合 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2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9408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p1zsI0YDAAA6CQAADgAAAGRycy9lMm9Eb2MueG1s&#10;7VZJbhw3FN0b8B0I7q0auqonqCW01ZEQQI4FKIHXbBZrAFgkTbJVLa+zyNI3CJBdzhDkOIKv4c+h&#10;W4MFWHIQrwwBJZKf/MPje599eLztObpi2nRSLHB2kGLEBJVVJ5oF/u3X01dTjIwloiJcCrbA18zg&#10;46OXLw4HNWe5bCWvmEbgRJj5oBa4tVbNk8TQlvXEHEjFBBhrqXtiYaqbpNJkAO89T/I0HSeD1JXS&#10;kjJjYHUVjDh61E9xKOu6o2wl6aZnwgavmnFioSTTdsrgI59tXTNq39a1YRbxBYZKrf9CEBiv3Tc5&#10;OiTzRhPVdjSmQJ6SwoOaetIJCLp3tSKWoI3uvnDVd1RLI2t7QGWfhEI8IlBFlj7A5kzLjfK1NPOh&#10;UXvQ4aIeoP7NbukvVxcaddUCjzASpIcL//TP7zcf/0Ajh82gmjlsOdPqUl3ouNCEmSt3W+ve/YdC&#10;0Najer1HlW0torA4mo5GxazEiIKtLKfZuAyw0xbuxh0ryjLDyFnzcbY3/hTPT8tiHA5no9nUHU12&#10;gROX3z6dQQEjzS1M5r/BdNkSxTz6xmEQYcpBHhGnP/+++fcvlEWg/KY9SmZuALBHIHqs1h1SdyrN&#10;Jh6HfaVkrrSxZ0z2yA0WWAO1PePI1bmxAZTdFhfWSN5Vpx3nfqKb9QnX6IqADFYz9+fP8k3/RlZh&#10;eVqmqdcDxDRhv0f6niMu0LDAeVnAVkQJyL8G2cGwV0AhIxqMCG+gr1CrfQQhXQ6QXihgRUwbwnm3&#10;8TK5gEju9gJmbrSW1TUgrmVQrFH0tIO6z4mxF0SDRCE+NDH7Fj41l5CUjCOMWqk/PLbu9gMlwIrR&#10;AJKHhN9viGYY8Z8FkGWWFYXrEX5SlJMcJvquZX3XIjb9iQQ4gbmQnR+6/ZbvhrWW/TvodUsXFUxE&#10;UIgdoImTExtaEXRLypZLvw36giL2XFwq6pw75IRcbqysO3/Nt+hE0IDyTqjfg/uzh9wv3A262CCQ&#10;p3B/Mok6n85i791zf5QXUeVZ7iX1f3B/uUrTfBVp5ym4k8izmX3vdBRMoPbrdDLOTv3NmZZULKw6&#10;eX1VX07BT9aI3a63Ef4fcnmeXPzDAU+q73Dx+Xdv9t25l9ftT56j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BJ+ys7bAAAACwEAAA8AAAAAAAAAAQAgAAAAIgAAAGRycy9kb3ducmV2LnhtbFBLAQIU&#10;ABQAAAAIAIdO4kCnXOwjRgMAADoJAAAOAAAAAAAAAAEAIAAAACoBAABkcnMvZTJvRG9jLnhtbFBL&#10;BQYAAAAABgAGAFkBAADi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3VZykLkAAADb&#10;AAAADwAAAGRycy9kb3ducmV2LnhtbEVPy4rCMBTdD/gP4QruxqSCD6rRhTiMuJpRwe21uba1zU1J&#10;4uvvzWJglofzXqyethV38qF2rCEbKhDEhTM1lxqOh6/PGYgQkQ22jknDiwKslr2PBebGPfiX7vtY&#10;ihTCIUcNVYxdLmUoKrIYhq4jTtzFeYsxQV9K4/GRwm0rR0pNpMWaU0OFHa0rKpr9zWpojtOfWq2/&#10;r6ddMxn7TXaejv1Z60E/U3MQkZ7xX/zn3hoNozQ2fUk/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1WcpC5AAAA2wAA&#10;AA8AAAAAAAAAAQAgAAAAIgAAAGRycy9kb3ducmV2LnhtbFBLAQIUABQAAAAIAIdO4kAzLwWeOwAA&#10;ADkAAAAQAAAAAAAAAAEAIAAAAAgBAABkcnMvc2hhcGV4bWwueG1sUEsFBgAAAAAGAAYAWwEAALID&#10;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O7OTPbwAAADb&#10;AAAADwAAAGRycy9kb3ducmV2LnhtbEWPS4sCMRCE78L+h9AL3pxEDzo7GoUVXDy6PtZrM2lnBied&#10;IYmvf78RBI9FVX1FzRZ324or+dA41jDMFAji0pmGKw373WqQgwgR2WDrmDQ8KMBi/tGbYWHcjX/p&#10;uo2VSBAOBWqoY+wKKUNZk8WQuY44eSfnLcYkfSWNx1uC21aOlBpLiw2nhRo7WtZUnrcXq2G8+V66&#10;cpf//Pljozbusnrkk4PW/c+hmoKIdI/v8Ku9NhpGX/D8kn6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zkz2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sz w:val="32"/>
        </w:rPr>
        <mc:AlternateContent>
          <mc:Choice Requires="wps">
            <w:drawing>
              <wp:anchor distT="0" distB="0" distL="114300" distR="114300" simplePos="0" relativeHeight="251695104" behindDoc="1" locked="0" layoutInCell="1" allowOverlap="1">
                <wp:simplePos x="0" y="0"/>
                <wp:positionH relativeFrom="column">
                  <wp:posOffset>951230</wp:posOffset>
                </wp:positionH>
                <wp:positionV relativeFrom="paragraph">
                  <wp:posOffset>267970</wp:posOffset>
                </wp:positionV>
                <wp:extent cx="3159125" cy="535940"/>
                <wp:effectExtent l="0" t="0" r="3175" b="16510"/>
                <wp:wrapNone/>
                <wp:docPr id="33" name="文本框 33"/>
                <wp:cNvGraphicFramePr/>
                <a:graphic xmlns:a="http://schemas.openxmlformats.org/drawingml/2006/main">
                  <a:graphicData uri="http://schemas.microsoft.com/office/word/2010/wordprocessingShape">
                    <wps:wsp>
                      <wps:cNvSpPr txBox="1"/>
                      <wps:spPr>
                        <a:xfrm>
                          <a:off x="1959610" y="4178300"/>
                          <a:ext cx="3159125" cy="535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both"/>
                              <w:rPr>
                                <w:rFonts w:ascii="仿宋_GB2312" w:eastAsia="仿宋_GB2312" w:cs="DengXian-Regular"/>
                                <w:sz w:val="28"/>
                                <w:szCs w:val="28"/>
                              </w:rPr>
                            </w:pP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9pt;margin-top:21.1pt;height:42.2pt;width:248.75pt;z-index:-251621376;mso-width-relative:page;mso-height-relative:page;" fillcolor="#FFFFFF [3201]" filled="t" stroked="f" coordsize="21600,21600" o:gfxdata="UEsDBAoAAAAAAIdO4kAAAAAAAAAAAAAAAAAEAAAAZHJzL1BLAwQUAAAACACHTuJA6LRSANQAAAAK&#10;AQAADwAAAGRycy9kb3ducmV2LnhtbE2PO0/EMBCEeyT+g7VIdJyTEAUIca5AokXiXrUvXuIIex3Z&#10;vuevZ6mgHM1o5ptuefZOHDGmKZCCclGAQBqCmWhUsFm/PzyDSFmT0S4QKrhggmV/e9Pp1oQTfeJx&#10;lUfBJZRarcDmPLdSpsGi12kRZiT2vkL0OrOMozRRn7jcO1kVRSO9nogXrJ7xzeLwvTp4BbvRX3fb&#10;co7WeFfTx/Wy3oRJqfu7sngFkfGc/8Lwi8/o0DPTPhzIJOFY1y+MnhXUVQWCA0399Ahiz07VNCD7&#10;Tv6/0P8AUEsDBBQAAAAIAIdO4kBlKm7ZXwIAAJ0EAAAOAAAAZHJzL2Uyb0RvYy54bWytVMFu2zAM&#10;vQ/YPwi6r46TuG2COkXWIsOAYi3QDTsrshwLkERNUmJ3H7D9QU+77L7vyneMkp2263boYTk4lPhM&#10;8j2SPjvvtCI74bwEU9L8aESJMBwqaTYl/fRx9eaUEh+YqZgCI0p6Jzw9X7x+ddbauRhDA6oSjmAQ&#10;4+etLWkTgp1nmeeN0MwfgRUGnTU4zQIe3SarHGsxulbZeDQ6zlpwlXXAhfd4e9k76RDRvSQg1LXk&#10;4hL4VgsT+qhOKBaQkm+k9XSRqq1rwcN1XXsRiCopMg3piUnQXsdntjhj841jtpF8KIG9pIRnnDST&#10;BpM+hLpkgZGtk3+F0pI78FCHIw4664kkRZBFPnqmzW3DrEhcUGpvH0T3/y8s/7C7cURWJZ1MKDFM&#10;Y8f399/3P37tf34jeIcCtdbPEXdrERm6t9Dh2BzuPV5G3l3tdPxHRiT6Z8XsOEeR70o6zU9OJ6NB&#10;atEFwhEwyYtZPi4o4YgoJsVsmgDZYyTrfHgnQJNolNRhK5PCbHflA1aF0AMkJvagZLWSSqWD26wv&#10;lCM7hm1fpV8sGF/5A6YMaUt6PClGKbKB+H6PUwbhkXhPMFqhW3eDGmuo7lAMB/08ectXEqu8Yj7c&#10;MIcDhMxxxcI1PmoFmAQGi5IG3Nd/3Uc89hW9lLQ4kCX1X7bMCUrUe4Mdn+VT1IiEdJgWJ2M8uKee&#10;9VOP2eoLQPI5LrPlyYz4oA5m7UB/xk1cxqzoYoZj7pKGg3kR+jXBTeZiuUwgnFnLwpW5tTyGjlIb&#10;WG4D1DK1JMrUazOoh1ObZB82LK7F03NCPX5V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6LRS&#10;ANQAAAAKAQAADwAAAAAAAAABACAAAAAiAAAAZHJzL2Rvd25yZXYueG1sUEsBAhQAFAAAAAgAh07i&#10;QGUqbtlfAgAAnQQAAA4AAAAAAAAAAQAgAAAAIwEAAGRycy9lMm9Eb2MueG1sUEsFBgAAAAAGAAYA&#10;WQEAAPQFAAAAAA==&#10;">
                <v:fill on="t" focussize="0,0"/>
                <v:stroke on="f" weight="0.5pt"/>
                <v:imagedata o:title=""/>
                <o:lock v:ext="edit" aspectratio="f"/>
                <v:textbox>
                  <w:txbxContent>
                    <w:p>
                      <w:pPr>
                        <w:adjustRightInd w:val="0"/>
                        <w:snapToGrid w:val="0"/>
                        <w:spacing w:line="560" w:lineRule="exact"/>
                        <w:jc w:val="both"/>
                        <w:rPr>
                          <w:rFonts w:ascii="仿宋_GB2312" w:eastAsia="仿宋_GB2312" w:cs="DengXian-Regular"/>
                          <w:sz w:val="28"/>
                          <w:szCs w:val="28"/>
                        </w:rPr>
                      </w:pPr>
                    </w:p>
                    <w:p>
                      <w:pPr>
                        <w:rPr>
                          <w:sz w:val="20"/>
                          <w:szCs w:val="22"/>
                        </w:rPr>
                      </w:pPr>
                    </w:p>
                  </w:txbxContent>
                </v:textbox>
              </v:shape>
            </w:pict>
          </mc:Fallback>
        </mc:AlternateConten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lang w:eastAsia="zh-CN"/>
        </w:rPr>
        <w:drawing>
          <wp:anchor distT="0" distB="0" distL="114300" distR="114300" simplePos="0" relativeHeight="251698176" behindDoc="0" locked="0" layoutInCell="1" allowOverlap="1">
            <wp:simplePos x="0" y="0"/>
            <wp:positionH relativeFrom="column">
              <wp:posOffset>415290</wp:posOffset>
            </wp:positionH>
            <wp:positionV relativeFrom="paragraph">
              <wp:posOffset>5715</wp:posOffset>
            </wp:positionV>
            <wp:extent cx="4584700" cy="2991485"/>
            <wp:effectExtent l="4445" t="4445" r="20955" b="13970"/>
            <wp:wrapSquare wrapText="bothSides"/>
            <wp:docPr id="66" name="图表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sz w:val="44"/>
        </w:rPr>
        <mc:AlternateContent>
          <mc:Choice Requires="wpg">
            <w:drawing>
              <wp:anchor distT="0" distB="0" distL="114300" distR="114300" simplePos="0" relativeHeight="25168384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384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qlURUIDAAA8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fkUD8cYCdLAjX//+v7y4wcEC4BOq8oJbDrW6lyd6W6hDDNX8KbQjfuHUtDG&#10;43qxw5VtLKKw2B/1++k4w4iCLctGySALwNMKbscdS7MswchZe4NkZ3zWnR9l6SAcTvrjkTsabQNH&#10;Lr9dOq0CTporoMyfAXVeEcU8/sZh0AE1Au50QH36cvntM0r6ASi/aYeSmRgA7A6I7qp1i9S1SpOh&#10;x2FXKZkobewxkw1ygynWQG7PObI+MTaAst3iwhrJ63xRc+4nulwecY3WBIQwH7ufP8tXzQuZh+VR&#10;FsdeERDThP0e6RuOuEDtFPeyFLYiSqABFCA8GDYKSGREiRHhJXQWarWPIKTLAdILBcyJqUI477a7&#10;TC4gkru9gJkbLWV+AYhrGTRrFF3UUPcJMfaMaBApxIc2Zk/hUXAJScluhFEl9bu71t1+oARYMWpB&#10;9JDw2xXRDCP+XABZxkmaglvrJ2k27MFEX7csr1vEqjmSACcwF7LzQ7ff8u2w0LJ5A91u5qKCiQgK&#10;sQM03eTIhmYE/ZKy2cxvg86giD0R54o65w45IWcrK4vaX/MVOh1oQHkn1H/Bfaj1JvfTB3J/OOx0&#10;Php33XfH/X4v7VSe9Lyk/gb3Z/M47s072nkKbiXyYGbfON0JJlD7aTwcJAt/c6YiOQurTl6/1JdT&#10;8L01YjfLjW/J/+XyULn4Fwe8VH2H6z4A3Fv7+tzL6+qj5+A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IqpVEV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880" w:firstLineChars="200"/>
        <w:rPr>
          <w:rFonts w:hint="eastAsia" w:ascii="仿宋_GB2312" w:eastAsia="仿宋_GB2312" w:cs="DengXian-Regular"/>
          <w:sz w:val="32"/>
          <w:szCs w:val="32"/>
          <w:lang w:eastAsia="zh-CN"/>
        </w:rPr>
      </w:pPr>
      <w:r>
        <w:rPr>
          <w:sz w:val="44"/>
        </w:rPr>
        <mc:AlternateContent>
          <mc:Choice Requires="wpg">
            <w:drawing>
              <wp:anchor distT="0" distB="0" distL="114300" distR="114300" simplePos="0" relativeHeight="25168896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23" name="组合 2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2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896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J85x0sDAAA8CQAADgAAAGRycy9lMm9Eb2MueG1s&#10;7VbLbtw2FN0HyD8Q3MeSZqR5wWNj4qmNAk5jwC2y5lDUA6BIhuRY46y76DJ/UKC7fkPRzzHyG7l8&#10;jPyIgdgpmlUwgIbkJe/j8JwrHR7vOo6umDatFEucHaQYMUFl2Yp6iX/79fTVDCNjiSgJl4It8TUz&#10;+Pjo5YvDXi3YSDaSl0wjcCLMoldL3FirFkliaMM6Yg6kYgKMldQdsTDVdVJq0oP3jiejNJ0kvdSl&#10;0pIyY2B1HYw4etRPcSirqqVsLem2Y8IGr5pxYqEk07TK4COfbVUxat9WlWEW8SWGSq1/QhAYb9wz&#10;OToki1oT1bQ0pkCeksKDmjrSCgg6uFoTS9BWt1+46lqqpZGVPaCyS0IhHhGoIksfYHOm5Vb5WupF&#10;X6sBdLioB6h/s1v6y9WFRm25xKMxRoJ0cOOf/vn95uMfCBYAnV7VC9h0ptWlutBxoQ4zV/Cu0p37&#10;h1LQzuN6PeDKdhZRWBzPxuN8XmBEwVYUs2xSBOBpA7fjjuVFkWHkrKNJNhh/iudnRT4Jh7PxfOaO&#10;JvvAictvSKdXwElzC5T5b0BdNkQxj79xGOyBygeg/vz75t+/UBaB8psGlMzCAGCPQPRYrXuk7lSa&#10;TT0OQ6VkobSxZ0x2yA2WWAO5PefI1bmxAZT9FhfWSN6Wpy3nfqLrzQnX6IqAENZz9/Nn+bZ7I8uw&#10;PCvS1CsCYpqw3yN9zxEXqAeyFDlsRZRAA6hAeDDsFJDIiBojwmvoLNRqH0FIlwOkFwpYE9OEcN5t&#10;vEwuIJK7vYCZG21keQ2Iaxk0axQ9baHuc2LsBdEgUogPbcy+hUfFJSQl4wijRuoPj627/UAJsGLU&#10;g+gh4fdbohlG/GcBZJlnee66hJ/kxXQEE33XsrlrEdvuRAKcwFzIzg/dfsv3w0rL7h10u5WLCiYi&#10;KMQO0MTJiQ3NCPolZauV3wadQRF7Li4Vdc4dckKutlZWrb/mW3QiaEB5J9TvwX0QcWwSkfu5u0EX&#10;GwTyFO5Pp1Hns3nsvgP3xyNQlmsRWRZ6z//B/dU6TUfrSDtPwb1Ens3se6ejYAK1X6fTSXbqb840&#10;pGRh1cnrq/pyCn6yRuxus4vw/5DL8+TiXxzwUvUdLn4AuLf23bmX1+1Hz9F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En7KztsAAAALAQAADwAAAAAAAAABACAAAAAiAAAAZHJzL2Rvd25yZXYueG1s&#10;UEsBAhQAFAAAAAgAh07iQGCfOcdLAwAAPAkAAA4AAAAAAAAAAQAgAAAAKgEAAGRycy9lMm9Eb2Mu&#10;eG1sUEsFBgAAAAAGAAYAWQEAAOc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Bt4lb4AAADb&#10;AAAADwAAAGRycy9kb3ducmV2LnhtbEWPzWsCMRTE74X+D+EVvNVkxY+yNXoQpcWTX+D1uXnd3e7m&#10;ZUlStf+9EQSPw8z8hpnOr7YVZ/Khdqwh6ysQxIUzNZcaDvvV+weIEJENto5Jwz8FmM9eX6aYG3fh&#10;LZ13sRQJwiFHDVWMXS5lKCqyGPquI07ej/MWY5K+lMbjJcFtKwdKjaXFmtNChR0tKiqa3Z/V0Bwm&#10;m1otvn6P62Y88svsNBn5k9a9t0x9goh0jc/wo/1tNAyG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4l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v6ZOLwAAADb&#10;AAAADwAAAGRycy9kb3ducmV2LnhtbEWPQWvCQBSE7wX/w/KE3uquQm1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Ti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6.25</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为办公费。</w:t>
      </w:r>
    </w:p>
    <w:p>
      <w:pPr>
        <w:pStyle w:val="3"/>
        <w:numPr>
          <w:ilvl w:val="0"/>
          <w:numId w:val="2"/>
        </w:numPr>
        <w:spacing w:before="0" w:after="0" w:line="580" w:lineRule="exact"/>
        <w:ind w:firstLine="640" w:firstLineChars="200"/>
        <w:rPr>
          <w:rFonts w:hint="eastAsia" w:ascii="黑体" w:eastAsia="黑体"/>
          <w:b w:val="0"/>
          <w:bCs w:val="0"/>
        </w:rPr>
      </w:pPr>
      <w:r>
        <w:rPr>
          <w:rFonts w:hint="eastAsia" w:ascii="黑体" w:eastAsia="黑体"/>
          <w:b w:val="0"/>
          <w:bCs w:val="0"/>
        </w:rPr>
        <w:t>一般公共预算财政拨款“三公” 经费支出决算情况说明</w:t>
      </w:r>
    </w:p>
    <w:p>
      <w:pPr>
        <w:adjustRightInd w:val="0"/>
        <w:snapToGrid w:val="0"/>
        <w:spacing w:after="0" w:line="580" w:lineRule="exact"/>
        <w:ind w:firstLine="600" w:firstLineChars="200"/>
        <w:rPr>
          <w:rFonts w:hint="eastAsia" w:ascii="仿宋_GB2312" w:eastAsia="仿宋_GB2312" w:cs="DengXian-Regular"/>
          <w:sz w:val="32"/>
          <w:szCs w:val="32"/>
          <w:lang w:eastAsia="zh-CN"/>
        </w:rPr>
      </w:pPr>
      <w:r>
        <w:rPr>
          <w:rFonts w:hint="eastAsia" w:ascii="仿宋" w:hAnsi="仿宋" w:eastAsia="仿宋" w:cs="仿宋"/>
          <w:color w:val="000000" w:themeColor="text1"/>
          <w:kern w:val="0"/>
          <w:sz w:val="30"/>
          <w:szCs w:val="30"/>
          <w:lang w:bidi="ar"/>
          <w14:textFill>
            <w14:solidFill>
              <w14:schemeClr w14:val="tx1"/>
            </w14:solidFill>
          </w14:textFill>
        </w:rPr>
        <w:t xml:space="preserve"> </w:t>
      </w:r>
      <w:r>
        <w:rPr>
          <w:rFonts w:hint="eastAsia" w:ascii="仿宋_GB2312" w:eastAsia="仿宋_GB2312" w:cs="DengXian-Regular"/>
          <w:sz w:val="32"/>
          <w:szCs w:val="32"/>
        </w:rPr>
        <w:t xml:space="preserve">本部门2018年度 </w:t>
      </w:r>
      <w:r>
        <w:rPr>
          <w:rFonts w:hint="eastAsia" w:ascii="仿宋_GB2312" w:eastAsia="仿宋_GB2312" w:cs="DengXian-Regular"/>
          <w:sz w:val="32"/>
          <w:szCs w:val="32"/>
          <w:lang w:eastAsia="zh-CN"/>
        </w:rPr>
        <w:t>无</w:t>
      </w:r>
      <w:r>
        <w:rPr>
          <w:rFonts w:hint="eastAsia" w:ascii="仿宋_GB2312" w:eastAsia="仿宋_GB2312" w:cs="DengXian-Regular"/>
          <w:sz w:val="32"/>
          <w:szCs w:val="32"/>
        </w:rPr>
        <w:t>“三公”经费</w:t>
      </w:r>
      <w:r>
        <w:rPr>
          <w:rFonts w:hint="eastAsia" w:ascii="仿宋_GB2312" w:eastAsia="仿宋_GB2312" w:cs="DengXian-Regular"/>
          <w:sz w:val="32"/>
          <w:szCs w:val="32"/>
          <w:lang w:eastAsia="zh-CN"/>
        </w:rPr>
        <w:t>支出</w:t>
      </w:r>
      <w:r>
        <w:rPr>
          <w:rFonts w:hint="eastAsia" w:ascii="仿宋_GB2312" w:eastAsia="仿宋_GB2312" w:cs="DengXian-Regular"/>
          <w:sz w:val="32"/>
          <w:szCs w:val="32"/>
        </w:rPr>
        <w:t>，认真贯彻落实中央八项规定</w:t>
      </w:r>
      <w:bookmarkStart w:id="0" w:name="_GoBack"/>
      <w:bookmarkEnd w:id="0"/>
      <w:r>
        <w:rPr>
          <w:rFonts w:hint="eastAsia" w:ascii="仿宋_GB2312" w:eastAsia="仿宋_GB2312" w:cs="DengXian-Regular"/>
          <w:sz w:val="32"/>
          <w:szCs w:val="32"/>
        </w:rPr>
        <w:t>和厉行节约要求，从严控制“三公”经费开支，全年实际支出</w:t>
      </w:r>
      <w:r>
        <w:rPr>
          <w:rFonts w:hint="eastAsia" w:ascii="仿宋_GB2312" w:eastAsia="仿宋_GB2312" w:cs="DengXian-Regular"/>
          <w:sz w:val="32"/>
          <w:szCs w:val="32"/>
          <w:lang w:eastAsia="zh-CN"/>
        </w:rPr>
        <w:t>与年初预算持平为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lang w:eastAsia="zh-CN"/>
        </w:rPr>
        <w:t>。</w:t>
      </w:r>
    </w:p>
    <w:p>
      <w:pPr>
        <w:numPr>
          <w:ilvl w:val="0"/>
          <w:numId w:val="0"/>
        </w:numPr>
        <w:ind w:firstLine="630" w:firstLineChars="300"/>
      </w:pP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spacing w:line="560" w:lineRule="exact"/>
        <w:ind w:firstLine="640" w:firstLineChars="200"/>
        <w:jc w:val="left"/>
        <w:rPr>
          <w:rFonts w:hint="eastAsia" w:ascii="仿宋_GB2312" w:eastAsia="仿宋_GB2312" w:cs="DengXian-Regular"/>
          <w:sz w:val="32"/>
          <w:szCs w:val="32"/>
        </w:rPr>
      </w:pPr>
      <w:r>
        <w:rPr>
          <w:rFonts w:hint="eastAsia" w:ascii="仿宋_GB2312" w:eastAsia="仿宋_GB2312" w:cs="DengXian-Regular"/>
          <w:sz w:val="32"/>
          <w:szCs w:val="32"/>
        </w:rPr>
        <w:t>（一）预算绩效管理工作开展情况。</w:t>
      </w:r>
    </w:p>
    <w:p>
      <w:pPr>
        <w:spacing w:line="560" w:lineRule="exact"/>
        <w:ind w:firstLine="560" w:firstLineChars="200"/>
        <w:jc w:val="left"/>
        <w:rPr>
          <w:rFonts w:hint="eastAsia" w:ascii="仿宋_GB2312" w:eastAsia="仿宋_GB2312" w:cs="DengXian-Regular"/>
          <w:sz w:val="32"/>
          <w:szCs w:val="32"/>
          <w:highlight w:val="yellow"/>
        </w:rPr>
      </w:pPr>
      <w:r>
        <w:rPr>
          <w:rFonts w:hint="eastAsia" w:ascii="仿宋" w:hAnsi="仿宋" w:eastAsia="仿宋"/>
          <w:sz w:val="28"/>
          <w:szCs w:val="28"/>
        </w:rPr>
        <w:t>根据区财政预算绩效管理要求，丰润区</w:t>
      </w:r>
      <w:r>
        <w:rPr>
          <w:rFonts w:hint="eastAsia" w:ascii="仿宋" w:hAnsi="仿宋" w:eastAsia="仿宋"/>
          <w:sz w:val="28"/>
          <w:szCs w:val="28"/>
          <w:lang w:eastAsia="zh-CN"/>
        </w:rPr>
        <w:t>看守所</w:t>
      </w:r>
      <w:r>
        <w:rPr>
          <w:rFonts w:hint="eastAsia" w:ascii="仿宋" w:hAnsi="仿宋" w:eastAsia="仿宋"/>
          <w:sz w:val="28"/>
          <w:szCs w:val="28"/>
        </w:rPr>
        <w:t>以“部门职责一工作活动”为依据，确定部门预算项目和预算额度，清晰描述预算项目开支范围和内容，确定预算项目的绩效目标、绩效指标和评价标准，为预算绩效控制、绩效分析、绩效评价打下好的基础。</w:t>
      </w:r>
    </w:p>
    <w:p>
      <w:pPr>
        <w:numPr>
          <w:ilvl w:val="0"/>
          <w:numId w:val="3"/>
        </w:numPr>
        <w:spacing w:line="560" w:lineRule="exact"/>
        <w:ind w:firstLine="640" w:firstLineChars="200"/>
        <w:jc w:val="left"/>
        <w:rPr>
          <w:rFonts w:hint="eastAsia" w:ascii="仿宋_GB2312" w:eastAsia="仿宋_GB2312" w:cs="DengXian-Regular"/>
          <w:sz w:val="32"/>
          <w:szCs w:val="32"/>
          <w:lang w:eastAsia="zh-CN"/>
        </w:rPr>
      </w:pPr>
      <w:r>
        <w:rPr>
          <w:rFonts w:hint="eastAsia" w:ascii="仿宋_GB2312" w:eastAsia="仿宋_GB2312" w:cs="DengXian-Regular"/>
          <w:sz w:val="32"/>
          <w:szCs w:val="32"/>
        </w:rPr>
        <w:t>项目绩效自评结果。</w:t>
      </w:r>
    </w:p>
    <w:p>
      <w:pPr>
        <w:numPr>
          <w:ilvl w:val="0"/>
          <w:numId w:val="0"/>
        </w:numPr>
        <w:spacing w:line="560" w:lineRule="exact"/>
        <w:ind w:firstLine="560" w:firstLineChars="200"/>
        <w:jc w:val="left"/>
        <w:rPr>
          <w:rFonts w:hint="eastAsia" w:ascii="仿宋_GB2312" w:eastAsia="仿宋_GB2312" w:cs="DengXian-Regular"/>
          <w:sz w:val="32"/>
          <w:szCs w:val="32"/>
          <w:lang w:eastAsia="zh-CN"/>
        </w:rPr>
      </w:pPr>
      <w:r>
        <w:rPr>
          <w:rFonts w:hint="eastAsia" w:ascii="仿宋" w:hAnsi="仿宋" w:eastAsia="仿宋"/>
          <w:sz w:val="28"/>
          <w:szCs w:val="28"/>
        </w:rPr>
        <w:t>按照丰润区财政预算绩效管理要求，丰润区</w:t>
      </w:r>
      <w:r>
        <w:rPr>
          <w:rFonts w:hint="eastAsia" w:ascii="仿宋" w:hAnsi="仿宋" w:eastAsia="仿宋"/>
          <w:sz w:val="28"/>
          <w:szCs w:val="28"/>
          <w:lang w:eastAsia="zh-CN"/>
        </w:rPr>
        <w:t>看守所</w:t>
      </w:r>
      <w:r>
        <w:rPr>
          <w:rFonts w:hint="eastAsia" w:ascii="仿宋" w:hAnsi="仿宋" w:eastAsia="仿宋"/>
          <w:sz w:val="28"/>
          <w:szCs w:val="28"/>
        </w:rPr>
        <w:t>对2018年初确定的部门一般公共预算支出项目全面开展了绩效自评。丰润区</w:t>
      </w:r>
      <w:r>
        <w:rPr>
          <w:rFonts w:hint="eastAsia" w:ascii="仿宋" w:hAnsi="仿宋" w:eastAsia="仿宋"/>
          <w:sz w:val="28"/>
          <w:szCs w:val="28"/>
          <w:lang w:eastAsia="zh-CN"/>
        </w:rPr>
        <w:t>看守所</w:t>
      </w:r>
      <w:r>
        <w:rPr>
          <w:rFonts w:hint="eastAsia" w:ascii="仿宋" w:hAnsi="仿宋" w:eastAsia="仿宋"/>
          <w:sz w:val="28"/>
          <w:szCs w:val="28"/>
        </w:rPr>
        <w:t>决算项目</w:t>
      </w:r>
      <w:r>
        <w:rPr>
          <w:rFonts w:hint="eastAsia" w:ascii="仿宋" w:hAnsi="仿宋" w:eastAsia="仿宋"/>
          <w:sz w:val="28"/>
          <w:szCs w:val="28"/>
          <w:lang w:val="en-US" w:eastAsia="zh-CN"/>
        </w:rPr>
        <w:t>1</w:t>
      </w:r>
      <w:r>
        <w:rPr>
          <w:rFonts w:hint="eastAsia" w:ascii="仿宋" w:hAnsi="仿宋" w:eastAsia="仿宋"/>
          <w:sz w:val="28"/>
          <w:szCs w:val="28"/>
        </w:rPr>
        <w:t>项，共涉及预算资金</w:t>
      </w:r>
      <w:r>
        <w:rPr>
          <w:rFonts w:hint="eastAsia" w:ascii="仿宋_GB2312" w:eastAsia="仿宋_GB2312" w:cs="DengXian-Regular"/>
          <w:sz w:val="32"/>
          <w:szCs w:val="32"/>
          <w:lang w:val="en-US" w:eastAsia="zh-CN"/>
        </w:rPr>
        <w:t>220.21万元</w:t>
      </w:r>
      <w:r>
        <w:rPr>
          <w:rFonts w:hint="eastAsia" w:ascii="仿宋" w:hAnsi="仿宋" w:eastAsia="仿宋"/>
          <w:sz w:val="28"/>
          <w:szCs w:val="28"/>
        </w:rPr>
        <w:t>，绩效自评覆盖率达到100%。</w:t>
      </w:r>
    </w:p>
    <w:p>
      <w:pPr>
        <w:adjustRightInd w:val="0"/>
        <w:snapToGrid w:val="0"/>
        <w:spacing w:after="0" w:line="580" w:lineRule="exact"/>
        <w:ind w:firstLine="640" w:firstLineChars="200"/>
        <w:rPr>
          <w:rFonts w:ascii="仿宋_GB2312" w:eastAsia="仿宋_GB2312" w:cs="DengXian-Regular"/>
          <w:sz w:val="32"/>
          <w:szCs w:val="32"/>
        </w:rPr>
      </w:pPr>
    </w:p>
    <w:p>
      <w:pPr>
        <w:numPr>
          <w:ilvl w:val="0"/>
          <w:numId w:val="3"/>
        </w:numPr>
        <w:adjustRightInd w:val="0"/>
        <w:snapToGrid w:val="0"/>
        <w:spacing w:after="0" w:line="580" w:lineRule="exact"/>
        <w:ind w:left="0" w:leftChars="0"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重点项目绩效评价结果</w:t>
      </w:r>
      <w:r>
        <w:rPr>
          <w:rFonts w:hint="eastAsia" w:ascii="仿宋_GB2312" w:eastAsia="仿宋_GB2312" w:cs="DengXian-Regular"/>
          <w:sz w:val="32"/>
          <w:szCs w:val="32"/>
          <w:lang w:eastAsia="zh-CN"/>
        </w:rPr>
        <w:t>。</w:t>
      </w:r>
    </w:p>
    <w:p>
      <w:pPr>
        <w:numPr>
          <w:ilvl w:val="0"/>
          <w:numId w:val="0"/>
        </w:numPr>
        <w:adjustRightInd w:val="0"/>
        <w:snapToGrid w:val="0"/>
        <w:spacing w:after="0" w:line="580" w:lineRule="exact"/>
        <w:ind w:leftChars="200"/>
        <w:rPr>
          <w:rFonts w:hint="eastAsia" w:ascii="仿宋_GB2312" w:eastAsia="楷体" w:cs="DengXian-Regular"/>
          <w:sz w:val="32"/>
          <w:szCs w:val="32"/>
          <w:lang w:eastAsia="zh-CN"/>
        </w:rPr>
      </w:pPr>
      <w:r>
        <w:rPr>
          <w:rFonts w:hint="eastAsia" w:ascii="楷体" w:hAnsi="楷体" w:eastAsia="楷体" w:cs="楷体"/>
          <w:sz w:val="32"/>
          <w:szCs w:val="32"/>
          <w:highlight w:val="none"/>
        </w:rPr>
        <w:t>本部门本年度无相关收入或支出、收支及结转结余等情况</w:t>
      </w:r>
      <w:r>
        <w:rPr>
          <w:rFonts w:hint="eastAsia" w:ascii="楷体" w:hAnsi="楷体" w:eastAsia="楷体" w:cs="楷体"/>
          <w:sz w:val="32"/>
          <w:szCs w:val="32"/>
          <w:highlight w:val="none"/>
          <w:lang w:eastAsia="zh-CN"/>
        </w:rPr>
        <w:t>。</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numPr>
          <w:ilvl w:val="0"/>
          <w:numId w:val="0"/>
        </w:numPr>
        <w:adjustRightInd w:val="0"/>
        <w:snapToGrid w:val="0"/>
        <w:spacing w:after="0" w:line="580" w:lineRule="exact"/>
        <w:ind w:leftChars="200"/>
        <w:rPr>
          <w:rFonts w:hint="eastAsia" w:ascii="仿宋_GB2312" w:eastAsia="楷体" w:cs="DengXian-Regular"/>
          <w:sz w:val="32"/>
          <w:szCs w:val="32"/>
          <w:lang w:eastAsia="zh-CN"/>
        </w:rPr>
      </w:pPr>
      <w:r>
        <w:rPr>
          <w:rFonts w:hint="eastAsia" w:ascii="楷体" w:hAnsi="楷体" w:eastAsia="楷体" w:cs="楷体"/>
          <w:sz w:val="32"/>
          <w:szCs w:val="32"/>
          <w:highlight w:val="none"/>
        </w:rPr>
        <w:t>本部门本年度无相关收入或支出、收支及结转结余等情况</w:t>
      </w:r>
      <w:r>
        <w:rPr>
          <w:rFonts w:hint="eastAsia" w:ascii="楷体" w:hAnsi="楷体" w:eastAsia="楷体" w:cs="楷体"/>
          <w:sz w:val="32"/>
          <w:szCs w:val="32"/>
          <w:highlight w:val="none"/>
          <w:lang w:eastAsia="zh-CN"/>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numPr>
          <w:ilvl w:val="0"/>
          <w:numId w:val="0"/>
        </w:numPr>
        <w:adjustRightInd w:val="0"/>
        <w:snapToGrid w:val="0"/>
        <w:spacing w:after="0" w:line="580" w:lineRule="exact"/>
        <w:ind w:leftChars="200"/>
        <w:rPr>
          <w:rFonts w:hint="eastAsia" w:ascii="仿宋_GB2312" w:eastAsia="楷体" w:cs="DengXian-Regular"/>
          <w:sz w:val="32"/>
          <w:szCs w:val="32"/>
          <w:lang w:eastAsia="zh-CN"/>
        </w:rPr>
      </w:pPr>
      <w:r>
        <w:rPr>
          <w:rFonts w:hint="eastAsia" w:ascii="楷体" w:hAnsi="楷体" w:eastAsia="楷体" w:cs="楷体"/>
          <w:sz w:val="32"/>
          <w:szCs w:val="32"/>
          <w:highlight w:val="none"/>
        </w:rPr>
        <w:t>本部门本年度无相关收入或支出、收支及结转结余等情况</w:t>
      </w:r>
      <w:r>
        <w:rPr>
          <w:rFonts w:hint="eastAsia" w:ascii="楷体" w:hAnsi="楷体" w:eastAsia="楷体" w:cs="楷体"/>
          <w:sz w:val="32"/>
          <w:szCs w:val="32"/>
          <w:highlight w:val="none"/>
          <w:lang w:eastAsia="zh-CN"/>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numPr>
          <w:ilvl w:val="0"/>
          <w:numId w:val="0"/>
        </w:numPr>
        <w:adjustRightInd w:val="0"/>
        <w:snapToGrid w:val="0"/>
        <w:spacing w:after="0" w:line="580" w:lineRule="exact"/>
        <w:ind w:leftChars="200"/>
        <w:rPr>
          <w:rFonts w:hint="eastAsia" w:ascii="仿宋_GB2312" w:eastAsia="楷体" w:cs="DengXian-Regular"/>
          <w:sz w:val="32"/>
          <w:szCs w:val="32"/>
          <w:lang w:eastAsia="zh-CN"/>
        </w:rPr>
      </w:pPr>
      <w:r>
        <w:rPr>
          <w:rFonts w:hint="eastAsia" w:ascii="楷体" w:hAnsi="楷体" w:eastAsia="楷体" w:cs="楷体"/>
          <w:sz w:val="32"/>
          <w:szCs w:val="32"/>
          <w:highlight w:val="none"/>
        </w:rPr>
        <w:t>本部门本年度无相关收入或支出、收支及结转结余等情况</w:t>
      </w:r>
      <w:r>
        <w:rPr>
          <w:rFonts w:hint="eastAsia" w:ascii="楷体" w:hAnsi="楷体" w:eastAsia="楷体" w:cs="楷体"/>
          <w:sz w:val="32"/>
          <w:szCs w:val="32"/>
          <w:highlight w:val="none"/>
          <w:lang w:eastAsia="zh-CN"/>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1、本部门2018年度</w:t>
      </w:r>
      <w:r>
        <w:rPr>
          <w:rFonts w:hint="eastAsia" w:ascii="仿宋" w:hAnsi="仿宋" w:eastAsia="仿宋" w:cs="仿宋"/>
          <w:color w:val="000000"/>
          <w:kern w:val="0"/>
          <w:sz w:val="32"/>
          <w:szCs w:val="32"/>
          <w:lang w:bidi="ar"/>
        </w:rPr>
        <w:t>一般公共预算财政拨款“</w:t>
      </w:r>
      <w:r>
        <w:rPr>
          <w:rFonts w:hint="eastAsia" w:ascii="仿宋" w:hAnsi="仿宋" w:eastAsia="仿宋" w:cs="仿宋"/>
          <w:sz w:val="32"/>
          <w:szCs w:val="32"/>
        </w:rPr>
        <mc:AlternateContent>
          <mc:Choice Requires="wpg">
            <w:drawing>
              <wp:anchor distT="0" distB="0" distL="114300" distR="114300" simplePos="0" relativeHeight="251705344"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2" name="组合 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705344;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ONAmaA7AwAAOAkAAA4AAABkcnMvZTJvRG9jLnht&#10;bO1WzW4TMRC+I/EOlu90f/K/alKFhlZIhVYqiLPj9f5IXtvYTjflzIEjb4DEjWdAPE7FazD2Omla&#10;KtGCekOVtrZnPD/ffDPO/sG64eiCaVNLMcXJXowRE1TmtSin+O2bo2djjIwlIidcCjbFl8zgg9nT&#10;J/utylgqK8lzphEYESZr1RRX1qosigytWEPMnlRMgLCQuiEWtrqMck1asN7wKI3jYdRKnSstKTMG&#10;ThedEAeL+j4GZVHUlC0kXTVM2M6qZpxYSMlUtTJ45qMtCkbtaVEYZhGfYsjU+i84gfXSfaPZPslK&#10;TVRV0xACuU8It3JqSC3A6dbUgliCVrr+zVRTUy2NLOwelU3UJeIRgSyS+BY2x1qulM+lzNpSbUGH&#10;Qt1C/a/N0tcXZxrV+RSnGAnSQMF/fv949fkTSh02rSozUDnW6lyd6XBQdjuX7rrQjfsPiaC1R/Vy&#10;iypbW0ThsBePx8M+AE5BNkh7Kaw97LSC2rhr/cEgwchLh8lgI3wR7o8H/WF3OelNxk4abRxHLr5t&#10;OK0CRpprmMy/wXReEcU8+sZhEGCCUAJMX75d/fiKkp6LyLkGnS1IJjOA1x0I3ZXqBqidRJORh2Gb&#10;KMmUNvaYyQa5xRRrYLYnHLk4MbbDZKPi3BrJ6/yo5txvdLk85BpdEOiCxcT9+bt81bySeXc8HsSx&#10;rwv4NJ2+B/qGIS5QC0wZ9EEVUQLdX0DXwbJRwCAjSowIL2GsUKu9ByFdDL7aLroFMVXnzpsNteQC&#10;PDkEO8zcainzSwBcy65hjaJHNdw/IcaeEQ0dCv5hhtlT+BRcQlAyrDCqpP5w17nTB0aAFKMWOh4C&#10;fr8immHEXwrgyiTpO5Zav+kPRils9K5kuSsRq+ZQApxAXIjOL52+5ZtloWXzDkbd3HkFEREUfHfQ&#10;hM2h7SYRDEvK5nOvBmNBEXsizhV1xl35hJyvrCxqX+ZrdAJowPiOf49O/clt6vcfSP3RKHT5eBJG&#10;wJb6vbQfejxJfUc9BvXnizhOF4F1noGbDnkwsW/cDv3SMft5PBomR75wpiI5605dd/2xvR7UIna9&#10;XIfJ879bHtYt/tmAB9UPuPD4uxd7d++76/oHz+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HCeb&#10;iNwAAAANAQAADwAAAAAAAAABACAAAAAiAAAAZHJzL2Rvd25yZXYueG1sUEsBAhQAFAAAAAgAh07i&#10;QONAmaA7AwAAOAkAAA4AAAAAAAAAAQAgAAAAKwEAAGRycy9lMm9Eb2MueG1sUEsFBgAAAAAGAAYA&#10;WQEAANg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Y+TiR7wAAADa&#10;AAAADwAAAGRycy9kb3ducmV2LnhtbEWPT2sCMRTE7wW/Q3hCbzXZgqusRg9isXhqVfD63Dx31928&#10;LEn89+2bQqHHYWZ+w8yXD9uJG/nQONaQjRQI4tKZhisNh/3H2xREiMgGO8ek4UkBlovByxwL4+78&#10;TbddrESCcChQQx1jX0gZyposhpHriZN3dt5iTNJX0ni8J7jt5LtSubTYcFqosadVTWW7u1oN7WHy&#10;1ajV5nLctvnYr7PTZOxPWr8OMzUDEekR/8N/7U+jIYffK+kGy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k4ke8AAAA&#10;2gAAAA8AAAAAAAAAAQAgAAAAIgAAAGRycy9kb3ducmV2LnhtbFBLAQIUABQAAAAIAIdO4kAzLwWe&#10;OwAAADkAAAAQAAAAAAAAAAEAIAAAAAsBAABkcnMvc2hhcGV4bWwueG1sUEsFBgAAAAAGAAYAWwEA&#10;ALU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ASVcrwAAADa&#10;AAAADwAAAGRycy9kb3ducmV2LnhtbEWPQWvCQBSE7wX/w/KE3uquHtI0dRUUlB6tWr0+sq9JMPs2&#10;7K6J+ffdQqHHYWa+YZbrh21FTz40jjXMZwoEcelMw5WG82n3koMIEdlg65g0jBRgvZo8LbEwbuBP&#10;6o+xEgnCoUANdYxdIWUoa7IYZq4jTt638xZjkr6SxuOQ4LaVC6UyabHhtFBjR9uaytvxbjVkh83W&#10;lad8f/HXRh3cfTfmr19aP0/n6h1EpEf8D/+1P4yGN/i9km6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ElXK8AAAA&#10;2g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仿宋" w:hAnsi="仿宋" w:eastAsia="仿宋" w:cs="仿宋"/>
          <w:color w:val="000000"/>
          <w:kern w:val="0"/>
          <w:sz w:val="32"/>
          <w:szCs w:val="32"/>
          <w:lang w:bidi="ar"/>
        </w:rPr>
        <w:t>三公”经费支出</w:t>
      </w:r>
      <w:r>
        <w:rPr>
          <w:rFonts w:hint="eastAsia" w:ascii="仿宋" w:hAnsi="仿宋" w:eastAsia="仿宋" w:cs="仿宋"/>
          <w:color w:val="000000"/>
          <w:kern w:val="0"/>
          <w:sz w:val="32"/>
          <w:szCs w:val="32"/>
          <w:lang w:eastAsia="zh-CN" w:bidi="ar"/>
        </w:rPr>
        <w:t>，</w:t>
      </w:r>
      <w:r>
        <w:rPr>
          <w:rFonts w:hint="eastAsia" w:ascii="仿宋_GB2312" w:eastAsia="仿宋_GB2312" w:cs="DengXian-Regular"/>
          <w:sz w:val="32"/>
          <w:szCs w:val="32"/>
        </w:rPr>
        <w:t>无</w:t>
      </w:r>
      <w:r>
        <w:rPr>
          <w:rFonts w:hint="eastAsia" w:ascii="仿宋" w:hAnsi="仿宋" w:eastAsia="仿宋" w:cs="仿宋"/>
          <w:b w:val="0"/>
          <w:bCs w:val="0"/>
          <w:color w:val="000000"/>
          <w:kern w:val="0"/>
          <w:sz w:val="32"/>
          <w:szCs w:val="32"/>
          <w:lang w:bidi="ar"/>
        </w:rPr>
        <w:t>政府性基金预算财政拨款</w:t>
      </w:r>
      <w:r>
        <w:rPr>
          <w:rFonts w:hint="eastAsia" w:ascii="仿宋" w:hAnsi="仿宋" w:eastAsia="仿宋" w:cs="仿宋"/>
          <w:b w:val="0"/>
          <w:bCs w:val="0"/>
          <w:sz w:val="32"/>
          <w:szCs w:val="32"/>
        </w:rPr>
        <mc:AlternateContent>
          <mc:Choice Requires="wpg">
            <w:drawing>
              <wp:anchor distT="0" distB="0" distL="114300" distR="114300" simplePos="0" relativeHeight="251702272" behindDoc="0" locked="1" layoutInCell="1" allowOverlap="1">
                <wp:simplePos x="0" y="0"/>
                <wp:positionH relativeFrom="column">
                  <wp:posOffset>-570230</wp:posOffset>
                </wp:positionH>
                <wp:positionV relativeFrom="page">
                  <wp:posOffset>-572770</wp:posOffset>
                </wp:positionV>
                <wp:extent cx="3088640" cy="523240"/>
                <wp:effectExtent l="3175" t="0" r="13335" b="29210"/>
                <wp:wrapNone/>
                <wp:docPr id="84" name="组合 8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8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4.9pt;margin-top:-45.1pt;height:41.2pt;width:243.2pt;mso-position-vertical-relative:page;z-index:251702272;mso-width-relative:page;mso-height-relative:page;" coordorigin="4551,52615" coordsize="8546,1398" o:gfxdata="UEsDBAoAAAAAAIdO4kAAAAAAAAAAAAAAAAAEAAAAZHJzL1BLAwQUAAAACACHTuJA0fdYzNsAAAAK&#10;AQAADwAAAGRycy9kb3ducmV2LnhtbE2PQUvDQBCF74L/YRnBW7ubFmOSZlOkqKci2ArS2zSZJqHZ&#10;3ZDdJu2/dzzpbebN471v8vXVdGKkwbfOaojmCgTZ0lWtrTV87d9mCQgf0FbYOUsabuRhXdzf5ZhV&#10;brKfNO5CLTjE+gw1NCH0mZS+bMign7ueLN9ObjAYeB1qWQ04cbjp5EKpWBpsLTc02NOmofK8uxgN&#10;7xNOL8voddyeT5vbYf/08b2NSOvHh0itQAS6hj8z/OIzOhTMdHQXW3nRaZglKaMHHlK1AMGOZRrH&#10;II6sPCcgi1z+f6H4AVBLAwQUAAAACACHTuJA/VA28kQDAAA8CQAADgAAAGRycy9lMm9Eb2MueG1s&#10;7VbNbhMxEL4j8Q6W73R/kk02UZMqNKRCKrRSQZwdr/dH8trGdropZw4ceQMkbjwD4nEqXoOxd5Om&#10;oRItqDcUaWN7xvPzzTeze3i0rjm6ZNpUUkxwdBBixASVWSWKCX77ZvEsxchYIjLCpWATfMUMPpo+&#10;fXLYqDGLZSl5xjQCI8KMGzXBpbVqHASGlqwm5kAqJkCYS10TC1tdBJkmDViveRCH4SBopM6UlpQZ&#10;A6fzVog7i/o+BmWeV5TNJV3VTNjWqmacWEjJlJUyeOqjzXNG7VmeG2YRn2DI1PonOIH10j2D6SEZ&#10;F5qosqJdCOQ+IezlVJNKgNOtqTmxBK109ZupuqJaGpnbAyrroE3EIwJZROEeNidarpTPpRg3hdqC&#10;DoXaQ/2vzdLXl+caVdkEp32MBKmh4j+/f7z+/AnBAaDTqGIMSidaXahz3R0U7c4lvM517f4hFbT2&#10;uF5tcWVriygc9sI0HfQBcgqyJO7FsPbA0xKq4671kyTCyEsHUbIRvujup0l/0F6OeqPUSYON48DF&#10;tw2nUcBJcwOU+TegLkqimMffOAw2QEEsHVBfvl3/+IqingvJ+QalLUpmbACwOyC6K9cNUjuZRkOP&#10;wzZTMlba2BMma+QWE6yB3J5z5PLU2BaUjYpzaySvskXFud/oYnnMNbok0Ajzkfv5u3xVv5JZe5wm&#10;YegLAz5Nq++RvmWIC9RMcJz0QRVRAgMgh8aDZa2AREYUGBFewGShVnsPQroYfLlddHNiytadN9sV&#10;kwvw5BBsMXOrpcyuAHEt2541ii4quH9KjD0nGpoU/MMYs2fwyLmEoGS3wqiU+sNd504fKAFSjBpo&#10;egj4/YpohhF/KYAso6jvaGr9pp8MY9joXclyVyJW9bEEOIG5EJ1fOn3LN8tcy/odTLuZ8woiIij4&#10;bqHpNse2HUYwLymbzbwaTAZF7Km4UNQZd+UTcrayMq98mW/Q6UADyrf8e3zuD/e53w2Je3N/CBZ8&#10;n6ejbghsud+LYQS5ERFFsW+px+D+bB6G8byjnafgpkUezOxbt7uGaan9PBwOooWvnClJxtpT115/&#10;7K8H9YhdL9fd6PnfLg9rF//igJeqn3DdB4B7a+/ufXvdfPR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R91jM2wAAAAoBAAAPAAAAAAAAAAEAIAAAACIAAABkcnMvZG93bnJldi54bWxQSwECFAAU&#10;AAAACACHTuJA/VA28kQDAAA8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仿宋" w:hAnsi="仿宋" w:eastAsia="仿宋" w:cs="仿宋"/>
          <w:b w:val="0"/>
          <w:bCs w:val="0"/>
          <w:color w:val="000000"/>
          <w:kern w:val="0"/>
          <w:sz w:val="32"/>
          <w:szCs w:val="32"/>
          <w:lang w:bidi="ar"/>
        </w:rPr>
        <w:t>收入支出</w:t>
      </w:r>
      <w:r>
        <w:rPr>
          <w:rFonts w:hint="eastAsia" w:ascii="仿宋" w:hAnsi="仿宋" w:eastAsia="仿宋" w:cs="仿宋"/>
          <w:b w:val="0"/>
          <w:bCs w:val="0"/>
          <w:color w:val="000000"/>
          <w:kern w:val="0"/>
          <w:sz w:val="32"/>
          <w:szCs w:val="32"/>
          <w:lang w:eastAsia="zh-CN" w:bidi="ar"/>
        </w:rPr>
        <w:t>，</w:t>
      </w:r>
      <w:r>
        <w:rPr>
          <w:rFonts w:hint="eastAsia" w:ascii="仿宋" w:hAnsi="仿宋" w:eastAsia="仿宋" w:cs="仿宋"/>
          <w:b w:val="0"/>
          <w:bCs w:val="0"/>
          <w:color w:val="000000"/>
          <w:kern w:val="0"/>
          <w:sz w:val="32"/>
          <w:szCs w:val="32"/>
          <w:lang w:bidi="ar"/>
        </w:rPr>
        <w:t>国有资本经营预算财政拨</w:t>
      </w:r>
      <w:r>
        <w:rPr>
          <w:rFonts w:hint="eastAsia" w:ascii="仿宋" w:hAnsi="仿宋" w:eastAsia="仿宋" w:cs="仿宋"/>
          <w:b w:val="0"/>
          <w:bCs w:val="0"/>
          <w:sz w:val="32"/>
          <w:szCs w:val="32"/>
        </w:rPr>
        <mc:AlternateContent>
          <mc:Choice Requires="wpg">
            <w:drawing>
              <wp:anchor distT="0" distB="0" distL="114300" distR="114300" simplePos="0" relativeHeight="251703296" behindDoc="0" locked="1" layoutInCell="1" allowOverlap="1">
                <wp:simplePos x="0" y="0"/>
                <wp:positionH relativeFrom="column">
                  <wp:posOffset>-570230</wp:posOffset>
                </wp:positionH>
                <wp:positionV relativeFrom="page">
                  <wp:posOffset>-572770</wp:posOffset>
                </wp:positionV>
                <wp:extent cx="3088640" cy="523240"/>
                <wp:effectExtent l="3175" t="0" r="13335" b="29210"/>
                <wp:wrapNone/>
                <wp:docPr id="89" name="组合 8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9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4.9pt;margin-top:-45.1pt;height:41.2pt;width:243.2pt;mso-position-vertical-relative:page;z-index:251703296;mso-width-relative:page;mso-height-relative:page;" coordorigin="4551,52615" coordsize="8546,1398" o:gfxdata="UEsDBAoAAAAAAIdO4kAAAAAAAAAAAAAAAAAEAAAAZHJzL1BLAwQUAAAACACHTuJA0fdYzNsAAAAK&#10;AQAADwAAAGRycy9kb3ducmV2LnhtbE2PQUvDQBCF74L/YRnBW7ubFmOSZlOkqKci2ArS2zSZJqHZ&#10;3ZDdJu2/dzzpbebN471v8vXVdGKkwbfOaojmCgTZ0lWtrTV87d9mCQgf0FbYOUsabuRhXdzf5ZhV&#10;brKfNO5CLTjE+gw1NCH0mZS+bMign7ueLN9ObjAYeB1qWQ04cbjp5EKpWBpsLTc02NOmofK8uxgN&#10;7xNOL8voddyeT5vbYf/08b2NSOvHh0itQAS6hj8z/OIzOhTMdHQXW3nRaZglKaMHHlK1AMGOZRrH&#10;II6sPCcgi1z+f6H4AVBLAwQUAAAACACHTuJAJmVTy0IDAAA9CQAADgAAAGRycy9lMm9Eb2MueG1s&#10;7VbNbhMxEL4j8Q6W73R/8reJuqlCQyqkQisVxNnxen8kr21sp5ty5sCRN0DixjMgHqfiNRh7N2la&#10;KtGAekORNrZnPD/ffDO7h0frmqNLpk0lRYqjgxAjJqjMKlGk+O2bxbMEI2OJyAiXgqX4ihl8NH36&#10;5LBRExbLUvKMaQRGhJk0KsWltWoSBIaWrCbmQComQJhLXRMLW10EmSYNWK95EIfhMGikzpSWlBkD&#10;p/NWiDuL+iEGZZ5XlM0lXdVM2NaqZpxYSMmUlTJ46qPNc0btWZ4bZhFPMWRq/ROcwHrpnsH0kEwK&#10;TVRZ0S4E8pAQ7uRUk0qA062pObEErXT1m6m6oloamdsDKuugTcQjAllE4R1sTrRcKZ9LMWkKtQUd&#10;CnUH9b82S19fnmtUZSlOxhgJUkPFf37/eP35E4IDQKdRxQSUTrS6UOe6OyjanUt4neva/UMqaO1x&#10;vdriytYWUTjshUky7APkFGSDuBfD2gNPS6iOu9YfDCKMvHQYDTbCF939ZNAftpej3jhx0mDjOHDx&#10;bcNpFHDS3ABl/g2oi5Io5vE3DoMOqDEk0gH15dv1j68o6rmQnG9Q2qJkJgYAuwei+3LdILWTaTTy&#10;OGwzJROljT1hskZukWIN5PacI5enxragbFScWyN5lS0qzv1GF8tjrtElgUaYj93P3+Wr+pXM2uNk&#10;EIa+MODTtPoe6VuGuEBNiuNBH1QRJTAAcmg8WNYKSGREgRHhBUwWarX3IKSLwZfbRTcnpmzdebNd&#10;MbkATw7BFjO3WsrsChDXsu1Zo+iigvunxNhzoqFJwT+MMXsGj5xLCEp2K4xKqT/cd+70gRIgxaiB&#10;poeA36+IZhjxlwLIMo76jqbWb/qDUQwbvStZ7krEqj6WACcwF6LzS6dv+WaZa1m/g2k3c15BRAQF&#10;3y003ebYtsMI5iVls5lXg8mgiD0VF4o64658Qs5WVuaVL/MNOh1oQPmWf4/O/chV/Tb5+3uSfzTq&#10;Gj2BRvK02JK/F/e7No9i31OPQf7ZPAzjecc7z8FNj+xN7Vu3u45puf08HA2jhS+dKUnG2lPXX39s&#10;sL2axK6X6272/O+X/frFvzngrepHXPcF4F7bu3vfXzdfPd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0fdYzNsAAAAKAQAADwAAAAAAAAABACAAAAAiAAAAZHJzL2Rvd25yZXYueG1sUEsBAhQAFAAA&#10;AAgAh07iQCZlU8tCAwAAPQ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J+3cboAAADb&#10;AAAADwAAAGRycy9kb3ducmV2LnhtbEVPyW7CMBC9I/UfrKnUG9hBYmmK4YBART2VReI6xEMSEo8j&#10;22x/Xx8qcXx6+2zxsK24kQ+1Yw3ZQIEgLpypudRw2K/7UxAhIhtsHZOGJwVYzN96M8yNu/OWbrtY&#10;ihTCIUcNVYxdLmUoKrIYBq4jTtzZeYsxQV9K4/Gewm0rh0qNpcWaU0OFHS0rKprd1WpoDpPfWi2/&#10;L8efZjzyq+w0GfmT1h/vmfoCEekRX+J/98Zo+Ezr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n7dx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835yL0AAADc&#10;AAAADwAAAGRycy9kb3ducmV2LnhtbEWPT2/CMAzF75P2HSJP4jYSdoCqEJBAYuLIYGxXqzFtReNU&#10;Scqfbz8fkHaz9Z7f+3mxuvtOXSmmNrCFydiAIq6Ca7m28H3cvhegUkZ22AUmCw9KsFq+viywdOHG&#10;X3Q95FpJCKcSLTQ596XWqWrIYxqHnli0c4ges6yx1i7iTcJ9pz+MmWqPLUtDgz1tGqouh8FbmO7X&#10;m1Adi8+f+NuafRi2j2J2snb0NjFzUJnu+d/8vN45wTeCL8/IBH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zfnIvQAA&#10;ANw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仿宋" w:hAnsi="仿宋" w:eastAsia="仿宋" w:cs="仿宋"/>
          <w:b w:val="0"/>
          <w:bCs w:val="0"/>
          <w:color w:val="000000"/>
          <w:kern w:val="0"/>
          <w:sz w:val="32"/>
          <w:szCs w:val="32"/>
          <w:lang w:bidi="ar"/>
        </w:rPr>
        <w:t>款支出</w:t>
      </w:r>
      <w:r>
        <w:rPr>
          <w:rFonts w:hint="eastAsia" w:ascii="仿宋" w:hAnsi="仿宋" w:eastAsia="仿宋" w:cs="仿宋"/>
          <w:b w:val="0"/>
          <w:bCs w:val="0"/>
          <w:color w:val="000000"/>
          <w:kern w:val="0"/>
          <w:sz w:val="32"/>
          <w:szCs w:val="32"/>
          <w:lang w:eastAsia="zh-CN" w:bidi="ar"/>
        </w:rPr>
        <w:t>，</w:t>
      </w:r>
      <w:r>
        <w:rPr>
          <w:rFonts w:hint="eastAsia" w:ascii="仿宋" w:hAnsi="仿宋" w:eastAsia="仿宋" w:cs="仿宋"/>
          <w:b w:val="0"/>
          <w:bCs w:val="0"/>
          <w:color w:val="000000"/>
          <w:kern w:val="0"/>
          <w:sz w:val="32"/>
          <w:szCs w:val="32"/>
          <w:lang w:bidi="ar"/>
        </w:rPr>
        <w:t>政府采购</w:t>
      </w:r>
      <w:r>
        <w:rPr>
          <w:rFonts w:hint="eastAsia" w:ascii="仿宋" w:hAnsi="仿宋" w:eastAsia="仿宋" w:cs="仿宋"/>
          <w:b w:val="0"/>
          <w:bCs w:val="0"/>
          <w:sz w:val="32"/>
          <w:szCs w:val="32"/>
        </w:rPr>
        <mc:AlternateContent>
          <mc:Choice Requires="wpg">
            <w:drawing>
              <wp:anchor distT="0" distB="0" distL="114300" distR="114300" simplePos="0" relativeHeight="251704320" behindDoc="0" locked="1" layoutInCell="1" allowOverlap="1">
                <wp:simplePos x="0" y="0"/>
                <wp:positionH relativeFrom="column">
                  <wp:posOffset>-570230</wp:posOffset>
                </wp:positionH>
                <wp:positionV relativeFrom="page">
                  <wp:posOffset>-572770</wp:posOffset>
                </wp:positionV>
                <wp:extent cx="3088640" cy="523240"/>
                <wp:effectExtent l="3175" t="0" r="13335" b="29210"/>
                <wp:wrapNone/>
                <wp:docPr id="102" name="组合 10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0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4.9pt;margin-top:-45.1pt;height:41.2pt;width:243.2pt;mso-position-vertical-relative:page;z-index:251704320;mso-width-relative:page;mso-height-relative:page;" coordorigin="4551,52615" coordsize="8546,1398" o:gfxdata="UEsDBAoAAAAAAIdO4kAAAAAAAAAAAAAAAAAEAAAAZHJzL1BLAwQUAAAACACHTuJA0fdYzNsAAAAK&#10;AQAADwAAAGRycy9kb3ducmV2LnhtbE2PQUvDQBCF74L/YRnBW7ubFmOSZlOkqKci2ArS2zSZJqHZ&#10;3ZDdJu2/dzzpbebN471v8vXVdGKkwbfOaojmCgTZ0lWtrTV87d9mCQgf0FbYOUsabuRhXdzf5ZhV&#10;brKfNO5CLTjE+gw1NCH0mZS+bMign7ueLN9ObjAYeB1qWQ04cbjp5EKpWBpsLTc02NOmofK8uxgN&#10;7xNOL8voddyeT5vbYf/08b2NSOvHh0itQAS6hj8z/OIzOhTMdHQXW3nRaZglKaMHHlK1AMGOZRrH&#10;II6sPCcgi1z+f6H4AVBLAwQUAAAACACHTuJA9uX7WUADAABACQAADgAAAGRycy9lMm9Eb2MueG1s&#10;7VbNbhMxEL4j8Q6W73R/8h81qUJDKqRCKxXE2fF6fySvbWwnm3LmwJE3QOLGMyAep+I1GHs32zRU&#10;ogHBCUXa2J7x/Hzzzewen2xKjtZMm0KKCY6OQoyYoDIpRDbBr18tngwxMpaIhHAp2ARfM4NPpo8f&#10;HVdqzGKZS54wjcCIMONKTXBurRoHgaE5K4k5kooJEKZSl8TCVmdBokkF1ksexGHYDyqpE6UlZcbA&#10;6bwW4saifohBmaYFZXNJVyUTtraqGScWUjJ5oQye+mjTlFF7kaaGWcQnGDK1/glOYL10z2B6TMaZ&#10;JiovaBMCeUgIezmVpBDgtDU1J5aglS5+MlUWVEsjU3tEZRnUiXhEIIso3MPmTMuV8rlk4ypTLehQ&#10;qD3Uf9ssfbm+1KhIgAlhjJEgJZT8+9f3Nx8/IHcC+FQqG4PamVZX6lI3B1m9cylvUl26f0gGbTyy&#10;1y2ybGMRhcNOOBz2uwA6BVkv7sSw9tDTHOrjrnV7vQgjL+1Hva3wWXN/2Ov268tRZzR00mDrOHDx&#10;teFUClhpbqEyfwbVVU4U8xUwDoMWqk4L1acvN98+o6jjYnLOQauFyYwNIHYPRvclu4VqJ9Vo4IFo&#10;UyVjpY09Y7JEbjHBGvjtaUfW58bWqGxVnFsjeZEsCs79RmfLU67RmkAvzEfu5+/yVflCJvXxsBeG&#10;vjLg09T6Huo7hrhA1QTHvS6oIkpgBqTQe7AsFfDIiAwjwjMYLtRq70FIF4Ovt4tuTkxeu/Nmm2py&#10;AZ4cgjVmbrWUyTVArmXdtkbRRQH3z4mxl0RDn4J/mGT2Ah4plxCUbFYY5VK/u+/c6QMnQIpRBX0P&#10;Ab9dEc0w4s8FsGUUdR1Prd90e4MYNnpXstyViFV5KgFOoC5E55dO3/LtMtWyfAMDb+a8gogICr5r&#10;aJrNqa3nEYxMymYzrwbDQRF7Lq4UdcZd+YScraxMC1/mW3Qa0IDzNf/+Afm7++TvHkj+waDp9OGo&#10;GQMt+TsxWHdDIopi31N/g/yzeRjG84Z3noPbHjmY2nduNx1Tc/tpOOhHC186k5OE1aeuv37ZYAc1&#10;id0sN83s+d8vh/WLf3XAi9WPuOYjwL25d/e+v24/fKY/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NH3WMzbAAAACgEAAA8AAAAAAAAAAQAgAAAAIgAAAGRycy9kb3ducmV2LnhtbFBLAQIUABQAAAAI&#10;AIdO4kD25ftZQAMAAEA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ymA1K7wAAADc&#10;AAAADwAAAGRycy9kb3ducmV2LnhtbEVPS2sCMRC+C/6HMEJvmmyLD1ajB7FYerJW8Dpuxt11N5Ml&#10;iY/++0Yo9DYf33MWq4dtxY18qB1ryEYKBHHhTM2lhsP3+3AGIkRkg61j0vBDAVbLfm+BuXF3/qLb&#10;PpYihXDIUUMVY5dLGYqKLIaR64gTd3beYkzQl9J4vKdw28pXpSbSYs2pocKO1hUVzf5qNTSH6a5W&#10;6+3l+NlMxn6TnaZjf9L6ZZCpOYhIj/gv/nN/mDRfvcHzmXSB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gNSu8AAAA&#10;3AAAAA8AAAAAAAAAAQAgAAAAIgAAAGRycy9kb3ducmV2LnhtbFBLAQIUABQAAAAIAIdO4kAzLwWe&#10;OwAAADkAAAAQAAAAAAAAAAEAIAAAAAsBAABkcnMvc2hhcGV4bWwueG1sUEsFBgAAAAAGAAYAWwEA&#10;ALU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Pb/y7kAAADc&#10;AAAADwAAAGRycy9kb3ducmV2LnhtbEVPS4vCMBC+C/sfwix4s4mLaOkahRUUj7529zo0Y1tsJiWJ&#10;r39vBMHbfHzPmc5vthUX8qFxrGGYKRDEpTMNVxoO++UgBxEissHWMWm4U4D57KM3xcK4K2/psouV&#10;SCEcCtRQx9gVUoayJoshcx1x4o7OW4wJ+koaj9cUblv5pdRYWmw4NdTY0aKm8rQ7Ww3jzc/Clft8&#10;9ef/G7Vx5+U9n/xq3f8cqm8QkW7xLX651ybNVyN4PpMukL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j2/8u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仿宋_GB2312" w:eastAsia="仿宋_GB2312" w:cs="DengXian-Regular"/>
          <w:sz w:val="32"/>
          <w:szCs w:val="32"/>
        </w:rPr>
        <w:t>收支及结转结余，故</w:t>
      </w:r>
      <w:r>
        <w:rPr>
          <w:rFonts w:hint="eastAsia" w:ascii="仿宋" w:hAnsi="仿宋" w:eastAsia="仿宋" w:cs="仿宋"/>
          <w:b w:val="0"/>
          <w:bCs w:val="0"/>
          <w:color w:val="000000"/>
          <w:kern w:val="0"/>
          <w:sz w:val="32"/>
          <w:szCs w:val="32"/>
          <w:lang w:bidi="ar"/>
        </w:rPr>
        <w:t>政府性基金预算财政拨款</w:t>
      </w:r>
      <w:r>
        <w:rPr>
          <w:rFonts w:hint="eastAsia" w:ascii="仿宋" w:hAnsi="仿宋" w:eastAsia="仿宋" w:cs="仿宋"/>
          <w:b w:val="0"/>
          <w:bCs w:val="0"/>
          <w:sz w:val="32"/>
          <w:szCs w:val="32"/>
        </w:rPr>
        <mc:AlternateContent>
          <mc:Choice Requires="wpg">
            <w:drawing>
              <wp:anchor distT="0" distB="0" distL="114300" distR="114300" simplePos="0" relativeHeight="25169920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1" name="组合 4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9920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BirC5s/AwAAPAkAAA4AAABkcnMvZTJvRG9jLnht&#10;bO1WzW4TMRC+I/EOlu90f7L5VZMqNKRCKrRSQZwdr/dH8trGdrIpZw4ceQMkbjwD4nEqXoOxd5Om&#10;oRINqDcUaWN7xvPzzTeze3yyrjhaMW1KKcY4OgoxYoLKtBT5GL99M382wMhYIlLCpWBjfM0MPpk8&#10;fXJcqxGLZSF5yjQCI8KMajXGhbVqFASGFqwi5kgqJkCYSV0RC1udB6kmNViveBCHYS+opU6VlpQZ&#10;A6ezRohbi/ohBmWWlZTNJF1WTNjGqmacWEjJFKUyeOKjzTJG7UWWGWYRH2PI1PonOIH1wj2DyTEZ&#10;5ZqooqRtCOQhIezlVJFSgNOtqRmxBC11+ZupqqRaGpnZIyqroEnEIwJZROEeNmdaLpXPJR/VudqC&#10;DoXaQ/2vzdLXq0uNynSMkwgjQSqo+M/vH28+f0JwAOjUKh+B0plWV+pStwd5s3MJrzNduX9IBa09&#10;rtdbXNnaIgqHnXAw6CUAOQVZN+7EsPbA0wKq464l3S6499Je1N0IX7T3B92k11yOOsOBkwYbx4GL&#10;bxtOrYCT5hYo829AXRVEMY+/cRhsgIq3QH35dvPjK4o6LiTnG5S2KJmRAcDugei+XDdI7WQa9T0O&#10;20zJSGljz5iskFuMsQZye86R1bmxDSgbFefWSF6m85Jzv9H54pRrtCLQCLOh+/m7fFm9kmlzPOiG&#10;oS8M+DSNvkf6jiEuUD3GcTcBVUQJDIAMGg+WlQISGZFjRHgOk4Va7T0I6WLw5XbRzYgpGnfebFtM&#10;LsCTQ7DBzK0WMr0GxLVsetYoOi/h/jkx9pJoaFLwD2PMXsAj4xKCku0Ko0LqD/edO32gBEgxqqHp&#10;IeD3S6IZRvylALIMo8TR1PpN0u3HsNG7ksWuRCyrUwlwAnMhOr90+pZvlpmW1TuYdlPnFUREUPDd&#10;QNNuTm0zjGBeUjadejWYDIrYc3GlqDPuyifkdGllVvoy36LTggaUb/j36NzvJfvcTw7kfr/f9vlg&#10;2A6BLfc7MVh3IyKKYt9Sj8H96SwM41lLO0/BTYsczOw7t9uGaaj9POz3ormvnClIyppT115/7K+D&#10;esSuF+t29Pxvl8Paxb844KXqJ1z7AeDe2rt73163Hz2T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yaUsrcAAAADQEAAA8AAAAAAAAAAQAgAAAAIgAAAGRycy9kb3ducmV2LnhtbFBLAQIUABQAAAAI&#10;AIdO4kAYqwubPwMAADwJAAAOAAAAAAAAAAEAIAAAACs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YWGg2r4AAADb&#10;AAAADwAAAGRycy9kb3ducmV2LnhtbEWPzWsCMRTE74X+D+EVvNVkxY+yNXoQpcWTX+D1uXnd3e7m&#10;ZUlStf+9EQSPw8z8hpnOr7YVZ/Khdqwh6ysQxIUzNZcaDvvV+weIEJENto5Jwz8FmM9eX6aYG3fh&#10;LZ13sRQJwiFHDVWMXS5lKCqyGPquI07ej/MWY5K+lMbjJcFtKwdKjaXFmtNChR0tKiqa3Z/V0Bwm&#10;m1otvn6P62Y88svsNBn5k9a9t0x9goh0jc/wo/1tNAwH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Gg2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9iFY7sAAADb&#10;AAAADwAAAGRycy9kb3ducmV2LnhtbEWPS4sCMRCE78L+h9AL3pzER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9iFY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仿宋" w:hAnsi="仿宋" w:eastAsia="仿宋" w:cs="仿宋"/>
          <w:b w:val="0"/>
          <w:bCs w:val="0"/>
          <w:color w:val="000000"/>
          <w:kern w:val="0"/>
          <w:sz w:val="32"/>
          <w:szCs w:val="32"/>
          <w:lang w:bidi="ar"/>
        </w:rPr>
        <w:t>收入支出决算表</w:t>
      </w:r>
      <w:r>
        <w:rPr>
          <w:rFonts w:hint="eastAsia" w:ascii="仿宋" w:hAnsi="仿宋" w:eastAsia="仿宋" w:cs="仿宋"/>
          <w:b w:val="0"/>
          <w:bCs w:val="0"/>
          <w:color w:val="000000"/>
          <w:kern w:val="0"/>
          <w:sz w:val="32"/>
          <w:szCs w:val="32"/>
          <w:lang w:eastAsia="zh-CN" w:bidi="ar"/>
        </w:rPr>
        <w:t>，</w:t>
      </w:r>
      <w:r>
        <w:rPr>
          <w:rFonts w:hint="eastAsia" w:ascii="仿宋" w:hAnsi="仿宋" w:eastAsia="仿宋" w:cs="仿宋"/>
          <w:b w:val="0"/>
          <w:bCs w:val="0"/>
          <w:color w:val="000000"/>
          <w:kern w:val="0"/>
          <w:sz w:val="32"/>
          <w:szCs w:val="32"/>
          <w:lang w:bidi="ar"/>
        </w:rPr>
        <w:t>国有资本经营预算财政拨</w:t>
      </w:r>
      <w:r>
        <w:rPr>
          <w:rFonts w:hint="eastAsia" w:ascii="仿宋" w:hAnsi="仿宋" w:eastAsia="仿宋" w:cs="仿宋"/>
          <w:b w:val="0"/>
          <w:bCs w:val="0"/>
          <w:sz w:val="32"/>
          <w:szCs w:val="32"/>
        </w:rPr>
        <mc:AlternateContent>
          <mc:Choice Requires="wpg">
            <w:drawing>
              <wp:anchor distT="0" distB="0" distL="114300" distR="114300" simplePos="0" relativeHeight="251700224" behindDoc="0" locked="1" layoutInCell="1" allowOverlap="1">
                <wp:simplePos x="0" y="0"/>
                <wp:positionH relativeFrom="column">
                  <wp:posOffset>-875030</wp:posOffset>
                </wp:positionH>
                <wp:positionV relativeFrom="page">
                  <wp:posOffset>-877570</wp:posOffset>
                </wp:positionV>
                <wp:extent cx="3088640" cy="523240"/>
                <wp:effectExtent l="3175" t="0" r="13335" b="29210"/>
                <wp:wrapNone/>
                <wp:docPr id="67" name="组合 67"/>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6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8.9pt;margin-top:-69.1pt;height:41.2pt;width:243.2pt;mso-position-vertical-relative:page;z-index:251700224;mso-width-relative:page;mso-height-relative:page;" coordorigin="4551,52615" coordsize="8546,1398" o:gfxdata="UEsDBAoAAAAAAIdO4kAAAAAAAAAAAAAAAAAEAAAAZHJzL1BLAwQUAAAACACHTuJAwpyCB9wAAAAN&#10;AQAADwAAAGRycy9kb3ducmV2LnhtbE2PQUvDQBCF74L/YRnBW7vZxtQQsylS1FMR2gribZpMk9Ds&#10;bMhuk/bfu3rR28ybx3vf5KuL6cRIg2sta1DzCARxaauWaw0f+9dZCsJ55Ao7y6ThSg5Wxe1Njlll&#10;J97SuPO1CCHsMtTQeN9nUrqyIYNubnvicDvawaAP61DLasAphJtOLqJoKQ22HBoa7GndUHnanY2G&#10;twmn51i9jJvTcX392ifvnxtFWt/fqegJhKeL/zPDD35AhyIwHeyZKyc6DTMVPwZ2/zulCxDBEz+k&#10;SxCHICVJCrLI5f8vim9QSwMEFAAAAAgAh07iQAiEO45AAwAAPAkAAA4AAABkcnMvZTJvRG9jLnht&#10;bO1WzW4TMRC+I/EOlu90f/IfdVOFhlRIhVYqiLPj9f5IXtvYTjblzIEjb4DEjWdAPE7FazD2btI0&#10;VKIB9YYibWzPeH6++WZ2j0/WFUcrpk0pRYKjoxAjJqhMS5En+O2b+bMhRsYSkRIuBUvwNTP4ZPL0&#10;yXGtxiyWheQp0wiMCDOuVYILa9U4CAwtWEXMkVRMgDCTuiIWtjoPUk1qsF7xIA7DflBLnSotKTMG&#10;TmeNELcW9UMMyiwrKZtJuqyYsI1VzTixkJIpSmXwxEebZYzaiywzzCKeYMjU+ic4gfXCPYPJMRnn&#10;mqiipG0I5CEh7OVUkVKA062pGbEELXX5m6mqpFoamdkjKqugScQjAllE4R42Z1oulc8lH9e52oIO&#10;hdpD/a/N0terS43KNMH9AUaCVFDxn98/3nz+hOAA0KlVPgalM62u1KVuD/Jm5xJeZ7py/5AKWntc&#10;r7e4srVFFA474XDY7wLkFGS9uBPD2gNPC6iOu9bt9SKMvLQf9TbCF+39Ya/bby5HndHQSYON48DF&#10;tw2nVsBJcwuU+TegrgqimMffOAw2QEGDtEB9+Xbz4yuKOi4k5xuUtiiZsQHA7oHovlw3SO1kGg08&#10;DttMyVhpY8+YrJBbJFgDuT3nyOrc2AaUjYpzayQv03nJud/ofHHKNVoRaITZyP38Xb6sXsm0OR72&#10;wtAXBnyaRt8jfccQF6hOcNzrgiqiBAZABo0Hy0oBiYzIMSI8h8lCrfYehHQx+HK76GbEFI07b7Yt&#10;JhfgySHYYOZWC5leA+JaNj1rFJ2XcP+cGHtJNDQp+IcxZi/gkXEJQcl2hVEh9Yf7zp0+UAKkGNXQ&#10;9BDw+yXRDCP+UgBZRlHX0dT6Tbc3iGGjdyWLXYlYVqcS4ATmQnR+6fQt3ywzLat3MO2mziuIiKDg&#10;u4Gm3ZzaZhjBvKRsOvVqMBkUsefiSlFn3JVPyOnSyqz0Zb5FpwUNKN/w7/G5P9rnfvdA7g9gzPg+&#10;H47aIbDlfifutl0exb6lHoP701kYxrOWdp6CmxY5mNl3brcN01D7eTjoR3NfOVOQlDWnrr3+2F8H&#10;9YhdL9bt6PnfLoe1i39xwEvVT7j2A8C9tXf3vr1uP3om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DCnIIH3AAAAA0BAAAPAAAAAAAAAAEAIAAAACIAAABkcnMvZG93bnJldi54bWxQSwECFAAUAAAA&#10;CACHTuJACIQ7jkADAAA8CQAADgAAAAAAAAABACAAAAArAQAAZHJzL2Uyb0RvYy54bWxQSwUGAAAA&#10;AAYABgBZAQAA3Q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SzzLULoAAADb&#10;AAAADwAAAGRycy9kb3ducmV2LnhtbEVPu27CMBTdK/EP1kViK3YqEaqAYUCgIiZKkVgv8SUJia8j&#10;2zz69/WA1PHovOfLp+3EnXxoHGvIxgoEcelMw5WG48/m/RNEiMgGO8ek4ZcCLBeDtzkWxj34m+6H&#10;WIkUwqFADXWMfSFlKGuyGMauJ07cxXmLMUFfSePxkcJtJz+UyqXFhlNDjT2tairbw81qaI/TfaNW&#10;X9fTrs0nfp2dpxN/1no0zNQMRKRn/Be/3FujIU9j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PMtQ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dkq/bwAAADb&#10;AAAADwAAAGRycy9kb3ducmV2LnhtbEWPQWvCQBSE7wX/w/KE3uquHtI0dRUUlB6tWr0+sq9JMPs2&#10;7K6J+ffdQqHHYeabYZbrh21FTz40jjXMZwoEcelMw5WG82n3koMIEdlg65g0jBRgvZo8LbEwbuBP&#10;6o+xEqmEQ4Ea6hi7QspQ1mQxzFxHnLxv5y3GJH0ljcchldtWLpTKpMWG00KNHW1rKm/Hu9WQHTZb&#10;V57y/cVfG3Vw992Yv35p/Tydq3cQkR7xP/xHf5jEvcHvl/QD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ZKv2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仿宋" w:hAnsi="仿宋" w:eastAsia="仿宋" w:cs="仿宋"/>
          <w:b w:val="0"/>
          <w:bCs w:val="0"/>
          <w:color w:val="000000"/>
          <w:kern w:val="0"/>
          <w:sz w:val="32"/>
          <w:szCs w:val="32"/>
          <w:lang w:bidi="ar"/>
        </w:rPr>
        <w:t>款支出决算表政府采购</w:t>
      </w:r>
      <w:r>
        <w:rPr>
          <w:rFonts w:hint="eastAsia" w:ascii="仿宋" w:hAnsi="仿宋" w:eastAsia="仿宋" w:cs="仿宋"/>
          <w:b w:val="0"/>
          <w:bCs w:val="0"/>
          <w:sz w:val="32"/>
          <w:szCs w:val="32"/>
        </w:rPr>
        <mc:AlternateContent>
          <mc:Choice Requires="wpg">
            <w:drawing>
              <wp:anchor distT="0" distB="0" distL="114300" distR="114300" simplePos="0" relativeHeight="251701248" behindDoc="0" locked="1" layoutInCell="1" allowOverlap="1">
                <wp:simplePos x="0" y="0"/>
                <wp:positionH relativeFrom="column">
                  <wp:posOffset>-722630</wp:posOffset>
                </wp:positionH>
                <wp:positionV relativeFrom="page">
                  <wp:posOffset>-725170</wp:posOffset>
                </wp:positionV>
                <wp:extent cx="3088640" cy="523240"/>
                <wp:effectExtent l="3175" t="0" r="13335" b="29210"/>
                <wp:wrapNone/>
                <wp:docPr id="74" name="组合 7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7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6.9pt;margin-top:-57.1pt;height:41.2pt;width:243.2pt;mso-position-vertical-relative:page;z-index:251701248;mso-width-relative:page;mso-height-relative:page;" coordorigin="4551,52615" coordsize="8546,1398" o:gfxdata="UEsDBAoAAAAAAIdO4kAAAAAAAAAAAAAAAAAEAAAAZHJzL1BLAwQUAAAACACHTuJAN9vl0dwAAAAN&#10;AQAADwAAAGRycy9kb3ducmV2LnhtbE2PQU/DMAyF70j8h8hI3LY0LYypNJ3QBJwmJDYkxM1rvLZa&#10;k1RN1m7/HsMFbvbz03ufi9XZdmKkIbTeaVDzBAS5ypvW1Ro+di+zJYgQ0RnsvCMNFwqwKq+vCsyN&#10;n9w7jdtYCw5xIUcNTYx9LmWoGrIY5r4nx7eDHyxGXodamgEnDredTJNkIS22jhsa7GndUHXcnqyG&#10;1wmnp0w9j5vjYX352t2/fW4UaX17o5JHEJHO8c8MP/iMDiUz7f3JmSA6DTOlMmaPv9NdCoI92UO6&#10;ALFnKVNLkGUh/39RfgNQSwMEFAAAAAgAh07iQHRp8HdDAwAAPAkAAA4AAABkcnMvZTJvRG9jLnht&#10;bO1WzW4TMRC+I/EOlu90f5LNn7qpQkMqpEIrFcTZ8Xp/JK9tbKebcubAkTdA4sYzIB6n4jUYezdp&#10;GirRgnpDkTa2Zzw/33wzu4dH65qjS6ZNJUWKo4MQIyaozCpRpPjtm8WzEUbGEpERLgVL8RUz+Gj6&#10;9MlhoyYslqXkGdMIjAgzaVSKS2vVJAgMLVlNzIFUTIAwl7omFra6CDJNGrBe8yAOw0HQSJ0pLSkz&#10;Bk7nrRB3FvV9DMo8ryibS7qqmbCtVc04sZCSKStl8NRHm+eM2rM8N8winmLI1PonOIH10j2D6SGZ&#10;FJqosqJdCOQ+IezlVJNKgNOtqTmxBK109ZupuqJaGpnbAyrroE3EIwJZROEeNidarpTPpZg0hdqC&#10;DoXaQ/2vzdLXl+caVVmKh32MBKmh4j+/f7z+/AnBAaDTqGICSidaXahz3R0U7c4lvM517f4hFbT2&#10;uF5tcWVriygc9sLRaNAHyCnIkrgXw9oDT0uojrvWT5IIIy8dRMlG+KK7P0r6g/Zy1BuPnDTYOA5c&#10;fNtwGgWcNDdAmX8D6qIkinn8jcNgA1SyBerLt+sfX1HUcyE536C0RclMDAB2B0R35bpBaifTaOhx&#10;2GZKJkobe8JkjdwixRrI7TlHLk+NbUHZqDi3RvIqW1Sc+40ulsdco0sCjTAfu5+/y1f1K5m1x6Mk&#10;DH1hwKdp9T3StwxxgZoUx0kfVBElMAByaDxY1gpIZESBEeEFTBZqtfcgpIvBl9tFNyembN15s10x&#10;uQBPDsEWM7dayuwKENey7Vmj6KKC+6fE2HOioUnBP4wxewaPnEsISnYrjEqpP9x17vSBEiDFqIGm&#10;h4Dfr4hmGPGXAsgyjvqOptZv+skwho3elSx3JWJVH0uAE5gL0fml07d8s8y1rN/BtJs5ryAigoLv&#10;Fppuc2zbYQTzkrLZzKvBZFDEnooLRZ1xVz4hZysr88qX+QadDjSgfMu/R+f+qLfP/W5I3Jv7w2HX&#10;56NxNwS23O/FMILciIii2LfUY3B/Ng/DeN7RzlNw0yIPZvat213DtNR+Hg4H0cJXzpQkY+2pa68/&#10;9teDesSul+tu9Pxvl4e1i39xwEvVT7juA8C9tXf3vr1uPnqm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32+XR3AAAAA0BAAAPAAAAAAAAAAEAIAAAACIAAABkcnMvZG93bnJldi54bWxQSwECFAAU&#10;AAAACACHTuJAdGnwd0MDAAA8CQAADgAAAAAAAAABACAAAAAr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IOTyE74AAADb&#10;AAAADwAAAGRycy9kb3ducmV2LnhtbEWPT2sCMRTE70K/Q3hCb5qssG7ZGj1IpcVTq0Kvz83r7rqb&#10;lyVJ/fPtm4LgcZiZ3zCL1dX24kw+tI41ZFMFgrhypuVaw2G/mbyACBHZYO+YNNwowGr5NFpgadyF&#10;v+i8i7VIEA4lamhiHEopQ9WQxTB1A3Hyfpy3GJP0tTQeLwluezlTai4ttpwWGhxo3VDV7X6thu5Q&#10;fLZq/X763nbz3L9lxyL3R62fx5l6BRHpGh/he/vDaChy+P+Sf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TyE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D377bsAAADb&#10;AAAADwAAAGRycy9kb3ducmV2LnhtbEWPS4sCMRCE78L+h9AL3pzEF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D377b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仿宋" w:hAnsi="仿宋" w:eastAsia="仿宋" w:cs="仿宋"/>
          <w:b w:val="0"/>
          <w:bCs w:val="0"/>
          <w:color w:val="000000"/>
          <w:kern w:val="0"/>
          <w:sz w:val="32"/>
          <w:szCs w:val="32"/>
          <w:lang w:bidi="ar"/>
        </w:rPr>
        <w:t>情况表</w:t>
      </w:r>
      <w:r>
        <w:rPr>
          <w:rFonts w:hint="eastAsia" w:ascii="仿宋" w:hAnsi="仿宋" w:eastAsia="仿宋" w:cs="仿宋"/>
          <w:b w:val="0"/>
          <w:bCs w:val="0"/>
          <w:color w:val="000000"/>
          <w:kern w:val="0"/>
          <w:sz w:val="32"/>
          <w:szCs w:val="32"/>
          <w:lang w:eastAsia="zh-CN" w:bidi="ar"/>
        </w:rPr>
        <w:t>，</w:t>
      </w:r>
      <w:r>
        <w:rPr>
          <w:rFonts w:hint="eastAsia" w:ascii="仿宋_GB2312" w:eastAsia="仿宋_GB2312" w:cs="DengXian-Regular"/>
          <w:sz w:val="32"/>
          <w:szCs w:val="32"/>
        </w:rPr>
        <w:t>表以空表列示</w:t>
      </w:r>
      <w:r>
        <w:rPr>
          <w:rFonts w:hint="eastAsia" w:ascii="仿宋_GB2312" w:eastAsia="仿宋_GB2312" w:cs="DengXian-Regular"/>
          <w:sz w:val="32"/>
          <w:szCs w:val="32"/>
          <w:lang w:eastAsia="zh-CN"/>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8486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91"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486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z6gAj4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LMFIkBZu/Nvnt1/fv0OwAOh0qprDpmOtztSp7heqMHMFb0vdun8oBW09&#10;rhcDrmxrEYXF0XQ0ymY5RhRseT5NxnkAntZwO+5YlucQ3lnTcTIYH/fnp3k2DoeT0Wzqjka7wJHL&#10;b0inU8BJcwmU+TOgzmqimMffOAx2QKUDUB8+ff3yESWjAJTfNKBk5gYAuwGim2rdIXWl0mTicRgq&#10;JXOljT1mskVusMAayO05R85PjA2g7La4sEbypjhqOPcTXa0PuUbnBISwmrmfP8s37VNZhOVpHsde&#10;ERDThP0e6R8ccYG6BU7zDLYiSqABlCA8GLYKSGREhRHhFXQWarWPIKTLAdILBayIqUM477a/TC4g&#10;kru9gJkbrWVxAYhrGTRrFD1qoO4TYuwp0SBSiA9tzD6HR8klJCX7EUa11G9uWnf7gRJgxagD0UPC&#10;rzdEM4z4EwFkmSVZ5rqEn2T5JIWJvmpZX7WITXsoAU5gLmTnh26/5bthqWX7Crrd0kUFExEUYgdo&#10;+smhDc0I+iVly6XfBp1BEXsizhR1zh1yQi43VpaNv+ZLdHrQgPJOqP+C+6Pr3M/uyP3JpNf5dNZ3&#10;34H7ozTrVZ6kXlJ/g/vLVRynq552noI7idyZ2T+c7gUTqP0onoyTI39zpiYFC6tOXr/Ul1PwrTVi&#10;t+utb8n/5XJXufgXB7xUfYfrPwDcW/vq3Mvr8qPn4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S&#10;fsrO2wAAAAsBAAAPAAAAAAAAAAEAIAAAACIAAABkcnMvZG93bnJldi54bWxQSwECFAAUAAAACACH&#10;TuJAvz6gAj4DAAA8CQAADgAAAAAAAAABACAAAAAq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0wAiT4CAABp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uNhBDEUG6XQr/o9spWptgDmzDAb3vKrFsmvmQ+3zGEYUDDWJdzgqKVBErOXKGmM+/Yv&#10;ffRHj2ClpMNwldR/XTMnKJEfNLr3dnQaeQjpcjqeFLi4x5bVY4teqwuD+R1hMS1PYvQP8iDWzqgv&#10;2KpFzAoT0xy5SxoO4kUYRh5bycVikZwwf5aFa720PIYe6Fysg6nbxHSkaeBmzx4mMDVgvy1xxB/f&#10;k9fDH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lmnozeAAAADQEAAA8AAAAAAAAAAQAgAAAA&#10;IgAAAGRycy9kb3ducmV2LnhtbFBLAQIUABQAAAAIAIdO4kAzTACJPgIAAGkEAAAOAAAAAAAAAAEA&#10;IAAAAC0BAABkcnMvZTJvRG9jLnhtbFBLBQYAAAAABgAGAFkBAADd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v:textbox>
              </v:shape>
            </w:pict>
          </mc:Fallback>
        </mc:AlternateConten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6950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6950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7ZytUMDAABA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TkwIR1jJEgDV/796/vLjx+QWwF8WlVOYNuxVufqTHcLZZi5kjeFbtw/FIM2&#10;HtmLHbJsYxGFxX5/0M/GGUYUbFk2SgZZgJ5WcD/uWJplCUbO2hskO+Oz7vwoSwfhcNIfj9zRaBs4&#10;cvnt0mkVsNJcQWX+DKrziijmb8A4DLZQZUCfDqpPXy6/fUZJPyDld+1gMhMDiN2B0V3FbqG6Vmoy&#10;9EDsSiUTpY09ZrJBbjDFGvjtaUfWJ8YGVLZbXFgjeZ0vas79RJfLI67RmoAW5mP382f5qnkh87A8&#10;yuLYiwJimrDfQ33DEReoneJelsJWRAn0gAK0B8NGAY+MKDEivITmQq32EYR0OUB6oYA5MVUI5912&#10;t8kFRHLXFzBzo6XMLwByLYNsjaKLGuo+IcaeEQ06hfjQyewpPAouISnZjTCqpH5317rbD5wAK0Yt&#10;6B4SfrsimmHEnwtgyzhJU3Br/STNhj2Y6OuW5XWLWDVHEuAE6kJ2fuj2W74dFlo2b6DhzVxUMBFB&#10;IXaAppsc2dCPoGVSNpv5bdAcFLEn4lxR59whJ+RsZWVR+2u+QqcDDTjvlPpPyA/F3iR/+kDyD4ed&#10;0kfjrgPvyN/vpZ3Ok57X1N8g/2wex715xzvPwa1GHkztG6c7xQRuP42Hg2Thr85UJGdh1enrlwJz&#10;Er63SOxmufFN+b9eHqoX/+qAF6tvcd1HgHtzX597fV19+Bz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WM/JvbAAAACwEAAA8AAAAAAAAAAQAgAAAAIgAAAGRycy9kb3ducmV2LnhtbFBLAQIUABQA&#10;AAAIAIdO4kDjtnK1QwMAAEA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8998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8998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PpMwUUDAAA8CQAADgAAAGRycy9lMm9Eb2MueG1s&#10;7VbLbhMxFN0j8Q+W93RmkkxealKFhlRIhVYqiLXj8Twkj21sp5OyZsGSP0BixzcgPqfiN7i2J2la&#10;KpGCYIUiTWxf+z6Oz7kzh0frmqNLpk0lxQQnBzFGTFCZVaKY4NevFk+GGBlLREa4FGyCr5jBR9PH&#10;jw4bNWYdWUqeMY3AiTDjRk1waa0aR5GhJauJOZCKCTDmUtfEwlQXUaZJA95rHnXiuB81UmdKS8qM&#10;gdV5MOLWo97HoczzirK5pKuaCRu8asaJhZJMWSmDpz7bPGfUnuW5YRbxCYZKrX9CEBgv3TOaHpJx&#10;oYkqK9qmQPZJ4U5NNakEBN26mhNL0EpXP7mqK6qlkbk9oLKOQiEeEagiie9gc6LlSvlainFTqC3o&#10;cFF3UP9tt/Tl5blGVTbBox5GgtRw49+/vr/++AHBAqDTqGIMm060ulDnul0owswVvM517f6hFLT2&#10;uF5tcWVriygsdrv9bjpKMaJgS9Nh0k8D8LSE23HHemmaYOSsnX6yNT5rzw/TXj8cTrqjoTsabQJH&#10;Lr9tOo0CTpoboMyfAXVREsU8/sZhsAEKCmmB+vTl+ttnlHQDUH7TFiUzNgDYPRDdV+sGqZ1Kk4HH&#10;YVspGStt7AmTNXKDCdZAbs85cnlqbABls8WFNZJX2aLi3E90sTzmGl0SEMJ85H7+LF/VL2QWlodp&#10;HHtFQEwT9nukbzniAjUT3El7sBVRAg0gB+HBsFZAIiMKjAgvoLNQq30EIV0OkF4oYE5MGcJ5t+1l&#10;cgGR3O0FzNxoKbMrQFzLoFmj6KKCuk+JsedEg0ghPrQxewaPnEtISrYjjEqp39237vYDJcCKUQOi&#10;h4TfrohmGPHnAsgySno91yX8pJcOOjDRu5blrkWs6mMJcAJzITs/dPst3wxzLes30O1mLiqYiKAQ&#10;O0DTTo5taEbQLymbzfw26AyK2FNxoahz7pATcrayMq/8Nd+g04IGlHdC/RfcBx3e5n7bJPbm/mDQ&#10;6nw4arvvlvvdDrQg1yKSpOMl9Te4P5vHcWfe0s5TcCORBzP71ulWMIHaT+NBP1n4mzMlyVhYdfL6&#10;pb6cgvfWiF0v174l/5fLQ+XiXxzwUvUdrv0AcG/t3bmX181Hz/Q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Yz8m9sAAAALAQAADwAAAAAAAAABACAAAAAiAAAAZHJzL2Rvd25yZXYueG1sUEsBAhQA&#10;FAAAAAgAh07iQGz6TMFFAwAAPAkAAA4AAAAAAAAAAQAgAAAAKg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9100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9100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q3vbOEIDAAA8CQAADgAAAGRycy9lMm9Eb2MueG1s&#10;7VbLbhMxFN0j8Q+W93RmkkxealKFhlRIhVYqiLXj8Twkj21sp5OyZsGSP0BixzcgPqfiN7i2J2ka&#10;KtGCYIUiTWxf+z6Oz7kzh0frmqNLpk0lxQQnBzFGTFCZVaKY4NevFk+GGBlLREa4FGyCr5jBR9PH&#10;jw4bNWYdWUqeMY3AiTDjRk1waa0aR5GhJauJOZCKCTDmUtfEwlQXUaZJA95rHnXiuB81UmdKS8qM&#10;gdV5MOLWo76PQ5nnFWVzSVc1EzZ41YwTCyWZslIGT322ec6oPctzwyziEwyVWv+EIDBeumc0PSTj&#10;QhNVVrRNgdwnhb2aalIJCLp1NSeWoJWufnJVV1RLI3N7QGUdhUI8IlBFEu9hc6LlSvlainFTqC3o&#10;cFF7qP+2W/ry8lyjKpvg0QAjQWq48e9f319//IBgAdBpVDGGTSdaXahz3S4UYeYKXue6dv9QClp7&#10;XK+2uLK1RRQWu91+Nx2lGFGwpekw6acBeFrC7bhjvTRNMHLWTj/ZGp+154dprx8OJ93R0B2NNoEj&#10;l982nUYBJ80NUObPgLooiWIef+Mw2AAFAmmB+vTl+ttnlHQDUH7TFiUzNgDYHRDdVesGqZ1Kk4HH&#10;YVspGStt7AmTNXKDCdZAbs85cnlqbABls8WFNZJX2aLi3E90sTzmGl0SEMJ85H7+LF/VL2QWlodp&#10;HHtFQEwT9nukbzniAjUT3El7sBVRAg0gB+HBsFZAIiMKjAgvoLNQq30EIV0OkF4oYE5MGcJ5t+1l&#10;cgGR3O0FzNxoKbMrQFzLoFmj6KKCuk+JsedEg0ghPrQxewaPnEtISrYjjEqp39217vYDJcCKUQOi&#10;h4TfrohmGPHnAsgySno91yX8pJcOOjDRu5blrkWs6mMJcAJzITs/dPst3wxzLes30O1mLiqYiKAQ&#10;O0DTTo5taEbQLymbzfw26AyK2FNxoahz7pATcrayMq/8Nd+g04IGlHdC/RfcH+1zv/dA7g+gzXid&#10;D0dt991yv9vptSpPOl5Sf4P7s3kcd+Yt7TwFNxJ5MLNvnW4FE6j9NB70k4W/OVOSjIVVJ69f6ssp&#10;+N4asevl2rfk/3J5qFz8iwNeqr7DtR8A7q29O/fyuvnom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Yz8m9sAAAALAQAADwAAAAAAAAABACAAAAAiAAAAZHJzL2Rvd25yZXYueG1sUEsBAhQAFAAA&#10;AAgAh07iQKt72zh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7456"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B2FEE20-260E-45F6-B380-9AEC010A5EA3}"/>
  </w:font>
  <w:font w:name="黑体">
    <w:panose1 w:val="02010609060101010101"/>
    <w:charset w:val="86"/>
    <w:family w:val="auto"/>
    <w:pitch w:val="default"/>
    <w:sig w:usb0="800002BF" w:usb1="38CF7CFA" w:usb2="00000016" w:usb3="00000000" w:csb0="00040001" w:csb1="00000000"/>
    <w:embedRegular r:id="rId2" w:fontKey="{B30D3833-EC40-4888-A4E7-5FC72ACF6C3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B4475144-9A10-430B-BD1E-2B51FC629795}"/>
  </w:font>
  <w:font w:name="Cambria">
    <w:panose1 w:val="02040503050406030204"/>
    <w:charset w:val="00"/>
    <w:family w:val="roman"/>
    <w:pitch w:val="default"/>
    <w:sig w:usb0="E00002FF" w:usb1="400004FF" w:usb2="00000000" w:usb3="00000000" w:csb0="2000019F" w:csb1="00000000"/>
    <w:embedRegular r:id="rId4" w:fontKey="{E38F7B72-560A-4050-A5F9-D490DF489192}"/>
  </w:font>
  <w:font w:name="楷体">
    <w:panose1 w:val="02010609060101010101"/>
    <w:charset w:val="86"/>
    <w:family w:val="modern"/>
    <w:pitch w:val="default"/>
    <w:sig w:usb0="800002BF" w:usb1="38CF7CFA" w:usb2="00000016" w:usb3="00000000" w:csb0="00040001" w:csb1="00000000"/>
    <w:embedRegular r:id="rId5" w:fontKey="{9D8273AB-AF47-42FE-9828-066AB75C9860}"/>
  </w:font>
  <w:font w:name="仿宋_GB2312">
    <w:panose1 w:val="02010609030101010101"/>
    <w:charset w:val="86"/>
    <w:family w:val="modern"/>
    <w:pitch w:val="default"/>
    <w:sig w:usb0="00000001" w:usb1="080E0000" w:usb2="00000000" w:usb3="00000000" w:csb0="00040000" w:csb1="00000000"/>
    <w:embedRegular r:id="rId6" w:fontKey="{C735C8F3-FB45-46E7-A06E-458C3AEFF72A}"/>
  </w:font>
  <w:font w:name="ArialUnicodeMS">
    <w:altName w:val="Malgun Gothic"/>
    <w:panose1 w:val="00000000000000000000"/>
    <w:charset w:val="81"/>
    <w:family w:val="auto"/>
    <w:pitch w:val="default"/>
    <w:sig w:usb0="00000000" w:usb1="00000000" w:usb2="00000010" w:usb3="00000000" w:csb0="00080001" w:csb1="00000000"/>
    <w:embedRegular r:id="rId7" w:fontKey="{A66C7C02-4174-474F-B85F-C6707B6302E6}"/>
  </w:font>
  <w:font w:name="仿宋">
    <w:panose1 w:val="02010609060101010101"/>
    <w:charset w:val="86"/>
    <w:family w:val="modern"/>
    <w:pitch w:val="default"/>
    <w:sig w:usb0="800002BF" w:usb1="38CF7CFA" w:usb2="00000016" w:usb3="00000000" w:csb0="00040001" w:csb1="00000000"/>
    <w:embedRegular r:id="rId8" w:fontKey="{27D80DF0-040C-4EEE-9E40-EB8E785BAD5B}"/>
  </w:font>
  <w:font w:name="MS-UIGothic,Bold">
    <w:altName w:val="Malgun Gothic"/>
    <w:panose1 w:val="00000000000000000000"/>
    <w:charset w:val="81"/>
    <w:family w:val="auto"/>
    <w:pitch w:val="default"/>
    <w:sig w:usb0="00000000" w:usb1="00000000" w:usb2="00000010" w:usb3="00000000" w:csb0="00080000" w:csb1="00000000"/>
    <w:embedRegular r:id="rId9" w:fontKey="{3C4D4A48-229A-4EB9-87CF-2EBB543DA4A9}"/>
  </w:font>
  <w:font w:name="DengXian-Regular">
    <w:altName w:val="宋体"/>
    <w:panose1 w:val="00000000000000000000"/>
    <w:charset w:val="86"/>
    <w:family w:val="auto"/>
    <w:pitch w:val="default"/>
    <w:sig w:usb0="00000000" w:usb1="00000000" w:usb2="00000010" w:usb3="00000000" w:csb0="00040001" w:csb1="00000000"/>
    <w:embedRegular r:id="rId10" w:fontKey="{9CFAF1AA-60D3-43DB-B9EC-E4746585FEF7}"/>
  </w:font>
  <w:font w:name="楷体_GB2312">
    <w:panose1 w:val="02010609030101010101"/>
    <w:charset w:val="86"/>
    <w:family w:val="modern"/>
    <w:pitch w:val="default"/>
    <w:sig w:usb0="00000001" w:usb1="080E0000" w:usb2="00000000" w:usb3="00000000" w:csb0="00040000" w:csb1="00000000"/>
    <w:embedRegular r:id="rId11" w:fontKey="{7A3291DA-CC3C-49E7-BC80-78CA784D1C9A}"/>
  </w:font>
  <w:font w:name="DengXian-Bold">
    <w:altName w:val="宋体"/>
    <w:panose1 w:val="00000000000000000000"/>
    <w:charset w:val="86"/>
    <w:family w:val="auto"/>
    <w:pitch w:val="default"/>
    <w:sig w:usb0="00000000" w:usb1="00000000" w:usb2="00000010" w:usb3="00000000" w:csb0="00040001" w:csb1="00000000"/>
    <w:embedRegular r:id="rId12" w:fontKey="{2A4010A5-BD68-4F06-A9C9-6F67257C3BB8}"/>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C7DDC4"/>
    <w:multiLevelType w:val="singleLevel"/>
    <w:tmpl w:val="90C7DDC4"/>
    <w:lvl w:ilvl="0" w:tentative="0">
      <w:start w:val="5"/>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abstractNum w:abstractNumId="2">
    <w:nsid w:val="6AEF60BC"/>
    <w:multiLevelType w:val="singleLevel"/>
    <w:tmpl w:val="6AEF60BC"/>
    <w:lvl w:ilvl="0" w:tentative="0">
      <w:start w:val="2"/>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FjMWFhYmQ2MzlkMDViMjEwYjFjNjRiMTYyNWNlOTc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41318"/>
    <w:rsid w:val="0064405D"/>
    <w:rsid w:val="00664E56"/>
    <w:rsid w:val="00695557"/>
    <w:rsid w:val="006D4EA7"/>
    <w:rsid w:val="0070012A"/>
    <w:rsid w:val="0070664B"/>
    <w:rsid w:val="007071B8"/>
    <w:rsid w:val="007414DE"/>
    <w:rsid w:val="007905A9"/>
    <w:rsid w:val="007E5500"/>
    <w:rsid w:val="007F055B"/>
    <w:rsid w:val="00811C2F"/>
    <w:rsid w:val="00833D46"/>
    <w:rsid w:val="00840A97"/>
    <w:rsid w:val="008C0149"/>
    <w:rsid w:val="008D5DED"/>
    <w:rsid w:val="008E25CA"/>
    <w:rsid w:val="008F34FC"/>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56722"/>
    <w:rsid w:val="00B74D39"/>
    <w:rsid w:val="00B91DA4"/>
    <w:rsid w:val="00C12630"/>
    <w:rsid w:val="00C34562"/>
    <w:rsid w:val="00C3774E"/>
    <w:rsid w:val="00C57456"/>
    <w:rsid w:val="00C65387"/>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D3BD5"/>
    <w:rsid w:val="00FE3DC8"/>
    <w:rsid w:val="04073F84"/>
    <w:rsid w:val="07D46DA4"/>
    <w:rsid w:val="08061A14"/>
    <w:rsid w:val="0AD176C3"/>
    <w:rsid w:val="0B60750A"/>
    <w:rsid w:val="0B706E5C"/>
    <w:rsid w:val="0BA61BFD"/>
    <w:rsid w:val="0BF00863"/>
    <w:rsid w:val="0E8C045C"/>
    <w:rsid w:val="0EC13E21"/>
    <w:rsid w:val="10686488"/>
    <w:rsid w:val="10DF728A"/>
    <w:rsid w:val="114A0BD3"/>
    <w:rsid w:val="120A4F18"/>
    <w:rsid w:val="1264200E"/>
    <w:rsid w:val="141C5B77"/>
    <w:rsid w:val="146A30B1"/>
    <w:rsid w:val="15864C6B"/>
    <w:rsid w:val="173B5CE5"/>
    <w:rsid w:val="18D8339D"/>
    <w:rsid w:val="1A21388F"/>
    <w:rsid w:val="1A570D2F"/>
    <w:rsid w:val="1AA53F74"/>
    <w:rsid w:val="1B1F44BB"/>
    <w:rsid w:val="1BAF3AB5"/>
    <w:rsid w:val="1E360EA9"/>
    <w:rsid w:val="2078636B"/>
    <w:rsid w:val="20AB590F"/>
    <w:rsid w:val="22643088"/>
    <w:rsid w:val="26774D79"/>
    <w:rsid w:val="273E448F"/>
    <w:rsid w:val="27D64C25"/>
    <w:rsid w:val="28FB0B8D"/>
    <w:rsid w:val="29A80ED7"/>
    <w:rsid w:val="2A647FEB"/>
    <w:rsid w:val="2A9870FC"/>
    <w:rsid w:val="2BBB0221"/>
    <w:rsid w:val="2BDF5D5F"/>
    <w:rsid w:val="2BF36866"/>
    <w:rsid w:val="2D2B7942"/>
    <w:rsid w:val="2D46481D"/>
    <w:rsid w:val="2E733B28"/>
    <w:rsid w:val="2F390087"/>
    <w:rsid w:val="2FC33E2C"/>
    <w:rsid w:val="31852B5A"/>
    <w:rsid w:val="31936B59"/>
    <w:rsid w:val="32D01238"/>
    <w:rsid w:val="332C2C98"/>
    <w:rsid w:val="33647D0D"/>
    <w:rsid w:val="344F204A"/>
    <w:rsid w:val="35A3564C"/>
    <w:rsid w:val="3AD8643D"/>
    <w:rsid w:val="3BC61A7C"/>
    <w:rsid w:val="3C0D73D4"/>
    <w:rsid w:val="3CCF5A58"/>
    <w:rsid w:val="3CF2273C"/>
    <w:rsid w:val="3DFC59A8"/>
    <w:rsid w:val="3E91362B"/>
    <w:rsid w:val="3ECF245E"/>
    <w:rsid w:val="3FB96314"/>
    <w:rsid w:val="413A1A22"/>
    <w:rsid w:val="42E931F9"/>
    <w:rsid w:val="4BAF2B1B"/>
    <w:rsid w:val="4CA224F5"/>
    <w:rsid w:val="4D5C3A28"/>
    <w:rsid w:val="4EF11EB1"/>
    <w:rsid w:val="5029204D"/>
    <w:rsid w:val="515A4192"/>
    <w:rsid w:val="52DD7CFB"/>
    <w:rsid w:val="53A44FAF"/>
    <w:rsid w:val="53BD7F6C"/>
    <w:rsid w:val="5689783E"/>
    <w:rsid w:val="587D6ACC"/>
    <w:rsid w:val="594329EC"/>
    <w:rsid w:val="5AEA5100"/>
    <w:rsid w:val="5BEE1540"/>
    <w:rsid w:val="5D564456"/>
    <w:rsid w:val="5DE61A5D"/>
    <w:rsid w:val="5E92147C"/>
    <w:rsid w:val="5F7A545F"/>
    <w:rsid w:val="62FF0D54"/>
    <w:rsid w:val="63C04243"/>
    <w:rsid w:val="649C01C7"/>
    <w:rsid w:val="65733643"/>
    <w:rsid w:val="67392D23"/>
    <w:rsid w:val="699A3F60"/>
    <w:rsid w:val="6DB1400D"/>
    <w:rsid w:val="6EAD1A8F"/>
    <w:rsid w:val="6F282F02"/>
    <w:rsid w:val="6F5802B8"/>
    <w:rsid w:val="71AA5529"/>
    <w:rsid w:val="72902E62"/>
    <w:rsid w:val="73C61104"/>
    <w:rsid w:val="76983D43"/>
    <w:rsid w:val="77292831"/>
    <w:rsid w:val="776452EA"/>
    <w:rsid w:val="79C13596"/>
    <w:rsid w:val="7CE97174"/>
    <w:rsid w:val="7D314420"/>
    <w:rsid w:val="7DBE6693"/>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autoRedefine/>
    <w:semiHidden/>
    <w:unhideWhenUsed/>
    <w:qFormat/>
    <w:uiPriority w:val="99"/>
    <w:pPr>
      <w:ind w:left="100" w:leftChars="2500"/>
    </w:pPr>
  </w:style>
  <w:style w:type="paragraph" w:styleId="7">
    <w:name w:val="Balloon Text"/>
    <w:basedOn w:val="1"/>
    <w:link w:val="19"/>
    <w:autoRedefine/>
    <w:unhideWhenUsed/>
    <w:qFormat/>
    <w:uiPriority w:val="99"/>
    <w:rPr>
      <w:sz w:val="18"/>
      <w:szCs w:val="18"/>
    </w:rPr>
  </w:style>
  <w:style w:type="paragraph" w:styleId="8">
    <w:name w:val="footer"/>
    <w:basedOn w:val="1"/>
    <w:link w:val="16"/>
    <w:autoRedefine/>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rPr b="0">
                <a:solidFill>
                  <a:schemeClr val="tx1"/>
                </a:solidFill>
              </a:rPr>
              <a:t>图1.收入情况构成表</a:t>
            </a:r>
            <a:endParaRPr b="0">
              <a:solidFill>
                <a:schemeClr val="tx1"/>
              </a:solidFill>
            </a:endParaRPr>
          </a:p>
        </c:rich>
      </c:tx>
      <c:layout/>
      <c:overlay val="0"/>
      <c:spPr>
        <a:noFill/>
        <a:ln>
          <a:noFill/>
        </a:ln>
        <a:effectLst/>
      </c:spPr>
    </c:title>
    <c:autoTitleDeleted val="0"/>
    <c:plotArea>
      <c:layout/>
      <c:pieChart>
        <c:varyColors val="1"/>
        <c:ser>
          <c:idx val="0"/>
          <c:order val="0"/>
          <c:tx>
            <c:strRef>
              <c:f>Sheet1!$B$1</c:f>
              <c:strCache>
                <c:ptCount val="1"/>
                <c:pt idx="0">
                  <c:v>图表1.收入情况构成表</c:v>
                </c:pt>
              </c:strCache>
            </c:strRef>
          </c:tx>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dLbl>
              <c:idx val="0"/>
              <c:layout>
                <c:manualLayout>
                  <c:x val="0.0074994080209986"/>
                  <c:y val="-0.5116649999994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42374949860467"/>
                  <c:y val="0.61416499999923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2374949860467"/>
                  <c:y val="0.75416499999923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42374949860467"/>
                  <c:y val="0.874758333330518"/>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General" sourceLinked="1"/>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财政拨款收入</c:v>
                </c:pt>
                <c:pt idx="1">
                  <c:v>事业收入</c:v>
                </c:pt>
                <c:pt idx="2">
                  <c:v>经营收入</c:v>
                </c:pt>
                <c:pt idx="3">
                  <c:v>其他收入</c:v>
                </c:pt>
              </c:strCache>
            </c:strRef>
          </c:cat>
          <c:val>
            <c:numRef>
              <c:f>Sheet1!$B$2:$B$5</c:f>
              <c:numCache>
                <c:formatCode>General</c:formatCode>
                <c:ptCount val="4"/>
                <c:pt idx="0">
                  <c:v>100</c:v>
                </c:pt>
                <c:pt idx="1">
                  <c:v>0</c:v>
                </c:pt>
                <c:pt idx="2">
                  <c:v>0</c:v>
                </c:pt>
                <c:pt idx="3">
                  <c:v>0</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图2：支出构成情况（按支出性质）</c:v>
                </c:pt>
              </c:strCache>
            </c:strRef>
          </c:tx>
          <c:spPr/>
          <c:explosion val="0"/>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1">
                  <a:lumMod val="60000"/>
                </a:schemeClr>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基本支出</a:t>
                    </a:r>
                  </a:p>
                  <a:p>
                    <a:pPr defTabSz="914400">
                      <a:defRPr lang="zh-CN" sz="900" b="0" i="0" u="none" strike="noStrike" kern="1200" baseline="0">
                        <a:solidFill>
                          <a:schemeClr val="tx1">
                            <a:lumMod val="75000"/>
                            <a:lumOff val="25000"/>
                          </a:schemeClr>
                        </a:solidFill>
                        <a:latin typeface="+mn-lt"/>
                        <a:ea typeface="+mn-ea"/>
                        <a:cs typeface="+mn-cs"/>
                      </a:defRPr>
                    </a:pPr>
                    <a:r>
                      <a:rPr lang="en-US" altLang="zh-CN"/>
                      <a:t>2.8</a:t>
                    </a:r>
                    <a:r>
                      <a:t>%</a:t>
                    </a:r>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项目支出97</a:t>
                    </a:r>
                    <a:r>
                      <a:rPr lang="en-US" altLang="zh-CN"/>
                      <a:t>.2</a:t>
                    </a:r>
                    <a:r>
                      <a:t>%</a:t>
                    </a:r>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基本支出</c:v>
                </c:pt>
                <c:pt idx="1">
                  <c:v>项目支出</c:v>
                </c:pt>
              </c:strCache>
            </c:strRef>
          </c:cat>
          <c:val>
            <c:numRef>
              <c:f>Sheet1!$B$2:$B$5</c:f>
              <c:numCache>
                <c:formatCode>0.00%</c:formatCode>
                <c:ptCount val="4"/>
                <c:pt idx="0">
                  <c:v>0.028</c:v>
                </c:pt>
                <c:pt idx="1">
                  <c:v>0.972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06195"/>
          <c:y val="0.247660985242577"/>
          <c:w val="0.9018"/>
          <c:h val="0.687150544690904"/>
        </c:manualLayout>
      </c:layout>
      <c:barChart>
        <c:barDir val="col"/>
        <c:grouping val="clustered"/>
        <c:varyColors val="0"/>
        <c:ser>
          <c:idx val="0"/>
          <c:order val="0"/>
          <c:tx>
            <c:strRef>
              <c:f>Sheet1!$B$1</c:f>
              <c:strCache>
                <c:ptCount val="1"/>
                <c:pt idx="0">
                  <c:v>图3:2017-2018年财政拨款收支情况</c:v>
                </c:pt>
              </c:strCache>
            </c:strRef>
          </c:tx>
          <c:spPr>
            <a:solidFill>
              <a:schemeClr val="dk1">
                <a:tint val="88500"/>
                <a:tint val="100000"/>
                <a:shade val="100000"/>
                <a:hueMod val="100000"/>
                <a:satMod val="100000"/>
              </a:schemeClr>
            </a:solidFill>
            <a:ln>
              <a:noFill/>
            </a:ln>
            <a:effectLst/>
          </c:spPr>
          <c:invertIfNegative val="0"/>
          <c:dLbls>
            <c:delete val="1"/>
          </c:dLbls>
          <c:cat>
            <c:strRef>
              <c:f>Sheet1!$A$2:$A$5</c:f>
              <c:strCache>
                <c:ptCount val="4"/>
                <c:pt idx="0">
                  <c:v>2018年度收入</c:v>
                </c:pt>
                <c:pt idx="1">
                  <c:v>2017年度收入</c:v>
                </c:pt>
                <c:pt idx="2">
                  <c:v>2018年度支出</c:v>
                </c:pt>
                <c:pt idx="3">
                  <c:v>2017年度支出</c:v>
                </c:pt>
              </c:strCache>
            </c:strRef>
          </c:cat>
          <c:val>
            <c:numRef>
              <c:f>Sheet1!$B$2:$B$5</c:f>
              <c:numCache>
                <c:formatCode>General</c:formatCode>
                <c:ptCount val="4"/>
                <c:pt idx="0">
                  <c:v>220.21</c:v>
                </c:pt>
                <c:pt idx="1">
                  <c:v>242.57</c:v>
                </c:pt>
                <c:pt idx="2">
                  <c:v>220.21</c:v>
                </c:pt>
                <c:pt idx="3">
                  <c:v>242.57</c:v>
                </c:pt>
              </c:numCache>
            </c:numRef>
          </c:val>
        </c:ser>
        <c:ser>
          <c:idx val="1"/>
          <c:order val="1"/>
          <c:tx>
            <c:strRef>
              <c:f>Sheet1!$C$1</c:f>
              <c:strCache>
                <c:ptCount val="1"/>
                <c:pt idx="0">
                  <c:v/>
                </c:pt>
              </c:strCache>
            </c:strRef>
          </c:tx>
          <c:spPr>
            <a:solidFill>
              <a:schemeClr val="dk1">
                <a:tint val="55000"/>
                <a:tint val="100000"/>
                <a:shade val="100000"/>
                <a:hueMod val="100000"/>
                <a:satMod val="100000"/>
              </a:schemeClr>
            </a:solidFill>
            <a:ln>
              <a:noFill/>
            </a:ln>
            <a:effectLst/>
          </c:spPr>
          <c:invertIfNegative val="0"/>
          <c:dLbls>
            <c:delete val="1"/>
          </c:dLbls>
          <c:cat>
            <c:strRef>
              <c:f>Sheet1!$A$2:$A$5</c:f>
              <c:strCache>
                <c:ptCount val="4"/>
                <c:pt idx="0">
                  <c:v>2018年度收入</c:v>
                </c:pt>
                <c:pt idx="1">
                  <c:v>2017年度收入</c:v>
                </c:pt>
                <c:pt idx="2">
                  <c:v>2018年度支出</c:v>
                </c:pt>
                <c:pt idx="3">
                  <c:v>2017年度支出</c:v>
                </c:pt>
              </c:strCache>
            </c:strRef>
          </c:cat>
          <c:val>
            <c:numRef>
              <c:f>Sheet1!$C$2:$C$5</c:f>
              <c:numCache>
                <c:formatCode>General</c:formatCode>
                <c:ptCount val="4"/>
              </c:numCache>
            </c:numRef>
          </c:val>
        </c:ser>
        <c:ser>
          <c:idx val="2"/>
          <c:order val="2"/>
          <c:tx>
            <c:strRef>
              <c:f>Sheet1!$D$1</c:f>
              <c:strCache>
                <c:ptCount val="1"/>
                <c:pt idx="0">
                  <c:v/>
                </c:pt>
              </c:strCache>
            </c:strRef>
          </c:tx>
          <c:spPr>
            <a:solidFill>
              <a:schemeClr val="dk1">
                <a:tint val="75000"/>
                <a:tint val="100000"/>
                <a:shade val="100000"/>
                <a:hueMod val="100000"/>
                <a:satMod val="100000"/>
              </a:schemeClr>
            </a:solidFill>
            <a:ln>
              <a:noFill/>
            </a:ln>
            <a:effectLst/>
          </c:spPr>
          <c:invertIfNegative val="0"/>
          <c:dLbls>
            <c:delete val="1"/>
          </c:dLbls>
          <c:cat>
            <c:strRef>
              <c:f>Sheet1!$A$2:$A$5</c:f>
              <c:strCache>
                <c:ptCount val="4"/>
                <c:pt idx="0">
                  <c:v>2018年度收入</c:v>
                </c:pt>
                <c:pt idx="1">
                  <c:v>2017年度收入</c:v>
                </c:pt>
                <c:pt idx="2">
                  <c:v>2018年度支出</c:v>
                </c:pt>
                <c:pt idx="3">
                  <c:v>2017年度支出</c:v>
                </c:pt>
              </c:strCache>
            </c:strRef>
          </c:cat>
          <c:val>
            <c:numRef>
              <c:f>Sheet1!$D$2:$D$5</c:f>
              <c:numCache>
                <c:formatCode>General</c:formatCode>
                <c:ptCount val="4"/>
              </c:numCache>
            </c:numRef>
          </c:val>
        </c:ser>
        <c:dLbls>
          <c:showLegendKey val="0"/>
          <c:showVal val="0"/>
          <c:showCatName val="0"/>
          <c:showSerName val="0"/>
          <c:showPercent val="0"/>
          <c:showBubbleSize val="0"/>
        </c:dLbls>
        <c:gapWidth val="75"/>
        <c:overlap val="-25"/>
        <c:axId val="971217350"/>
        <c:axId val="870901824"/>
      </c:barChart>
      <c:catAx>
        <c:axId val="97121735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0901824"/>
        <c:crosses val="autoZero"/>
        <c:auto val="1"/>
        <c:lblAlgn val="ctr"/>
        <c:lblOffset val="100"/>
        <c:noMultiLvlLbl val="0"/>
      </c:catAx>
      <c:valAx>
        <c:axId val="87090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1217350"/>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1600" b="1"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legendEntry>
      <c:legendEntry>
        <c:idx val="1"/>
        <c:txPr>
          <a:bodyPr rot="0" spcFirstLastPara="0" vertOverflow="ellipsis" vert="horz" wrap="square" anchor="ctr" anchorCtr="1"/>
          <a:lstStyle/>
          <a:p>
            <a:pPr>
              <a:defRPr lang="zh-CN" sz="1600" b="1"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legendEntry>
      <c:legendEntry>
        <c:idx val="2"/>
        <c:txPr>
          <a:bodyPr rot="0" spcFirstLastPara="0" vertOverflow="ellipsis" vert="horz" wrap="square" anchor="ctr" anchorCtr="1"/>
          <a:lstStyle/>
          <a:p>
            <a:pPr>
              <a:defRPr lang="zh-CN" sz="1600" b="1"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legendEntry>
      <c:layout>
        <c:manualLayout>
          <c:xMode val="edge"/>
          <c:yMode val="edge"/>
          <c:x val="0.106852223139521"/>
          <c:y val="0.0447787610619469"/>
          <c:w val="0.730982427173016"/>
          <c:h val="0.146017699115044"/>
        </c:manualLayout>
      </c:layout>
      <c:overlay val="0"/>
      <c:spPr>
        <a:noFill/>
        <a:ln>
          <a:noFill/>
        </a:ln>
        <a:effectLst/>
      </c:spPr>
      <c:txPr>
        <a:bodyPr rot="0" spcFirstLastPara="0" vertOverflow="ellipsis" vert="horz" wrap="square" anchor="ctr" anchorCtr="1"/>
        <a:lstStyle/>
        <a:p>
          <a:pPr>
            <a:defRPr lang="zh-CN" sz="1600" b="1"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68374915711396"/>
          <c:y val="0.0241977906365071"/>
          <c:w val="0.892087912087912"/>
          <c:h val="0.761204132525828"/>
        </c:manualLayout>
      </c:layout>
      <c:barChart>
        <c:barDir val="col"/>
        <c:grouping val="clustered"/>
        <c:varyColors val="0"/>
        <c:ser>
          <c:idx val="0"/>
          <c:order val="0"/>
          <c:tx>
            <c:strRef>
              <c:f>Sheet1!$B$1</c:f>
              <c:strCache>
                <c:ptCount val="1"/>
                <c:pt idx="0">
                  <c:v>图4：财政拨款收支预决算对比情况</c:v>
                </c:pt>
              </c:strCache>
            </c:strRef>
          </c:tx>
          <c:spPr>
            <a:solidFill>
              <a:schemeClr val="accent1">
                <a:tint val="100000"/>
                <a:shade val="100000"/>
                <a:hueMod val="100000"/>
                <a:satMod val="100000"/>
              </a:schemeClr>
            </a:solidFill>
            <a:ln>
              <a:noFill/>
            </a:ln>
            <a:effectLst/>
          </c:spPr>
          <c:invertIfNegative val="0"/>
          <c:dLbls>
            <c:delete val="1"/>
          </c:dLbls>
          <c:cat>
            <c:strRef>
              <c:f>Sheet1!$A$2:$A$5</c:f>
              <c:strCache>
                <c:ptCount val="4"/>
                <c:pt idx="0">
                  <c:v>收入预算</c:v>
                </c:pt>
                <c:pt idx="1">
                  <c:v>收入决算</c:v>
                </c:pt>
                <c:pt idx="2">
                  <c:v>支出预算</c:v>
                </c:pt>
                <c:pt idx="3">
                  <c:v>支出决算</c:v>
                </c:pt>
              </c:strCache>
            </c:strRef>
          </c:cat>
          <c:val>
            <c:numRef>
              <c:f>Sheet1!$B$2:$B$5</c:f>
              <c:numCache>
                <c:formatCode>General</c:formatCode>
                <c:ptCount val="4"/>
                <c:pt idx="0">
                  <c:v>220.21</c:v>
                </c:pt>
                <c:pt idx="1">
                  <c:v>279.17</c:v>
                </c:pt>
                <c:pt idx="2">
                  <c:v>220.21</c:v>
                </c:pt>
                <c:pt idx="3">
                  <c:v>279.17</c:v>
                </c:pt>
              </c:numCache>
            </c:numRef>
          </c:val>
        </c:ser>
        <c:ser>
          <c:idx val="1"/>
          <c:order val="1"/>
          <c:tx>
            <c:strRef>
              <c:f>Sheet1!$C$1</c:f>
              <c:strCache>
                <c:ptCount val="1"/>
                <c:pt idx="0">
                  <c:v/>
                </c:pt>
              </c:strCache>
            </c:strRef>
          </c:tx>
          <c:spPr>
            <a:solidFill>
              <a:schemeClr val="accent2">
                <a:tint val="100000"/>
                <a:shade val="100000"/>
                <a:hueMod val="100000"/>
                <a:satMod val="100000"/>
              </a:schemeClr>
            </a:solidFill>
            <a:ln>
              <a:noFill/>
            </a:ln>
            <a:effectLst/>
          </c:spPr>
          <c:invertIfNegative val="0"/>
          <c:dLbls>
            <c:delete val="1"/>
          </c:dLbls>
          <c:cat>
            <c:strRef>
              <c:f>Sheet1!$A$2:$A$5</c:f>
              <c:strCache>
                <c:ptCount val="4"/>
                <c:pt idx="0">
                  <c:v>收入预算</c:v>
                </c:pt>
                <c:pt idx="1">
                  <c:v>收入决算</c:v>
                </c:pt>
                <c:pt idx="2">
                  <c:v>支出预算</c:v>
                </c:pt>
                <c:pt idx="3">
                  <c:v>支出决算</c:v>
                </c:pt>
              </c:strCache>
            </c:strRef>
          </c:cat>
          <c:val>
            <c:numRef>
              <c:f>Sheet1!$C$2:$C$5</c:f>
              <c:numCache>
                <c:formatCode>General</c:formatCode>
                <c:ptCount val="4"/>
              </c:numCache>
            </c:numRef>
          </c:val>
        </c:ser>
        <c:ser>
          <c:idx val="2"/>
          <c:order val="2"/>
          <c:tx>
            <c:strRef>
              <c:f>Sheet1!$D$1</c:f>
              <c:strCache>
                <c:ptCount val="1"/>
                <c:pt idx="0">
                  <c:v/>
                </c:pt>
              </c:strCache>
            </c:strRef>
          </c:tx>
          <c:spPr>
            <a:solidFill>
              <a:schemeClr val="accent3">
                <a:tint val="100000"/>
                <a:shade val="100000"/>
                <a:hueMod val="100000"/>
                <a:satMod val="100000"/>
              </a:schemeClr>
            </a:solidFill>
            <a:ln>
              <a:noFill/>
            </a:ln>
            <a:effectLst/>
          </c:spPr>
          <c:invertIfNegative val="0"/>
          <c:dLbls>
            <c:delete val="1"/>
          </c:dLbls>
          <c:cat>
            <c:strRef>
              <c:f>Sheet1!$A$2:$A$5</c:f>
              <c:strCache>
                <c:ptCount val="4"/>
                <c:pt idx="0">
                  <c:v>收入预算</c:v>
                </c:pt>
                <c:pt idx="1">
                  <c:v>收入决算</c:v>
                </c:pt>
                <c:pt idx="2">
                  <c:v>支出预算</c:v>
                </c:pt>
                <c:pt idx="3">
                  <c:v>支出决算</c:v>
                </c:pt>
              </c:strCache>
            </c:strRef>
          </c:cat>
          <c:val>
            <c:numRef>
              <c:f>Sheet1!$D$2:$D$5</c:f>
              <c:numCache>
                <c:formatCode>General</c:formatCode>
                <c:ptCount val="4"/>
              </c:numCache>
            </c:numRef>
          </c:val>
        </c:ser>
        <c:dLbls>
          <c:showLegendKey val="0"/>
          <c:showVal val="0"/>
          <c:showCatName val="0"/>
          <c:showSerName val="0"/>
          <c:showPercent val="0"/>
          <c:showBubbleSize val="0"/>
        </c:dLbls>
        <c:gapWidth val="219"/>
        <c:overlap val="-27"/>
        <c:axId val="260117979"/>
        <c:axId val="287747958"/>
      </c:barChart>
      <c:catAx>
        <c:axId val="26011797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7747958"/>
        <c:crosses val="autoZero"/>
        <c:auto val="1"/>
        <c:lblAlgn val="ctr"/>
        <c:lblOffset val="100"/>
        <c:noMultiLvlLbl val="0"/>
      </c:catAx>
      <c:valAx>
        <c:axId val="28774795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117979"/>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1400" b="1"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legendEntry>
      <c:legendEntry>
        <c:idx val="1"/>
        <c:txPr>
          <a:bodyPr rot="0" spcFirstLastPara="0" vertOverflow="ellipsis" vert="horz" wrap="square" anchor="ctr" anchorCtr="1"/>
          <a:lstStyle/>
          <a:p>
            <a:pPr>
              <a:defRPr lang="zh-CN" sz="1400" b="1"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legendEntry>
      <c:legendEntry>
        <c:idx val="2"/>
        <c:txPr>
          <a:bodyPr rot="0" spcFirstLastPara="0" vertOverflow="ellipsis" vert="horz" wrap="square" anchor="ctr" anchorCtr="1"/>
          <a:lstStyle/>
          <a:p>
            <a:pPr>
              <a:defRPr lang="zh-CN" sz="1400" b="1"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legendEntry>
      <c:layout>
        <c:manualLayout>
          <c:xMode val="edge"/>
          <c:yMode val="edge"/>
          <c:x val="0.104787592717465"/>
          <c:y val="0.943186672362238"/>
          <c:w val="0.661766689143628"/>
          <c:h val="0.0525416488680051"/>
        </c:manualLayout>
      </c:layout>
      <c:overlay val="0"/>
      <c:spPr>
        <a:noFill/>
        <a:ln>
          <a:noFill/>
        </a:ln>
        <a:effectLst/>
      </c:spPr>
      <c:txPr>
        <a:bodyPr rot="0" spcFirstLastPara="0" vertOverflow="ellipsis" vert="horz" wrap="square" anchor="ctr" anchorCtr="1"/>
        <a:lstStyle/>
        <a:p>
          <a:pPr>
            <a:defRPr lang="zh-CN" sz="1400" b="1"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图5 2018财政拨款支出</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公共服务</a:t>
                    </a:r>
                  </a:p>
                  <a:p>
                    <a:pPr defTabSz="914400">
                      <a:defRPr lang="zh-CN" sz="900" b="0" i="0" u="none" strike="noStrike" kern="1200" baseline="0">
                        <a:solidFill>
                          <a:schemeClr val="tx1">
                            <a:lumMod val="75000"/>
                            <a:lumOff val="25000"/>
                          </a:schemeClr>
                        </a:solidFill>
                        <a:latin typeface="+mn-lt"/>
                        <a:ea typeface="+mn-ea"/>
                        <a:cs typeface="+mn-cs"/>
                      </a:defRPr>
                    </a:pPr>
                    <a:r>
                      <a:rPr lang="en-US" altLang="zh-CN"/>
                      <a:t>2.8</a:t>
                    </a:r>
                    <a:r>
                      <a:t>%</a:t>
                    </a:r>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项目支出97</a:t>
                    </a:r>
                    <a:r>
                      <a:rPr lang="en-US" altLang="zh-CN"/>
                      <a:t>.2</a:t>
                    </a:r>
                    <a:r>
                      <a:t>%</a:t>
                    </a:r>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公共服务</c:v>
                </c:pt>
                <c:pt idx="1">
                  <c:v>项目支出</c:v>
                </c:pt>
              </c:strCache>
            </c:strRef>
          </c:cat>
          <c:val>
            <c:numRef>
              <c:f>Sheet1!$B$2:$B$5</c:f>
              <c:numCache>
                <c:formatCode>0.00%</c:formatCode>
                <c:ptCount val="4"/>
                <c:pt idx="0">
                  <c:v>2.8</c:v>
                </c:pt>
                <c:pt idx="1">
                  <c:v>97.2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2B6CD849-8498-4D71-8BA8-27EB336527A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5827</Words>
  <Characters>6686</Characters>
  <Lines>76</Lines>
  <Paragraphs>21</Paragraphs>
  <TotalTime>61</TotalTime>
  <ScaleCrop>false</ScaleCrop>
  <LinksUpToDate>false</LinksUpToDate>
  <CharactersWithSpaces>6929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\(^o^)/YES！♛</cp:lastModifiedBy>
  <cp:lastPrinted>2019-10-28T02:58:00Z</cp:lastPrinted>
  <dcterms:modified xsi:type="dcterms:W3CDTF">2024-04-26T07:41:07Z</dcterms:modified>
  <dc:subject>石家庄市xxx部门</dc:subject>
  <dc:title>2017年度部门决算</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9A3E2D4039E047B4A4C444CFE69C30C5_13</vt:lpwstr>
  </property>
</Properties>
</file>