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9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202</w:t>
      </w:r>
      <w:r>
        <w:rPr>
          <w:rFonts w:hint="eastAsia" w:ascii="方正小标宋简体" w:hAnsi="方正小标宋简体" w:eastAsia="方正小标宋简体" w:cs="方正小标宋简体"/>
          <w:color w:val="000000"/>
          <w:sz w:val="40"/>
          <w:szCs w:val="40"/>
          <w:lang w:val="en-US" w:eastAsia="zh-CN"/>
        </w:rPr>
        <w:t>3</w:t>
      </w:r>
      <w:r>
        <w:rPr>
          <w:rFonts w:hint="eastAsia" w:ascii="方正小标宋简体" w:hAnsi="方正小标宋简体" w:eastAsia="方正小标宋简体" w:cs="方正小标宋简体"/>
          <w:color w:val="000000"/>
          <w:sz w:val="40"/>
          <w:szCs w:val="40"/>
        </w:rPr>
        <w:t>年度项目支出绩效评价报告</w:t>
      </w:r>
    </w:p>
    <w:p>
      <w:pPr>
        <w:autoSpaceDE w:val="0"/>
        <w:autoSpaceDN w:val="0"/>
        <w:spacing w:line="360" w:lineRule="exact"/>
        <w:rPr>
          <w:rFonts w:ascii="Times New Roman" w:hAnsi="Times New Roman" w:eastAsia="方正仿宋简体"/>
          <w:color w:val="000000"/>
        </w:rPr>
      </w:pPr>
    </w:p>
    <w:p>
      <w:pPr>
        <w:autoSpaceDE w:val="0"/>
        <w:autoSpaceDN w:val="0"/>
        <w:spacing w:line="540" w:lineRule="exact"/>
        <w:ind w:firstLine="640" w:firstLineChars="200"/>
        <w:rPr>
          <w:rFonts w:ascii="方正黑体简体" w:hAnsi="方正黑体简体" w:eastAsia="方正黑体简体" w:cs="方正黑体简体"/>
          <w:color w:val="000000"/>
        </w:rPr>
      </w:pPr>
      <w:r>
        <w:rPr>
          <w:rFonts w:hint="eastAsia" w:ascii="方正黑体简体" w:hAnsi="方正黑体简体" w:eastAsia="方正黑体简体" w:cs="方正黑体简体"/>
          <w:color w:val="000000"/>
        </w:rPr>
        <w:t>一、基本情况</w:t>
      </w:r>
    </w:p>
    <w:p>
      <w:pPr>
        <w:spacing w:line="580" w:lineRule="exact"/>
        <w:ind w:firstLine="640" w:firstLineChars="200"/>
        <w:rPr>
          <w:rFonts w:ascii="Times New Roman" w:hAnsi="Times New Roman" w:eastAsia="方正仿宋简体"/>
        </w:rPr>
      </w:pPr>
      <w:r>
        <w:rPr>
          <w:rFonts w:ascii="Times New Roman" w:hAnsi="Times New Roman" w:eastAsia="方正仿宋简体"/>
        </w:rPr>
        <w:t>（一）项目概况</w:t>
      </w:r>
    </w:p>
    <w:p>
      <w:pPr>
        <w:spacing w:line="580" w:lineRule="exact"/>
        <w:ind w:firstLine="640" w:firstLineChars="200"/>
        <w:rPr>
          <w:rFonts w:ascii="Times New Roman" w:hAnsi="Times New Roman" w:eastAsia="方正仿宋简体"/>
        </w:rPr>
      </w:pPr>
      <w:r>
        <w:rPr>
          <w:rFonts w:ascii="Times New Roman" w:hAnsi="Times New Roman" w:eastAsia="方正仿宋简体"/>
        </w:rPr>
        <w:t>区财政安排本部门202</w:t>
      </w:r>
      <w:r>
        <w:rPr>
          <w:rFonts w:hint="eastAsia" w:ascii="Times New Roman" w:hAnsi="Times New Roman" w:eastAsia="方正仿宋简体"/>
          <w:lang w:val="en-US" w:eastAsia="zh-CN"/>
        </w:rPr>
        <w:t>3</w:t>
      </w:r>
      <w:r>
        <w:rPr>
          <w:rFonts w:ascii="Times New Roman" w:hAnsi="Times New Roman" w:eastAsia="方正仿宋简体"/>
        </w:rPr>
        <w:t>年度专项项目</w:t>
      </w:r>
      <w:r>
        <w:rPr>
          <w:rFonts w:hint="eastAsia" w:ascii="Times New Roman" w:hAnsi="Times New Roman" w:eastAsia="方正仿宋简体"/>
          <w:lang w:val="en-US" w:eastAsia="zh-CN"/>
        </w:rPr>
        <w:t>14</w:t>
      </w:r>
      <w:r>
        <w:rPr>
          <w:rFonts w:ascii="Times New Roman" w:hAnsi="Times New Roman" w:eastAsia="方正仿宋简体"/>
        </w:rPr>
        <w:t>个，金额合计</w:t>
      </w:r>
      <w:r>
        <w:rPr>
          <w:rFonts w:hint="eastAsia" w:ascii="Times New Roman" w:hAnsi="Times New Roman" w:eastAsia="方正仿宋简体"/>
        </w:rPr>
        <w:t>19314799</w:t>
      </w:r>
      <w:r>
        <w:rPr>
          <w:rFonts w:ascii="Times New Roman" w:hAnsi="Times New Roman" w:eastAsia="方正仿宋简体"/>
        </w:rPr>
        <w:t>元，实际支出</w:t>
      </w:r>
      <w:r>
        <w:rPr>
          <w:rFonts w:hint="eastAsia" w:ascii="Times New Roman" w:hAnsi="Times New Roman" w:eastAsia="方正仿宋简体"/>
        </w:rPr>
        <w:t>19314799</w:t>
      </w:r>
      <w:r>
        <w:rPr>
          <w:rFonts w:ascii="Times New Roman" w:hAnsi="Times New Roman" w:eastAsia="方正仿宋简体"/>
        </w:rPr>
        <w:t>元，执行率为</w:t>
      </w:r>
      <w:r>
        <w:rPr>
          <w:rFonts w:hint="eastAsia" w:ascii="Times New Roman" w:hAnsi="Times New Roman" w:eastAsia="方正仿宋简体"/>
        </w:rPr>
        <w:t>100</w:t>
      </w:r>
      <w:r>
        <w:rPr>
          <w:rFonts w:ascii="Times New Roman" w:hAnsi="Times New Roman" w:eastAsia="方正仿宋简体"/>
        </w:rPr>
        <w:t>%。涉及</w:t>
      </w:r>
      <w:r>
        <w:rPr>
          <w:rFonts w:hint="eastAsia" w:ascii="Times New Roman" w:hAnsi="Times New Roman" w:eastAsia="方正仿宋简体"/>
          <w:lang w:val="en-US" w:eastAsia="zh-CN"/>
        </w:rPr>
        <w:t>2</w:t>
      </w:r>
      <w:r>
        <w:rPr>
          <w:rFonts w:ascii="Times New Roman" w:hAnsi="Times New Roman" w:eastAsia="方正仿宋简体"/>
        </w:rPr>
        <w:t>项中央专项转移支付资金不涉及省级预算安排资金及项目。</w:t>
      </w:r>
    </w:p>
    <w:p>
      <w:pPr>
        <w:numPr>
          <w:ilvl w:val="0"/>
          <w:numId w:val="1"/>
        </w:numPr>
        <w:spacing w:line="580" w:lineRule="exact"/>
        <w:ind w:firstLine="640" w:firstLineChars="200"/>
        <w:rPr>
          <w:rFonts w:ascii="Times New Roman" w:hAnsi="Times New Roman" w:eastAsia="方正仿宋简体"/>
          <w:color w:val="000000"/>
        </w:rPr>
      </w:pPr>
      <w:r>
        <w:rPr>
          <w:rFonts w:ascii="Times New Roman" w:hAnsi="Times New Roman" w:eastAsia="方正仿宋简体"/>
          <w:color w:val="000000"/>
        </w:rPr>
        <w:t>项目绩效目标</w:t>
      </w:r>
    </w:p>
    <w:p>
      <w:pPr>
        <w:spacing w:line="580" w:lineRule="exact"/>
        <w:ind w:firstLine="640" w:firstLineChars="200"/>
        <w:rPr>
          <w:rFonts w:ascii="Times New Roman" w:hAnsi="Times New Roman" w:eastAsia="方正仿宋简体"/>
        </w:rPr>
      </w:pPr>
      <w:r>
        <w:rPr>
          <w:rFonts w:ascii="Times New Roman" w:hAnsi="Times New Roman" w:eastAsia="方正仿宋简体"/>
        </w:rPr>
        <w:t>本部门年初设定的部门整体绩效指标是：</w:t>
      </w:r>
    </w:p>
    <w:p>
      <w:pPr>
        <w:spacing w:line="500" w:lineRule="exact"/>
        <w:ind w:firstLine="560" w:firstLineChars="200"/>
        <w:jc w:val="left"/>
        <w:rPr>
          <w:rFonts w:ascii="Times New Roman" w:hAnsi="Times New Roman" w:eastAsia="方正仿宋简体"/>
          <w:sz w:val="28"/>
        </w:rPr>
      </w:pPr>
      <w:r>
        <w:rPr>
          <w:rFonts w:ascii="Times New Roman" w:hAnsi="Times New Roman" w:eastAsia="方正仿宋简体"/>
          <w:sz w:val="28"/>
        </w:rPr>
        <w:t xml:space="preserve">  以习近平新时代中国特色社会主义思想为指导，深入学习贯彻党的十九大、十九届五中全会精神，全面落实省委、市委关于信访工作的统一部署，坚持以“事要解决”为核心，以“北京不去、河北不聚、唐山不出事、网上不炒作”为总要求，对标区域社会治理体系建设和治理能力现代化，大力推进基层基础、智慧信访、阳光信访建设，强化初信初访规范办理、领导接访包联、信访积案化解、重复信访治理、重点领域整治等各项重点工作，着力提升为民服务水平，最大限度解决群众合理诉求、提升信访工作公信力，为实现“三个努力建成”“两个率先”和推动全区高质量发展保驾护航。</w:t>
      </w:r>
    </w:p>
    <w:p>
      <w:pPr>
        <w:spacing w:line="580" w:lineRule="exact"/>
        <w:ind w:firstLine="640" w:firstLineChars="200"/>
        <w:rPr>
          <w:rFonts w:ascii="Times New Roman" w:hAnsi="Times New Roman" w:eastAsia="方正仿宋简体"/>
        </w:rPr>
      </w:pPr>
      <w:r>
        <w:rPr>
          <w:rFonts w:ascii="Times New Roman" w:hAnsi="Times New Roman" w:eastAsia="方正仿宋简体"/>
        </w:rPr>
        <w:t>阶段性目标与部门整体绩效指标相同。</w:t>
      </w:r>
    </w:p>
    <w:p>
      <w:pPr>
        <w:autoSpaceDE w:val="0"/>
        <w:autoSpaceDN w:val="0"/>
        <w:spacing w:line="540" w:lineRule="exact"/>
        <w:ind w:firstLine="640" w:firstLineChars="200"/>
        <w:rPr>
          <w:rFonts w:ascii="方正黑体简体" w:hAnsi="Times New Roman" w:eastAsia="方正黑体简体"/>
          <w:color w:val="000000"/>
        </w:rPr>
      </w:pPr>
      <w:r>
        <w:rPr>
          <w:rFonts w:hint="eastAsia" w:ascii="方正黑体简体" w:hAnsi="Times New Roman" w:eastAsia="方正黑体简体"/>
          <w:color w:val="000000"/>
        </w:rPr>
        <w:t>二、绩效评价工作开展情况</w:t>
      </w:r>
    </w:p>
    <w:p>
      <w:pPr>
        <w:ind w:firstLine="600" w:firstLineChars="200"/>
        <w:rPr>
          <w:rFonts w:ascii="Times New Roman" w:hAnsi="Times New Roman" w:eastAsia="方正仿宋简体"/>
          <w:sz w:val="30"/>
          <w:szCs w:val="30"/>
        </w:rPr>
      </w:pPr>
      <w:r>
        <w:rPr>
          <w:rFonts w:ascii="Times New Roman" w:hAnsi="方正仿宋简体" w:eastAsia="方正仿宋简体"/>
          <w:sz w:val="30"/>
          <w:szCs w:val="30"/>
        </w:rPr>
        <w:t>㈠绩效评价的目的、对象和范围。</w:t>
      </w:r>
    </w:p>
    <w:p>
      <w:pPr>
        <w:ind w:firstLine="600" w:firstLineChars="200"/>
        <w:rPr>
          <w:rFonts w:ascii="Times New Roman" w:hAnsi="Times New Roman" w:eastAsia="方正仿宋简体"/>
          <w:sz w:val="30"/>
          <w:szCs w:val="30"/>
        </w:rPr>
      </w:pPr>
      <w:r>
        <w:rPr>
          <w:rFonts w:ascii="Times New Roman" w:hAnsi="Times New Roman" w:eastAsia="方正仿宋简体"/>
          <w:sz w:val="30"/>
          <w:szCs w:val="30"/>
        </w:rPr>
        <w:t>1.</w:t>
      </w:r>
      <w:r>
        <w:rPr>
          <w:rFonts w:ascii="Times New Roman" w:hAnsi="方正仿宋简体" w:eastAsia="方正仿宋简体"/>
          <w:sz w:val="30"/>
          <w:szCs w:val="30"/>
        </w:rPr>
        <w:t>绩效评价的目的。通过对年底项目和预算执行情况、资金使用情况、组织管理情况、绩效目标完成情况的梳理，评价资金使用是否达到预期目标、资金管理是否规范、资金使用是否有效，检验资金支出实际效率和效果，分析存在问题及原因，及时总结经验、完善资金和项目管理，切实提高财政资金使用效益。</w:t>
      </w:r>
    </w:p>
    <w:p>
      <w:pPr>
        <w:ind w:firstLine="600" w:firstLineChars="200"/>
        <w:rPr>
          <w:rFonts w:ascii="Times New Roman" w:hAnsi="Times New Roman" w:eastAsia="方正仿宋简体"/>
          <w:sz w:val="30"/>
          <w:szCs w:val="30"/>
        </w:rPr>
      </w:pPr>
      <w:r>
        <w:rPr>
          <w:rFonts w:ascii="Times New Roman" w:hAnsi="方正仿宋简体" w:eastAsia="方正仿宋简体"/>
          <w:sz w:val="30"/>
          <w:szCs w:val="30"/>
        </w:rPr>
        <w:t>⒉绩效评价的对象和范围。按照财政支出项目绩效自评全覆盖的要求，</w:t>
      </w:r>
      <w:r>
        <w:rPr>
          <w:rFonts w:ascii="Times New Roman" w:hAnsi="Times New Roman" w:eastAsia="方正仿宋简体"/>
          <w:sz w:val="30"/>
          <w:szCs w:val="30"/>
        </w:rPr>
        <w:t>202</w:t>
      </w:r>
      <w:r>
        <w:rPr>
          <w:rFonts w:hint="eastAsia" w:ascii="Times New Roman" w:hAnsi="Times New Roman" w:eastAsia="方正仿宋简体"/>
          <w:sz w:val="30"/>
          <w:szCs w:val="30"/>
          <w:lang w:val="en-US" w:eastAsia="zh-CN"/>
        </w:rPr>
        <w:t>3</w:t>
      </w:r>
      <w:r>
        <w:rPr>
          <w:rFonts w:ascii="Times New Roman" w:hAnsi="方正仿宋简体" w:eastAsia="方正仿宋简体"/>
          <w:sz w:val="30"/>
          <w:szCs w:val="30"/>
        </w:rPr>
        <w:t>年度部门管理或使用的所有专项资金和项目支出（含调整追加项目）均需开展绩效自评。</w:t>
      </w:r>
    </w:p>
    <w:p>
      <w:pPr>
        <w:ind w:firstLine="600" w:firstLineChars="200"/>
        <w:rPr>
          <w:rFonts w:ascii="Times New Roman" w:hAnsi="Times New Roman" w:eastAsia="方正仿宋简体"/>
          <w:color w:val="000000"/>
          <w:kern w:val="0"/>
          <w:sz w:val="30"/>
          <w:szCs w:val="30"/>
          <w:shd w:val="clear" w:color="auto" w:fill="FFFFFF"/>
        </w:rPr>
      </w:pPr>
      <w:r>
        <w:rPr>
          <w:rFonts w:ascii="Times New Roman" w:hAnsi="方正仿宋简体" w:eastAsia="方正仿宋简体"/>
          <w:color w:val="000000"/>
          <w:kern w:val="0"/>
          <w:sz w:val="30"/>
          <w:szCs w:val="30"/>
          <w:shd w:val="clear" w:color="auto" w:fill="FFFFFF"/>
        </w:rPr>
        <w:t>㈡评价指标体系、评价方法。</w:t>
      </w:r>
    </w:p>
    <w:p>
      <w:pPr>
        <w:spacing w:line="580" w:lineRule="exact"/>
        <w:ind w:firstLine="640" w:firstLineChars="200"/>
        <w:rPr>
          <w:rFonts w:ascii="Times New Roman" w:hAnsi="Times New Roman" w:eastAsia="方正仿宋简体"/>
        </w:rPr>
      </w:pPr>
      <w:r>
        <w:rPr>
          <w:rFonts w:ascii="Times New Roman" w:hAnsi="Times New Roman" w:eastAsia="方正仿宋简体"/>
        </w:rPr>
        <w:t>绩效评价的指标体系如下图所示：</w:t>
      </w:r>
    </w:p>
    <w:tbl>
      <w:tblPr>
        <w:tblStyle w:val="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065"/>
        <w:gridCol w:w="1620"/>
        <w:gridCol w:w="495"/>
        <w:gridCol w:w="600"/>
        <w:gridCol w:w="540"/>
        <w:gridCol w:w="60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94" w:type="dxa"/>
            <w:vMerge w:val="restart"/>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绩效指标分类</w:t>
            </w:r>
          </w:p>
        </w:tc>
        <w:tc>
          <w:tcPr>
            <w:tcW w:w="1065" w:type="dxa"/>
            <w:vMerge w:val="restart"/>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绩效指标</w:t>
            </w:r>
          </w:p>
        </w:tc>
        <w:tc>
          <w:tcPr>
            <w:tcW w:w="1620" w:type="dxa"/>
            <w:vMerge w:val="restart"/>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绩效指标描述</w:t>
            </w:r>
          </w:p>
        </w:tc>
        <w:tc>
          <w:tcPr>
            <w:tcW w:w="2235" w:type="dxa"/>
            <w:gridSpan w:val="4"/>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绩效指标评价标准</w:t>
            </w:r>
          </w:p>
        </w:tc>
        <w:tc>
          <w:tcPr>
            <w:tcW w:w="225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评价标准确定依据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94" w:type="dxa"/>
            <w:vMerge w:val="continue"/>
          </w:tcPr>
          <w:p>
            <w:pPr>
              <w:spacing w:line="580" w:lineRule="exact"/>
              <w:jc w:val="center"/>
              <w:rPr>
                <w:rFonts w:ascii="Times New Roman" w:hAnsi="Times New Roman" w:eastAsia="方正仿宋简体"/>
                <w:sz w:val="21"/>
                <w:szCs w:val="21"/>
              </w:rPr>
            </w:pPr>
          </w:p>
        </w:tc>
        <w:tc>
          <w:tcPr>
            <w:tcW w:w="1065" w:type="dxa"/>
            <w:vMerge w:val="continue"/>
          </w:tcPr>
          <w:p>
            <w:pPr>
              <w:spacing w:line="580" w:lineRule="exact"/>
              <w:jc w:val="center"/>
              <w:rPr>
                <w:rFonts w:ascii="Times New Roman" w:hAnsi="Times New Roman" w:eastAsia="方正仿宋简体"/>
                <w:sz w:val="21"/>
                <w:szCs w:val="21"/>
              </w:rPr>
            </w:pPr>
          </w:p>
        </w:tc>
        <w:tc>
          <w:tcPr>
            <w:tcW w:w="1620" w:type="dxa"/>
            <w:vMerge w:val="continue"/>
          </w:tcPr>
          <w:p>
            <w:pPr>
              <w:spacing w:line="580" w:lineRule="exact"/>
              <w:jc w:val="center"/>
              <w:rPr>
                <w:rFonts w:ascii="Times New Roman" w:hAnsi="Times New Roman" w:eastAsia="方正仿宋简体"/>
                <w:sz w:val="21"/>
                <w:szCs w:val="21"/>
              </w:rPr>
            </w:pPr>
          </w:p>
        </w:tc>
        <w:tc>
          <w:tcPr>
            <w:tcW w:w="49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优</w:t>
            </w:r>
          </w:p>
        </w:tc>
        <w:tc>
          <w:tcPr>
            <w:tcW w:w="60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良</w:t>
            </w:r>
          </w:p>
        </w:tc>
        <w:tc>
          <w:tcPr>
            <w:tcW w:w="54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中</w:t>
            </w:r>
          </w:p>
        </w:tc>
        <w:tc>
          <w:tcPr>
            <w:tcW w:w="60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差</w:t>
            </w:r>
          </w:p>
        </w:tc>
        <w:tc>
          <w:tcPr>
            <w:tcW w:w="2250" w:type="dxa"/>
          </w:tcPr>
          <w:p>
            <w:pPr>
              <w:spacing w:line="58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产出指标</w:t>
            </w:r>
          </w:p>
        </w:tc>
        <w:tc>
          <w:tcPr>
            <w:tcW w:w="106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严格质量监控</w:t>
            </w:r>
          </w:p>
        </w:tc>
        <w:tc>
          <w:tcPr>
            <w:tcW w:w="162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严格质量监控</w:t>
            </w:r>
          </w:p>
        </w:tc>
        <w:tc>
          <w:tcPr>
            <w:tcW w:w="49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优</w:t>
            </w:r>
          </w:p>
        </w:tc>
        <w:tc>
          <w:tcPr>
            <w:tcW w:w="600" w:type="dxa"/>
          </w:tcPr>
          <w:p>
            <w:pPr>
              <w:spacing w:line="580" w:lineRule="exact"/>
              <w:jc w:val="center"/>
              <w:rPr>
                <w:rFonts w:ascii="Times New Roman" w:hAnsi="Times New Roman" w:eastAsia="方正仿宋简体"/>
                <w:sz w:val="21"/>
                <w:szCs w:val="21"/>
              </w:rPr>
            </w:pPr>
          </w:p>
        </w:tc>
        <w:tc>
          <w:tcPr>
            <w:tcW w:w="540" w:type="dxa"/>
          </w:tcPr>
          <w:p>
            <w:pPr>
              <w:spacing w:line="580" w:lineRule="exact"/>
              <w:jc w:val="center"/>
              <w:rPr>
                <w:rFonts w:ascii="Times New Roman" w:hAnsi="Times New Roman" w:eastAsia="方正仿宋简体"/>
                <w:sz w:val="21"/>
                <w:szCs w:val="21"/>
              </w:rPr>
            </w:pPr>
          </w:p>
        </w:tc>
        <w:tc>
          <w:tcPr>
            <w:tcW w:w="600" w:type="dxa"/>
          </w:tcPr>
          <w:p>
            <w:pPr>
              <w:spacing w:line="580" w:lineRule="exact"/>
              <w:jc w:val="center"/>
              <w:rPr>
                <w:rFonts w:ascii="Times New Roman" w:hAnsi="Times New Roman" w:eastAsia="方正仿宋简体"/>
                <w:sz w:val="21"/>
                <w:szCs w:val="21"/>
              </w:rPr>
            </w:pPr>
          </w:p>
        </w:tc>
        <w:tc>
          <w:tcPr>
            <w:tcW w:w="225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产出指标</w:t>
            </w:r>
          </w:p>
        </w:tc>
        <w:tc>
          <w:tcPr>
            <w:tcW w:w="106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按时保质完工</w:t>
            </w:r>
          </w:p>
        </w:tc>
        <w:tc>
          <w:tcPr>
            <w:tcW w:w="162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按时保质完工</w:t>
            </w:r>
          </w:p>
        </w:tc>
        <w:tc>
          <w:tcPr>
            <w:tcW w:w="49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优</w:t>
            </w:r>
          </w:p>
        </w:tc>
        <w:tc>
          <w:tcPr>
            <w:tcW w:w="600" w:type="dxa"/>
          </w:tcPr>
          <w:p>
            <w:pPr>
              <w:spacing w:line="580" w:lineRule="exact"/>
              <w:jc w:val="center"/>
              <w:rPr>
                <w:rFonts w:ascii="Times New Roman" w:hAnsi="Times New Roman" w:eastAsia="方正仿宋简体"/>
                <w:sz w:val="21"/>
                <w:szCs w:val="21"/>
              </w:rPr>
            </w:pPr>
          </w:p>
        </w:tc>
        <w:tc>
          <w:tcPr>
            <w:tcW w:w="540" w:type="dxa"/>
          </w:tcPr>
          <w:p>
            <w:pPr>
              <w:spacing w:line="580" w:lineRule="exact"/>
              <w:jc w:val="center"/>
              <w:rPr>
                <w:rFonts w:ascii="Times New Roman" w:hAnsi="Times New Roman" w:eastAsia="方正仿宋简体"/>
                <w:sz w:val="21"/>
                <w:szCs w:val="21"/>
              </w:rPr>
            </w:pPr>
          </w:p>
        </w:tc>
        <w:tc>
          <w:tcPr>
            <w:tcW w:w="600" w:type="dxa"/>
          </w:tcPr>
          <w:p>
            <w:pPr>
              <w:spacing w:line="580" w:lineRule="exact"/>
              <w:jc w:val="center"/>
              <w:rPr>
                <w:rFonts w:ascii="Times New Roman" w:hAnsi="Times New Roman" w:eastAsia="方正仿宋简体"/>
                <w:sz w:val="21"/>
                <w:szCs w:val="21"/>
              </w:rPr>
            </w:pPr>
          </w:p>
        </w:tc>
        <w:tc>
          <w:tcPr>
            <w:tcW w:w="225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执行合同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产出指标</w:t>
            </w:r>
          </w:p>
        </w:tc>
        <w:tc>
          <w:tcPr>
            <w:tcW w:w="106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完成率</w:t>
            </w:r>
          </w:p>
        </w:tc>
        <w:tc>
          <w:tcPr>
            <w:tcW w:w="162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完成率</w:t>
            </w:r>
          </w:p>
        </w:tc>
        <w:tc>
          <w:tcPr>
            <w:tcW w:w="49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优</w:t>
            </w:r>
          </w:p>
        </w:tc>
        <w:tc>
          <w:tcPr>
            <w:tcW w:w="600" w:type="dxa"/>
          </w:tcPr>
          <w:p>
            <w:pPr>
              <w:spacing w:line="580" w:lineRule="exact"/>
              <w:jc w:val="center"/>
              <w:rPr>
                <w:rFonts w:ascii="Times New Roman" w:hAnsi="Times New Roman" w:eastAsia="方正仿宋简体"/>
                <w:sz w:val="21"/>
                <w:szCs w:val="21"/>
              </w:rPr>
            </w:pPr>
          </w:p>
        </w:tc>
        <w:tc>
          <w:tcPr>
            <w:tcW w:w="540" w:type="dxa"/>
          </w:tcPr>
          <w:p>
            <w:pPr>
              <w:spacing w:line="580" w:lineRule="exact"/>
              <w:jc w:val="center"/>
              <w:rPr>
                <w:rFonts w:ascii="Times New Roman" w:hAnsi="Times New Roman" w:eastAsia="方正仿宋简体"/>
                <w:sz w:val="21"/>
                <w:szCs w:val="21"/>
              </w:rPr>
            </w:pPr>
          </w:p>
        </w:tc>
        <w:tc>
          <w:tcPr>
            <w:tcW w:w="600" w:type="dxa"/>
          </w:tcPr>
          <w:p>
            <w:pPr>
              <w:spacing w:line="580" w:lineRule="exact"/>
              <w:jc w:val="center"/>
              <w:rPr>
                <w:rFonts w:ascii="Times New Roman" w:hAnsi="Times New Roman" w:eastAsia="方正仿宋简体"/>
                <w:sz w:val="21"/>
                <w:szCs w:val="21"/>
              </w:rPr>
            </w:pPr>
          </w:p>
        </w:tc>
        <w:tc>
          <w:tcPr>
            <w:tcW w:w="225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效果指标</w:t>
            </w:r>
          </w:p>
        </w:tc>
        <w:tc>
          <w:tcPr>
            <w:tcW w:w="106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工程质量达标</w:t>
            </w:r>
          </w:p>
        </w:tc>
        <w:tc>
          <w:tcPr>
            <w:tcW w:w="162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工程质量达标</w:t>
            </w:r>
          </w:p>
        </w:tc>
        <w:tc>
          <w:tcPr>
            <w:tcW w:w="49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优</w:t>
            </w:r>
          </w:p>
        </w:tc>
        <w:tc>
          <w:tcPr>
            <w:tcW w:w="600" w:type="dxa"/>
          </w:tcPr>
          <w:p>
            <w:pPr>
              <w:spacing w:line="580" w:lineRule="exact"/>
              <w:jc w:val="center"/>
              <w:rPr>
                <w:rFonts w:ascii="Times New Roman" w:hAnsi="Times New Roman" w:eastAsia="方正仿宋简体"/>
                <w:sz w:val="21"/>
                <w:szCs w:val="21"/>
              </w:rPr>
            </w:pPr>
          </w:p>
        </w:tc>
        <w:tc>
          <w:tcPr>
            <w:tcW w:w="540" w:type="dxa"/>
          </w:tcPr>
          <w:p>
            <w:pPr>
              <w:spacing w:line="580" w:lineRule="exact"/>
              <w:jc w:val="center"/>
              <w:rPr>
                <w:rFonts w:ascii="Times New Roman" w:hAnsi="Times New Roman" w:eastAsia="方正仿宋简体"/>
                <w:sz w:val="21"/>
                <w:szCs w:val="21"/>
              </w:rPr>
            </w:pPr>
          </w:p>
        </w:tc>
        <w:tc>
          <w:tcPr>
            <w:tcW w:w="600" w:type="dxa"/>
          </w:tcPr>
          <w:p>
            <w:pPr>
              <w:spacing w:line="580" w:lineRule="exact"/>
              <w:jc w:val="center"/>
              <w:rPr>
                <w:rFonts w:ascii="Times New Roman" w:hAnsi="Times New Roman" w:eastAsia="方正仿宋简体"/>
                <w:sz w:val="21"/>
                <w:szCs w:val="21"/>
              </w:rPr>
            </w:pPr>
          </w:p>
        </w:tc>
        <w:tc>
          <w:tcPr>
            <w:tcW w:w="225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满意度指标</w:t>
            </w:r>
          </w:p>
        </w:tc>
        <w:tc>
          <w:tcPr>
            <w:tcW w:w="106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服务对象满意</w:t>
            </w:r>
          </w:p>
        </w:tc>
        <w:tc>
          <w:tcPr>
            <w:tcW w:w="162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服务对象满意</w:t>
            </w:r>
          </w:p>
        </w:tc>
        <w:tc>
          <w:tcPr>
            <w:tcW w:w="495"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优</w:t>
            </w:r>
          </w:p>
        </w:tc>
        <w:tc>
          <w:tcPr>
            <w:tcW w:w="600" w:type="dxa"/>
          </w:tcPr>
          <w:p>
            <w:pPr>
              <w:spacing w:line="580" w:lineRule="exact"/>
              <w:jc w:val="center"/>
              <w:rPr>
                <w:rFonts w:ascii="Times New Roman" w:hAnsi="Times New Roman" w:eastAsia="方正仿宋简体"/>
                <w:sz w:val="21"/>
                <w:szCs w:val="21"/>
              </w:rPr>
            </w:pPr>
          </w:p>
        </w:tc>
        <w:tc>
          <w:tcPr>
            <w:tcW w:w="540" w:type="dxa"/>
          </w:tcPr>
          <w:p>
            <w:pPr>
              <w:spacing w:line="580" w:lineRule="exact"/>
              <w:jc w:val="center"/>
              <w:rPr>
                <w:rFonts w:ascii="Times New Roman" w:hAnsi="Times New Roman" w:eastAsia="方正仿宋简体"/>
                <w:sz w:val="21"/>
                <w:szCs w:val="21"/>
              </w:rPr>
            </w:pPr>
          </w:p>
        </w:tc>
        <w:tc>
          <w:tcPr>
            <w:tcW w:w="600" w:type="dxa"/>
          </w:tcPr>
          <w:p>
            <w:pPr>
              <w:spacing w:line="580" w:lineRule="exact"/>
              <w:jc w:val="center"/>
              <w:rPr>
                <w:rFonts w:ascii="Times New Roman" w:hAnsi="Times New Roman" w:eastAsia="方正仿宋简体"/>
                <w:sz w:val="21"/>
                <w:szCs w:val="21"/>
              </w:rPr>
            </w:pPr>
          </w:p>
        </w:tc>
        <w:tc>
          <w:tcPr>
            <w:tcW w:w="2250" w:type="dxa"/>
          </w:tcPr>
          <w:p>
            <w:pPr>
              <w:spacing w:line="580" w:lineRule="exact"/>
              <w:jc w:val="center"/>
              <w:rPr>
                <w:rFonts w:ascii="Times New Roman" w:hAnsi="Times New Roman" w:eastAsia="方正仿宋简体"/>
                <w:sz w:val="21"/>
                <w:szCs w:val="21"/>
              </w:rPr>
            </w:pPr>
            <w:r>
              <w:rPr>
                <w:rFonts w:ascii="Times New Roman" w:hAnsi="Times New Roman" w:eastAsia="方正仿宋简体"/>
                <w:sz w:val="21"/>
                <w:szCs w:val="21"/>
              </w:rPr>
              <w:t>调研</w:t>
            </w:r>
          </w:p>
        </w:tc>
      </w:tr>
    </w:tbl>
    <w:p>
      <w:pPr>
        <w:ind w:firstLine="630"/>
        <w:rPr>
          <w:rFonts w:ascii="Times New Roman" w:hAnsi="Times New Roman" w:eastAsia="方正仿宋简体"/>
          <w:color w:val="000000"/>
          <w:shd w:val="clear" w:color="auto" w:fill="FFFFFF"/>
        </w:rPr>
      </w:pPr>
      <w:r>
        <w:rPr>
          <w:rFonts w:ascii="Times New Roman" w:hAnsi="Times New Roman" w:eastAsia="方正仿宋简体"/>
        </w:rPr>
        <w:t>绩效目标评价方法为成立单位项目绩效自评小组进行绩效自评工作。</w:t>
      </w:r>
    </w:p>
    <w:p>
      <w:pPr>
        <w:pStyle w:val="7"/>
        <w:numPr>
          <w:ilvl w:val="0"/>
          <w:numId w:val="2"/>
        </w:numPr>
        <w:autoSpaceDE w:val="0"/>
        <w:autoSpaceDN w:val="0"/>
        <w:spacing w:line="540" w:lineRule="exact"/>
        <w:ind w:firstLineChars="0"/>
        <w:rPr>
          <w:rFonts w:ascii="Times New Roman" w:hAnsi="Times New Roman" w:eastAsia="方正仿宋简体"/>
          <w:color w:val="000000"/>
        </w:rPr>
      </w:pPr>
      <w:r>
        <w:rPr>
          <w:rFonts w:ascii="Times New Roman" w:hAnsi="Times New Roman" w:eastAsia="方正仿宋简体"/>
          <w:color w:val="000000"/>
        </w:rPr>
        <w:t>绩效评价工作过程。</w:t>
      </w:r>
    </w:p>
    <w:p>
      <w:pPr>
        <w:ind w:firstLine="630"/>
        <w:rPr>
          <w:rFonts w:ascii="Times New Roman" w:hAnsi="Times New Roman" w:eastAsia="方正仿宋简体"/>
          <w:color w:val="000000"/>
          <w:shd w:val="clear" w:color="auto" w:fill="FFFFFF"/>
        </w:rPr>
      </w:pPr>
      <w:r>
        <w:rPr>
          <w:rFonts w:ascii="Times New Roman" w:hAnsi="Times New Roman" w:eastAsia="方正仿宋简体"/>
          <w:color w:val="000000"/>
          <w:shd w:val="clear" w:color="auto" w:fill="FFFFFF"/>
        </w:rPr>
        <w:t>自评工作小组对预算项目绩效目标完成情况和各绩效指标完成数据进行核实和分析，开展现场勘查、调查核实等工作。评价标准为考察预算执行率等。</w:t>
      </w:r>
    </w:p>
    <w:p>
      <w:pPr>
        <w:numPr>
          <w:ilvl w:val="0"/>
          <w:numId w:val="3"/>
        </w:numPr>
        <w:autoSpaceDE w:val="0"/>
        <w:autoSpaceDN w:val="0"/>
        <w:spacing w:line="540" w:lineRule="exact"/>
        <w:ind w:firstLine="640" w:firstLineChars="200"/>
        <w:rPr>
          <w:rFonts w:ascii="方正黑体简体" w:hAnsi="Times New Roman" w:eastAsia="方正黑体简体"/>
          <w:color w:val="000000"/>
        </w:rPr>
      </w:pPr>
      <w:r>
        <w:rPr>
          <w:rFonts w:hint="eastAsia" w:ascii="方正黑体简体" w:hAnsi="Times New Roman" w:eastAsia="方正黑体简体"/>
          <w:color w:val="000000"/>
        </w:rPr>
        <w:t>综合评价情况及评价结论</w:t>
      </w:r>
    </w:p>
    <w:p>
      <w:pPr>
        <w:ind w:firstLine="630"/>
        <w:rPr>
          <w:rFonts w:ascii="Times New Roman" w:hAnsi="Times New Roman" w:eastAsia="方正仿宋简体"/>
          <w:color w:val="000000"/>
          <w:shd w:val="clear" w:color="auto" w:fill="FFFFFF"/>
        </w:rPr>
      </w:pPr>
      <w:r>
        <w:rPr>
          <w:rFonts w:ascii="Times New Roman" w:hAnsi="Times New Roman" w:eastAsia="方正仿宋简体"/>
          <w:color w:val="000000"/>
          <w:shd w:val="clear" w:color="auto" w:fill="FFFFFF"/>
        </w:rPr>
        <w:t>202</w:t>
      </w:r>
      <w:r>
        <w:rPr>
          <w:rFonts w:hint="eastAsia" w:ascii="Times New Roman" w:hAnsi="Times New Roman" w:eastAsia="方正仿宋简体"/>
          <w:color w:val="000000"/>
          <w:shd w:val="clear" w:color="auto" w:fill="FFFFFF"/>
          <w:lang w:val="en-US" w:eastAsia="zh-CN"/>
        </w:rPr>
        <w:t>3</w:t>
      </w:r>
      <w:r>
        <w:rPr>
          <w:rFonts w:ascii="Times New Roman" w:hAnsi="Times New Roman" w:eastAsia="方正仿宋简体"/>
          <w:color w:val="000000"/>
          <w:shd w:val="clear" w:color="auto" w:fill="FFFFFF"/>
        </w:rPr>
        <w:t>年</w:t>
      </w:r>
      <w:r>
        <w:rPr>
          <w:rFonts w:hint="eastAsia" w:ascii="Times New Roman" w:hAnsi="Times New Roman" w:eastAsia="方正仿宋简体"/>
          <w:color w:val="000000"/>
          <w:shd w:val="clear" w:color="auto" w:fill="FFFFFF"/>
          <w:lang w:val="en-US" w:eastAsia="zh-CN"/>
        </w:rPr>
        <w:t>14</w:t>
      </w:r>
      <w:r>
        <w:rPr>
          <w:rFonts w:ascii="Times New Roman" w:hAnsi="Times New Roman" w:eastAsia="方正仿宋简体"/>
          <w:color w:val="000000"/>
          <w:shd w:val="clear" w:color="auto" w:fill="FFFFFF"/>
        </w:rPr>
        <w:t>个项目评价等级均为优，评优率100%。专项资金预算总执行率100%，这</w:t>
      </w:r>
      <w:r>
        <w:rPr>
          <w:rFonts w:hint="eastAsia" w:ascii="Times New Roman" w:hAnsi="Times New Roman" w:eastAsia="方正仿宋简体"/>
          <w:color w:val="000000"/>
          <w:shd w:val="clear" w:color="auto" w:fill="FFFFFF"/>
          <w:lang w:val="en-US" w:eastAsia="zh-CN"/>
        </w:rPr>
        <w:t>14</w:t>
      </w:r>
      <w:r>
        <w:rPr>
          <w:rFonts w:ascii="Times New Roman" w:hAnsi="Times New Roman" w:eastAsia="方正仿宋简体"/>
          <w:color w:val="000000"/>
          <w:shd w:val="clear" w:color="auto" w:fill="FFFFFF"/>
        </w:rPr>
        <w:t>个项目截止202</w:t>
      </w:r>
      <w:r>
        <w:rPr>
          <w:rFonts w:hint="eastAsia" w:ascii="Times New Roman" w:hAnsi="Times New Roman" w:eastAsia="方正仿宋简体"/>
          <w:color w:val="000000"/>
          <w:shd w:val="clear" w:color="auto" w:fill="FFFFFF"/>
          <w:lang w:val="en-US" w:eastAsia="zh-CN"/>
        </w:rPr>
        <w:t>3</w:t>
      </w:r>
      <w:r>
        <w:rPr>
          <w:rFonts w:ascii="Times New Roman" w:hAnsi="Times New Roman" w:eastAsia="方正仿宋简体"/>
          <w:color w:val="000000"/>
          <w:shd w:val="clear" w:color="auto" w:fill="FFFFFF"/>
        </w:rPr>
        <w:t>年12月底已全面完成。</w:t>
      </w:r>
    </w:p>
    <w:p>
      <w:pPr>
        <w:autoSpaceDE w:val="0"/>
        <w:autoSpaceDN w:val="0"/>
        <w:spacing w:line="540" w:lineRule="exact"/>
        <w:ind w:firstLine="640" w:firstLineChars="200"/>
        <w:rPr>
          <w:rFonts w:ascii="方正黑体简体" w:hAnsi="Times New Roman" w:eastAsia="方正黑体简体"/>
          <w:color w:val="000000"/>
        </w:rPr>
      </w:pPr>
      <w:r>
        <w:rPr>
          <w:rFonts w:hint="eastAsia" w:ascii="方正黑体简体" w:hAnsi="Times New Roman" w:eastAsia="方正黑体简体"/>
          <w:color w:val="000000"/>
        </w:rPr>
        <w:t>四、绩效评价指标分析</w:t>
      </w:r>
    </w:p>
    <w:p>
      <w:pPr>
        <w:autoSpaceDE w:val="0"/>
        <w:autoSpaceDN w:val="0"/>
        <w:spacing w:line="540" w:lineRule="exact"/>
        <w:ind w:firstLine="640" w:firstLineChars="200"/>
        <w:rPr>
          <w:rFonts w:ascii="Times New Roman" w:hAnsi="Times New Roman" w:eastAsia="方正仿宋简体"/>
          <w:color w:val="000000"/>
        </w:rPr>
      </w:pPr>
      <w:r>
        <w:rPr>
          <w:rFonts w:ascii="Times New Roman" w:hAnsi="Times New Roman" w:eastAsia="方正仿宋简体"/>
          <w:color w:val="000000"/>
        </w:rPr>
        <w:t>㈠项目决策情况。</w:t>
      </w:r>
    </w:p>
    <w:p>
      <w:pPr>
        <w:spacing w:line="500" w:lineRule="exact"/>
        <w:ind w:firstLine="640" w:firstLineChars="200"/>
        <w:jc w:val="left"/>
        <w:rPr>
          <w:rFonts w:ascii="Times New Roman" w:hAnsi="Times New Roman" w:eastAsia="方正仿宋简体"/>
          <w:sz w:val="28"/>
        </w:rPr>
      </w:pPr>
      <w:r>
        <w:rPr>
          <w:rFonts w:ascii="Times New Roman" w:hAnsi="Times New Roman" w:eastAsia="方正仿宋简体"/>
          <w:color w:val="000000"/>
        </w:rPr>
        <w:t>信访局202</w:t>
      </w:r>
      <w:r>
        <w:rPr>
          <w:rFonts w:hint="eastAsia" w:ascii="Times New Roman" w:hAnsi="Times New Roman" w:eastAsia="方正仿宋简体"/>
          <w:color w:val="000000"/>
          <w:lang w:val="en-US" w:eastAsia="zh-CN"/>
        </w:rPr>
        <w:t>3</w:t>
      </w:r>
      <w:r>
        <w:rPr>
          <w:rFonts w:ascii="Times New Roman" w:hAnsi="Times New Roman" w:eastAsia="方正仿宋简体"/>
          <w:color w:val="000000"/>
        </w:rPr>
        <w:t>年的绩效目标</w:t>
      </w:r>
      <w:r>
        <w:rPr>
          <w:rFonts w:ascii="Times New Roman" w:hAnsi="Times New Roman" w:eastAsia="方正仿宋简体"/>
          <w:sz w:val="28"/>
        </w:rPr>
        <w:t>以习近平新时代中国特色社会主义思想为指导，深入学习贯彻党的十九大、十九届五中全会精神，全面落实省委、市委关于信访工作的统一部署，坚持以“事要解决”为核心，以“北京不去、河北不聚、唐山不出事、网上不炒作”为总要求，对标区域社会治理体系建设和治理能力现代化，大力推进基层基础、智慧信访、阳光信访建设，强化初信初访规范办理、领导接访包联、信访积案化解、重复信访治理、重点领域整治等各项重点工作，着力提升为民服务水平，最大限度解决群众合理诉求、提升信访工作公信力，为实现“三个努力建成”“两个率先”和推动全区高质量发展保驾护航。</w:t>
      </w:r>
    </w:p>
    <w:p>
      <w:pPr>
        <w:autoSpaceDE w:val="0"/>
        <w:autoSpaceDN w:val="0"/>
        <w:spacing w:line="540" w:lineRule="exact"/>
        <w:ind w:firstLine="640" w:firstLineChars="200"/>
        <w:rPr>
          <w:rFonts w:ascii="Times New Roman" w:hAnsi="Times New Roman" w:eastAsia="方正仿宋简体"/>
          <w:color w:val="000000"/>
        </w:rPr>
      </w:pPr>
      <w:r>
        <w:rPr>
          <w:rFonts w:ascii="Times New Roman" w:hAnsi="Times New Roman" w:eastAsia="方正仿宋简体"/>
          <w:color w:val="000000"/>
        </w:rPr>
        <w:t>项目过程情况。</w:t>
      </w:r>
    </w:p>
    <w:p>
      <w:pPr>
        <w:spacing w:line="580" w:lineRule="exact"/>
        <w:ind w:firstLine="640" w:firstLineChars="200"/>
        <w:rPr>
          <w:rFonts w:ascii="Times New Roman" w:hAnsi="Times New Roman" w:eastAsia="方正仿宋简体"/>
        </w:rPr>
      </w:pPr>
      <w:r>
        <w:rPr>
          <w:rFonts w:ascii="Times New Roman" w:hAnsi="Times New Roman" w:eastAsia="方正仿宋简体"/>
          <w:color w:val="000000"/>
        </w:rPr>
        <w:t xml:space="preserve"> 按照区财政局预算安排，我单位202</w:t>
      </w:r>
      <w:r>
        <w:rPr>
          <w:rFonts w:hint="eastAsia" w:ascii="Times New Roman" w:hAnsi="Times New Roman" w:eastAsia="方正仿宋简体"/>
          <w:color w:val="000000"/>
          <w:lang w:val="en-US" w:eastAsia="zh-CN"/>
        </w:rPr>
        <w:t>3</w:t>
      </w:r>
      <w:r>
        <w:rPr>
          <w:rFonts w:ascii="Times New Roman" w:hAnsi="Times New Roman" w:eastAsia="方正仿宋简体"/>
          <w:color w:val="000000"/>
        </w:rPr>
        <w:t>年度有</w:t>
      </w:r>
      <w:r>
        <w:rPr>
          <w:rFonts w:ascii="Times New Roman" w:hAnsi="Times New Roman" w:eastAsia="方正仿宋简体"/>
        </w:rPr>
        <w:t>专项项目</w:t>
      </w:r>
      <w:r>
        <w:rPr>
          <w:rFonts w:hint="eastAsia" w:ascii="Times New Roman" w:hAnsi="Times New Roman" w:eastAsia="方正仿宋简体"/>
          <w:lang w:val="en-US" w:eastAsia="zh-CN"/>
        </w:rPr>
        <w:t>14</w:t>
      </w:r>
      <w:r>
        <w:rPr>
          <w:rFonts w:ascii="Times New Roman" w:hAnsi="Times New Roman" w:eastAsia="方正仿宋简体"/>
        </w:rPr>
        <w:t>个，金额合计</w:t>
      </w:r>
      <w:r>
        <w:rPr>
          <w:rFonts w:hint="eastAsia" w:ascii="Times New Roman" w:hAnsi="Times New Roman" w:eastAsia="方正仿宋简体"/>
        </w:rPr>
        <w:t>19314799</w:t>
      </w:r>
      <w:r>
        <w:rPr>
          <w:rFonts w:ascii="Times New Roman" w:hAnsi="Times New Roman" w:eastAsia="方正仿宋简体"/>
        </w:rPr>
        <w:t>元，实际支出</w:t>
      </w:r>
      <w:r>
        <w:rPr>
          <w:rFonts w:hint="eastAsia" w:ascii="Times New Roman" w:hAnsi="Times New Roman" w:eastAsia="方正仿宋简体"/>
        </w:rPr>
        <w:t>19314799</w:t>
      </w:r>
      <w:r>
        <w:rPr>
          <w:rFonts w:ascii="Times New Roman" w:hAnsi="Times New Roman" w:eastAsia="方正仿宋简体"/>
        </w:rPr>
        <w:t>元，执行率为</w:t>
      </w:r>
      <w:r>
        <w:rPr>
          <w:rFonts w:hint="eastAsia" w:ascii="Times New Roman" w:hAnsi="Times New Roman" w:eastAsia="方正仿宋简体"/>
        </w:rPr>
        <w:t>100</w:t>
      </w:r>
      <w:r>
        <w:rPr>
          <w:rFonts w:ascii="Times New Roman" w:hAnsi="Times New Roman" w:eastAsia="方正仿宋简体"/>
        </w:rPr>
        <w:t>%。涉及</w:t>
      </w:r>
      <w:r>
        <w:rPr>
          <w:rFonts w:hint="eastAsia" w:ascii="Times New Roman" w:hAnsi="Times New Roman" w:eastAsia="方正仿宋简体"/>
          <w:lang w:val="en-US" w:eastAsia="zh-CN"/>
        </w:rPr>
        <w:t>2</w:t>
      </w:r>
      <w:r>
        <w:rPr>
          <w:rFonts w:ascii="Times New Roman" w:hAnsi="Times New Roman" w:eastAsia="方正仿宋简体"/>
        </w:rPr>
        <w:t>项中央专项转移支付资金不涉及省级预算安排资金及项目。</w:t>
      </w:r>
      <w:bookmarkStart w:id="0" w:name="_GoBack"/>
      <w:bookmarkEnd w:id="0"/>
    </w:p>
    <w:p>
      <w:pPr>
        <w:pStyle w:val="7"/>
        <w:numPr>
          <w:ilvl w:val="0"/>
          <w:numId w:val="4"/>
        </w:numPr>
        <w:autoSpaceDE w:val="0"/>
        <w:autoSpaceDN w:val="0"/>
        <w:spacing w:line="540" w:lineRule="exact"/>
        <w:ind w:left="0" w:firstLine="640"/>
        <w:rPr>
          <w:rFonts w:ascii="Times New Roman" w:hAnsi="Times New Roman" w:eastAsia="方正仿宋简体"/>
          <w:color w:val="000000"/>
        </w:rPr>
      </w:pPr>
      <w:r>
        <w:rPr>
          <w:rFonts w:ascii="Times New Roman" w:hAnsi="Times New Roman" w:eastAsia="方正仿宋简体"/>
          <w:color w:val="000000"/>
        </w:rPr>
        <w:t>项目产出情况。</w:t>
      </w:r>
    </w:p>
    <w:p>
      <w:pPr>
        <w:autoSpaceDE w:val="0"/>
        <w:autoSpaceDN w:val="0"/>
        <w:spacing w:line="540" w:lineRule="exact"/>
        <w:ind w:firstLine="640" w:firstLineChars="200"/>
        <w:rPr>
          <w:rFonts w:ascii="Times New Roman" w:hAnsi="Times New Roman" w:eastAsia="方正仿宋简体"/>
          <w:color w:val="000000"/>
        </w:rPr>
      </w:pPr>
      <w:r>
        <w:rPr>
          <w:rFonts w:ascii="Times New Roman" w:hAnsi="Times New Roman" w:eastAsia="方正仿宋简体"/>
          <w:color w:val="000000"/>
        </w:rPr>
        <w:t>项目产出方面，我单位202</w:t>
      </w:r>
      <w:r>
        <w:rPr>
          <w:rFonts w:hint="eastAsia" w:ascii="Times New Roman" w:hAnsi="Times New Roman" w:eastAsia="方正仿宋简体"/>
          <w:color w:val="000000"/>
          <w:lang w:val="en-US" w:eastAsia="zh-CN"/>
        </w:rPr>
        <w:t>3</w:t>
      </w:r>
      <w:r>
        <w:rPr>
          <w:rFonts w:ascii="Times New Roman" w:hAnsi="Times New Roman" w:eastAsia="方正仿宋简体"/>
          <w:color w:val="000000"/>
        </w:rPr>
        <w:t>年度顺利完成了各项工作任务，确保了社会稳定。项目效益情况。</w:t>
      </w:r>
    </w:p>
    <w:p>
      <w:pPr>
        <w:autoSpaceDE w:val="0"/>
        <w:autoSpaceDN w:val="0"/>
        <w:spacing w:line="540" w:lineRule="exact"/>
        <w:ind w:firstLine="640" w:firstLineChars="200"/>
        <w:rPr>
          <w:rFonts w:ascii="Times New Roman" w:hAnsi="Times New Roman" w:eastAsia="方正仿宋简体"/>
          <w:color w:val="000000"/>
        </w:rPr>
      </w:pPr>
      <w:r>
        <w:rPr>
          <w:rFonts w:ascii="Times New Roman" w:hAnsi="Times New Roman" w:eastAsia="方正仿宋简体"/>
          <w:color w:val="000000"/>
        </w:rPr>
        <w:t>社会效益方面，我单位严格各项工作审核制度，确保各项工作能按时保质完成，信访工作安全有序进行。</w:t>
      </w:r>
    </w:p>
    <w:p>
      <w:pPr>
        <w:autoSpaceDE w:val="0"/>
        <w:autoSpaceDN w:val="0"/>
        <w:spacing w:line="540" w:lineRule="exact"/>
        <w:ind w:firstLine="640" w:firstLineChars="200"/>
        <w:rPr>
          <w:rFonts w:ascii="方正黑体简体" w:hAnsi="Times New Roman" w:eastAsia="方正黑体简体"/>
          <w:color w:val="000000"/>
        </w:rPr>
      </w:pPr>
      <w:r>
        <w:rPr>
          <w:rFonts w:hint="eastAsia" w:ascii="方正黑体简体" w:hAnsi="Times New Roman" w:eastAsia="方正黑体简体"/>
          <w:color w:val="000000"/>
        </w:rPr>
        <w:t>五、主要经验及做法、存在的问题及原因分析</w:t>
      </w:r>
    </w:p>
    <w:p>
      <w:pPr>
        <w:ind w:firstLine="630"/>
        <w:rPr>
          <w:rFonts w:ascii="Times New Roman" w:hAnsi="Times New Roman" w:eastAsia="方正仿宋简体"/>
          <w:color w:val="000000"/>
          <w:shd w:val="clear" w:color="auto" w:fill="FFFFFF"/>
        </w:rPr>
      </w:pPr>
      <w:r>
        <w:rPr>
          <w:rFonts w:ascii="Times New Roman" w:hAnsi="Times New Roman" w:eastAsia="方正仿宋简体"/>
          <w:color w:val="000000"/>
          <w:shd w:val="clear" w:color="auto" w:fill="FFFFFF"/>
        </w:rPr>
        <w:t>㈠主要经验及做法。编制下一年专项经费预算时，要从源头抓起，未雨绸缪，逐一列出需要开支的项目，做到开展什么工作，需要多少经费，有依有据，心中有数。</w:t>
      </w:r>
    </w:p>
    <w:p>
      <w:pPr>
        <w:ind w:firstLine="630"/>
        <w:rPr>
          <w:rFonts w:ascii="Times New Roman" w:hAnsi="Times New Roman" w:eastAsia="方正仿宋简体"/>
          <w:color w:val="000000"/>
          <w:shd w:val="clear" w:color="auto" w:fill="FFFFFF"/>
        </w:rPr>
      </w:pPr>
      <w:r>
        <w:rPr>
          <w:rFonts w:ascii="Times New Roman" w:hAnsi="Times New Roman" w:eastAsia="方正仿宋简体"/>
          <w:color w:val="000000"/>
          <w:shd w:val="clear" w:color="auto" w:fill="FFFFFF"/>
        </w:rPr>
        <w:t>㈡存在问题和原因分析。</w:t>
      </w:r>
    </w:p>
    <w:p>
      <w:pPr>
        <w:ind w:firstLine="630"/>
        <w:rPr>
          <w:rFonts w:ascii="Times New Roman" w:hAnsi="Times New Roman" w:eastAsia="方正仿宋简体"/>
          <w:color w:val="000000"/>
          <w:shd w:val="clear" w:color="auto" w:fill="FFFFFF"/>
        </w:rPr>
      </w:pPr>
      <w:r>
        <w:rPr>
          <w:rFonts w:ascii="Times New Roman" w:hAnsi="Times New Roman" w:eastAsia="方正仿宋简体"/>
          <w:color w:val="000000"/>
          <w:shd w:val="clear" w:color="auto" w:fill="FFFFFF"/>
        </w:rPr>
        <w:t>通过此次专项绩效评估，评估小组认为在当年组织的专项项目经费核拨下来后，按照年初的使用计划，应细化经费安排，全年合理分配资金。</w:t>
      </w:r>
    </w:p>
    <w:p>
      <w:pPr>
        <w:autoSpaceDE w:val="0"/>
        <w:autoSpaceDN w:val="0"/>
        <w:spacing w:line="540" w:lineRule="exact"/>
        <w:ind w:firstLine="640" w:firstLineChars="200"/>
        <w:rPr>
          <w:rFonts w:ascii="方正黑体简体" w:hAnsi="方正黑体简体" w:eastAsia="方正黑体简体" w:cs="方正黑体简体"/>
          <w:color w:val="000000"/>
        </w:rPr>
      </w:pPr>
      <w:r>
        <w:rPr>
          <w:rFonts w:hint="eastAsia" w:ascii="方正黑体简体" w:hAnsi="方正黑体简体" w:eastAsia="方正黑体简体" w:cs="方正黑体简体"/>
          <w:color w:val="000000"/>
        </w:rPr>
        <w:t>六、有关建议</w:t>
      </w:r>
    </w:p>
    <w:p>
      <w:pPr>
        <w:autoSpaceDE w:val="0"/>
        <w:autoSpaceDN w:val="0"/>
        <w:spacing w:line="540" w:lineRule="exact"/>
        <w:ind w:firstLine="640" w:firstLineChars="200"/>
        <w:rPr>
          <w:rFonts w:ascii="方正黑体简体" w:hAnsi="方正黑体简体" w:eastAsia="方正黑体简体" w:cs="方正黑体简体"/>
          <w:color w:val="000000"/>
        </w:rPr>
      </w:pPr>
      <w:r>
        <w:rPr>
          <w:rFonts w:hint="eastAsia" w:ascii="方正黑体简体" w:hAnsi="方正黑体简体" w:eastAsia="方正黑体简体" w:cs="方正黑体简体"/>
          <w:color w:val="000000"/>
        </w:rPr>
        <w:t>无</w:t>
      </w:r>
    </w:p>
    <w:p>
      <w:pPr>
        <w:autoSpaceDE w:val="0"/>
        <w:autoSpaceDN w:val="0"/>
        <w:spacing w:line="540" w:lineRule="exact"/>
        <w:ind w:firstLine="640" w:firstLineChars="200"/>
        <w:rPr>
          <w:rFonts w:ascii="方正黑体简体" w:hAnsi="方正黑体简体" w:eastAsia="方正黑体简体" w:cs="方正黑体简体"/>
          <w:color w:val="000000"/>
        </w:rPr>
      </w:pPr>
      <w:r>
        <w:rPr>
          <w:rFonts w:hint="eastAsia" w:ascii="方正黑体简体" w:hAnsi="方正黑体简体" w:eastAsia="方正黑体简体" w:cs="方正黑体简体"/>
          <w:color w:val="000000"/>
        </w:rPr>
        <w:t>七、其他需要说明的问题</w:t>
      </w:r>
    </w:p>
    <w:p>
      <w:pPr>
        <w:autoSpaceDE w:val="0"/>
        <w:autoSpaceDN w:val="0"/>
        <w:spacing w:line="540" w:lineRule="exact"/>
        <w:ind w:firstLine="640" w:firstLineChars="200"/>
        <w:rPr>
          <w:rFonts w:ascii="方正黑体简体" w:hAnsi="方正黑体简体" w:eastAsia="方正黑体简体" w:cs="方正黑体简体"/>
          <w:color w:val="000000"/>
        </w:rPr>
      </w:pPr>
      <w:r>
        <w:rPr>
          <w:rFonts w:hint="eastAsia" w:ascii="方正黑体简体" w:hAnsi="方正黑体简体" w:eastAsia="方正黑体简体" w:cs="方正黑体简体"/>
          <w:color w:val="000000"/>
        </w:rPr>
        <w:t>无</w:t>
      </w:r>
    </w:p>
    <w:p/>
    <w:p>
      <w:pPr>
        <w:ind w:firstLine="600" w:firstLineChars="200"/>
        <w:rPr>
          <w:rFonts w:ascii="Times New Roman" w:hAnsi="Times New Roman" w:eastAsia="方正仿宋简体"/>
          <w:color w:val="000000"/>
          <w:kern w:val="0"/>
          <w:sz w:val="30"/>
          <w:szCs w:val="30"/>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仿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AFC2D"/>
    <w:multiLevelType w:val="singleLevel"/>
    <w:tmpl w:val="F2AAFC2D"/>
    <w:lvl w:ilvl="0" w:tentative="0">
      <w:start w:val="2"/>
      <w:numFmt w:val="chineseCounting"/>
      <w:suff w:val="nothing"/>
      <w:lvlText w:val="（%1）"/>
      <w:lvlJc w:val="left"/>
      <w:rPr>
        <w:rFonts w:hint="eastAsia"/>
      </w:rPr>
    </w:lvl>
  </w:abstractNum>
  <w:abstractNum w:abstractNumId="1">
    <w:nsid w:val="0CDD3982"/>
    <w:multiLevelType w:val="multilevel"/>
    <w:tmpl w:val="0CDD3982"/>
    <w:lvl w:ilvl="0" w:tentative="0">
      <w:start w:val="3"/>
      <w:numFmt w:val="ideograph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E2B9733"/>
    <w:multiLevelType w:val="singleLevel"/>
    <w:tmpl w:val="0E2B9733"/>
    <w:lvl w:ilvl="0" w:tentative="0">
      <w:start w:val="3"/>
      <w:numFmt w:val="chineseCounting"/>
      <w:suff w:val="nothing"/>
      <w:lvlText w:val="%1、"/>
      <w:lvlJc w:val="left"/>
      <w:rPr>
        <w:rFonts w:hint="eastAsia"/>
      </w:rPr>
    </w:lvl>
  </w:abstractNum>
  <w:abstractNum w:abstractNumId="3">
    <w:nsid w:val="7B194BAA"/>
    <w:multiLevelType w:val="multilevel"/>
    <w:tmpl w:val="7B194BAA"/>
    <w:lvl w:ilvl="0" w:tentative="0">
      <w:start w:val="2"/>
      <w:numFmt w:val="ideograph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JhOTIwZTQzNDVhOTk0M2FmYWM3MjQ1ZDdjNmM1MWUifQ=="/>
  </w:docVars>
  <w:rsids>
    <w:rsidRoot w:val="00F70E32"/>
    <w:rsid w:val="00051AA7"/>
    <w:rsid w:val="000529DB"/>
    <w:rsid w:val="000C6A38"/>
    <w:rsid w:val="0034703C"/>
    <w:rsid w:val="004C4B3E"/>
    <w:rsid w:val="004C6DF5"/>
    <w:rsid w:val="004F01CD"/>
    <w:rsid w:val="005C62E3"/>
    <w:rsid w:val="005E60A7"/>
    <w:rsid w:val="00610283"/>
    <w:rsid w:val="00670985"/>
    <w:rsid w:val="00693AF1"/>
    <w:rsid w:val="006F3B95"/>
    <w:rsid w:val="00770502"/>
    <w:rsid w:val="007C419E"/>
    <w:rsid w:val="007D3D36"/>
    <w:rsid w:val="00830017"/>
    <w:rsid w:val="008C2427"/>
    <w:rsid w:val="009E30C7"/>
    <w:rsid w:val="00A45553"/>
    <w:rsid w:val="00A807F7"/>
    <w:rsid w:val="00AE118D"/>
    <w:rsid w:val="00B21899"/>
    <w:rsid w:val="00B3769C"/>
    <w:rsid w:val="00B40BE9"/>
    <w:rsid w:val="00B42E0C"/>
    <w:rsid w:val="00BD57D6"/>
    <w:rsid w:val="00BE5F58"/>
    <w:rsid w:val="00BE79B8"/>
    <w:rsid w:val="00D505D5"/>
    <w:rsid w:val="00ED3424"/>
    <w:rsid w:val="00EF10CE"/>
    <w:rsid w:val="00F206DA"/>
    <w:rsid w:val="00F70E32"/>
    <w:rsid w:val="00FD2EB1"/>
    <w:rsid w:val="103422C8"/>
    <w:rsid w:val="2AA401C6"/>
    <w:rsid w:val="33D87992"/>
    <w:rsid w:val="4544625E"/>
    <w:rsid w:val="54395378"/>
    <w:rsid w:val="553D56D8"/>
    <w:rsid w:val="55DC0C66"/>
    <w:rsid w:val="584208D0"/>
    <w:rsid w:val="5A2D62EF"/>
    <w:rsid w:val="5CC5370D"/>
    <w:rsid w:val="65245815"/>
    <w:rsid w:val="65BF0AF8"/>
    <w:rsid w:val="65BF5D96"/>
    <w:rsid w:val="7CD63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汉鼎简仿宋" w:cs="Times New Roman"/>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262</Words>
  <Characters>1499</Characters>
  <Lines>12</Lines>
  <Paragraphs>3</Paragraphs>
  <TotalTime>2</TotalTime>
  <ScaleCrop>false</ScaleCrop>
  <LinksUpToDate>false</LinksUpToDate>
  <CharactersWithSpaces>1758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2020-08-31T08:57:00Z</dcterms:created>
  <dc:creator>Administrator</dc:creator>
  <cp:lastModifiedBy>刘鹏宇</cp:lastModifiedBy>
  <cp:lastPrinted>2022-03-14T23:10:00Z</cp:lastPrinted>
  <dcterms:modified xsi:type="dcterms:W3CDTF">2024-04-07T03:42:58Z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6155D270B4344AA396FF202C9DEE3620_12</vt:lpwstr>
  </property>
</Properties>
</file>