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2023年单位预算信息公开目录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单位预算</w:t>
      </w:r>
    </w:p>
    <w:p>
      <w:pPr>
        <w:spacing w:before="0" w:after="0" w:line="240" w:lineRule="auto"/>
        <w:ind w:firstLine="0"/>
        <w:jc w:val="left"/>
        <w:outlineLvl w:val="9"/>
      </w:pPr>
      <w:r>
        <w:rPr>
          <w:rFonts w:ascii="方正楷体_GBK" w:eastAsia="方正楷体_GBK" w:cs="方正楷体_GBK"/>
          <w:b/>
          <w:color w:val="000000"/>
          <w:sz w:val="28"/>
        </w:rPr>
        <w:t>单位预算公开表</w:t>
      </w:r>
    </w:p>
    <w:p>
      <w:pPr>
        <w:pStyle w:val="32"/>
        <w:tabs>
          <w:tab w:val="right" w:leader="dot" w:pos="14562"/>
        </w:tabs>
      </w:pPr>
      <w:r>
        <w:fldChar w:fldCharType="begin"/>
      </w:r>
      <w:r>
        <w:instrText xml:space="preserve">TOC \o "2-2" \h \z \u </w:instrText>
      </w:r>
      <w:r>
        <w:fldChar w:fldCharType="separate"/>
      </w:r>
      <w:r>
        <w:t>单位预算收支总表</w:t>
      </w:r>
      <w:r>
        <w:tab/>
      </w:r>
      <w:r>
        <w:t xml:space="preserve">|2 </w:t>
      </w:r>
    </w:p>
    <w:p>
      <w:pPr>
        <w:pStyle w:val="32"/>
        <w:tabs>
          <w:tab w:val="right" w:leader="dot" w:pos="14562"/>
        </w:tabs>
      </w:pPr>
      <w:r>
        <w:fldChar w:fldCharType="begin"/>
      </w:r>
      <w:r>
        <w:instrText xml:space="preserve">Hyperlink \l "_Toc_2_2_0000000002"</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Hyperlink \l "_Toc_2_2_0000000003"</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Hyperlink \l "_Toc_2_2_0000000004"</w:instrText>
      </w:r>
      <w:r>
        <w:fldChar w:fldCharType="separate"/>
      </w:r>
      <w:r>
        <w:t>单位预算财政拨款收支总表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Hyperlink \l "_Toc_2_2_0000000005"</w:instrText>
      </w:r>
      <w:r>
        <w:fldChar w:fldCharType="separate"/>
      </w:r>
      <w:r>
        <w:t>单位预算一般公共预算财政拨款支出表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Hyperlink \l "_Toc_2_2_0000000006"</w:instrText>
      </w:r>
      <w:r>
        <w:fldChar w:fldCharType="separate"/>
      </w:r>
      <w:r>
        <w:t>单位预算一般公共预算财政拨款基本支出表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Hyperlink \l "_Toc_2_2_0000000007"</w:instrText>
      </w:r>
      <w:r>
        <w:fldChar w:fldCharType="separate"/>
      </w:r>
      <w:r>
        <w:t>单位预算政府基金预算财政拨款支出表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单位预算国有资本经营预算财政拨款支出表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单位预算财政拨款“三公”经费支出表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单位预算信息公开情况说明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一、单位职责及机构设置情况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二、单位预算安排的总体情况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第一部分  单位预算</w:t>
      </w:r>
    </w:p>
    <w:p>
      <w:pPr>
        <w:spacing w:before="0" w:after="0"/>
        <w:ind w:firstLine="0"/>
        <w:jc w:val="center"/>
        <w:outlineLvl w:val="3"/>
      </w:pPr>
      <w:bookmarkStart w:id="0" w:name="_Toc_4_4_0000000019"/>
      <w:r>
        <w:rPr>
          <w:rFonts w:ascii="方正小标宋_GBK" w:eastAsia="方正小标宋_GBK" w:cs="方正小标宋_GBK"/>
          <w:b w:val="0"/>
          <w:color w:val="000000"/>
          <w:sz w:val="44"/>
        </w:rPr>
        <w:t>一、审计局本级收支预算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17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4536"/>
        <w:gridCol w:w="2959"/>
        <w:gridCol w:w="4535"/>
        <w:gridCol w:w="2959"/>
      </w:tblGrid>
      <w:tr>
        <w:trPr>
          <w:trHeight w:val="369" w:hRule="atLeast"/>
          <w:tblHeader/>
          <w:jc w:val="center"/>
        </w:trPr>
        <w:tc>
          <w:tcPr>
            <w:tcW w:w="7495" w:type="dxa"/>
            <w:gridSpan w:val="2"/>
            <w:tcBorders>
              <w:top w:val="single" w:color="FFFFFF" w:sz="6" w:space="0"/>
              <w:left w:val="single" w:color="FFFFFF" w:sz="6" w:space="0"/>
              <w:right w:val="single" w:color="FFFFFF" w:sz="6" w:space="0"/>
            </w:tcBorders>
            <w:vAlign w:val="center"/>
          </w:tcPr>
          <w:p>
            <w:pPr>
              <w:pStyle w:val="9"/>
            </w:pPr>
            <w:r>
              <w:t>319001审计局本级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7494"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2959" w:type="dxa"/>
            <w:vMerge w:val="restart"/>
            <w:tcBorders>
              <w:left w:val="single" w:color="000000" w:sz="6" w:space="0"/>
              <w:right w:val="single" w:color="000000" w:sz="6" w:space="0"/>
            </w:tcBorders>
            <w:vAlign w:val="center"/>
          </w:tcPr>
          <w:p>
            <w:pPr>
              <w:pStyle w:val="10"/>
            </w:pPr>
            <w:r>
              <w:t>序号</w:t>
            </w:r>
          </w:p>
        </w:tc>
        <w:tc>
          <w:tcPr>
            <w:tcW w:w="7495" w:type="dxa"/>
            <w:gridSpan w:val="2"/>
            <w:tcBorders>
              <w:left w:val="single" w:color="000000" w:sz="6" w:space="0"/>
              <w:right w:val="single" w:color="000000" w:sz="6" w:space="0"/>
            </w:tcBorders>
            <w:vAlign w:val="center"/>
          </w:tcPr>
          <w:p>
            <w:pPr>
              <w:pStyle w:val="10"/>
            </w:pPr>
            <w:r>
              <w:t>收入</w:t>
            </w:r>
          </w:p>
        </w:tc>
        <w:tc>
          <w:tcPr>
            <w:tcW w:w="7494" w:type="dxa"/>
            <w:gridSpan w:val="2"/>
            <w:tcBorders>
              <w:left w:val="single" w:color="000000" w:sz="6" w:space="0"/>
              <w:right w:val="single" w:color="000000" w:sz="6" w:space="0"/>
            </w:tcBorders>
            <w:vAlign w:val="center"/>
          </w:tcPr>
          <w:p>
            <w:pPr>
              <w:pStyle w:val="10"/>
            </w:pPr>
            <w:r>
              <w:t>支出</w:t>
            </w:r>
          </w:p>
        </w:tc>
      </w:tr>
      <w:tr>
        <w:trPr>
          <w:trHeight w:val="369" w:hRule="atLeast"/>
          <w:tblHeader/>
          <w:jc w:val="center"/>
        </w:trPr>
        <w:tc>
          <w:tcPr>
            <w:tcW w:w="2959" w:type="dxa"/>
            <w:vMerge w:val="continue"/>
            <w:tcBorders>
              <w:left w:val="single" w:color="000000" w:sz="6" w:space="0"/>
              <w:right w:val="single" w:color="000000" w:sz="6" w:space="0"/>
            </w:tcBorders>
            <w:vAlign w:val="top"/>
          </w:tcPr>
          <w:p/>
        </w:tc>
        <w:tc>
          <w:tcPr>
            <w:tcW w:w="4536" w:type="dxa"/>
            <w:tcBorders>
              <w:left w:val="single" w:color="000000" w:sz="6" w:space="0"/>
              <w:right w:val="single" w:color="000000" w:sz="6" w:space="0"/>
            </w:tcBorders>
            <w:vAlign w:val="center"/>
          </w:tcPr>
          <w:p>
            <w:pPr>
              <w:pStyle w:val="10"/>
            </w:pPr>
            <w:r>
              <w:t>项  目</w:t>
            </w:r>
          </w:p>
        </w:tc>
        <w:tc>
          <w:tcPr>
            <w:tcW w:w="2959"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959" w:type="dxa"/>
            <w:tcBorders>
              <w:left w:val="single" w:color="000000" w:sz="6" w:space="0"/>
              <w:right w:val="single" w:color="000000" w:sz="6" w:space="0"/>
            </w:tcBorders>
            <w:vAlign w:val="center"/>
          </w:tcPr>
          <w:p>
            <w:pPr>
              <w:pStyle w:val="10"/>
            </w:pPr>
            <w:r>
              <w:t>预算数</w:t>
            </w:r>
          </w:p>
        </w:tc>
      </w:tr>
      <w:tr>
        <w:trPr>
          <w:trHeight w:val="369" w:hRule="atLeast"/>
          <w:tblHeader/>
          <w:jc w:val="center"/>
        </w:trPr>
        <w:tc>
          <w:tcPr>
            <w:tcW w:w="2959" w:type="dxa"/>
            <w:tcBorders>
              <w:left w:val="single" w:color="000000" w:sz="6" w:space="0"/>
              <w:right w:val="single" w:color="000000" w:sz="6" w:space="0"/>
            </w:tcBorders>
            <w:vAlign w:val="center"/>
          </w:tcPr>
          <w:p>
            <w:pPr>
              <w:pStyle w:val="10"/>
            </w:pPr>
            <w:r>
              <w:t>栏次</w:t>
            </w:r>
          </w:p>
        </w:tc>
        <w:tc>
          <w:tcPr>
            <w:tcW w:w="4536" w:type="dxa"/>
            <w:tcBorders>
              <w:left w:val="single" w:color="000000" w:sz="6" w:space="0"/>
              <w:right w:val="single" w:color="000000" w:sz="6" w:space="0"/>
            </w:tcBorders>
            <w:vAlign w:val="center"/>
          </w:tcPr>
          <w:p>
            <w:pPr>
              <w:pStyle w:val="10"/>
            </w:pPr>
            <w:r>
              <w:t>1</w:t>
            </w:r>
          </w:p>
        </w:tc>
        <w:tc>
          <w:tcPr>
            <w:tcW w:w="2959"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959" w:type="dxa"/>
            <w:tcBorders>
              <w:left w:val="single" w:color="000000" w:sz="6" w:space="0"/>
              <w:right w:val="single" w:color="000000" w:sz="6" w:space="0"/>
            </w:tcBorders>
            <w:vAlign w:val="center"/>
          </w:tcPr>
          <w:p>
            <w:pPr>
              <w:pStyle w:val="10"/>
            </w:pPr>
            <w:r>
              <w:t>4</w:t>
            </w:r>
          </w:p>
        </w:tc>
      </w:tr>
      <w:tr>
        <w:trPr>
          <w:trHeight w:val="369" w:hRule="atLeast"/>
          <w:jc w:val="center"/>
        </w:trPr>
        <w:tc>
          <w:tcPr>
            <w:tcW w:w="2959" w:type="dxa"/>
            <w:tcBorders>
              <w:left w:val="single" w:color="000000" w:sz="6" w:space="0"/>
              <w:right w:val="single" w:color="000000" w:sz="6" w:space="0"/>
            </w:tcBorders>
            <w:vAlign w:val="center"/>
          </w:tcPr>
          <w:p>
            <w:pPr>
              <w:pStyle w:val="13"/>
            </w:pPr>
            <w:r>
              <w:t>1</w:t>
            </w:r>
          </w:p>
        </w:tc>
        <w:tc>
          <w:tcPr>
            <w:tcW w:w="4536" w:type="dxa"/>
            <w:tcBorders>
              <w:left w:val="single" w:color="000000" w:sz="6" w:space="0"/>
              <w:right w:val="single" w:color="000000" w:sz="6" w:space="0"/>
            </w:tcBorders>
            <w:vAlign w:val="center"/>
          </w:tcPr>
          <w:p>
            <w:pPr>
              <w:pStyle w:val="12"/>
            </w:pPr>
            <w:r>
              <w:t>一、一般公共预算拨款收入</w:t>
            </w:r>
          </w:p>
        </w:tc>
        <w:tc>
          <w:tcPr>
            <w:tcW w:w="2959" w:type="dxa"/>
            <w:tcBorders>
              <w:left w:val="single" w:color="000000" w:sz="6" w:space="0"/>
              <w:right w:val="single" w:color="000000" w:sz="6" w:space="0"/>
            </w:tcBorders>
            <w:vAlign w:val="center"/>
          </w:tcPr>
          <w:p>
            <w:pPr>
              <w:pStyle w:val="11"/>
            </w:pPr>
            <w:r>
              <w:t>674.70</w:t>
            </w:r>
          </w:p>
        </w:tc>
        <w:tc>
          <w:tcPr>
            <w:tcW w:w="4535" w:type="dxa"/>
            <w:tcBorders>
              <w:left w:val="single" w:color="000000" w:sz="6" w:space="0"/>
              <w:right w:val="single" w:color="000000" w:sz="6" w:space="0"/>
            </w:tcBorders>
            <w:vAlign w:val="center"/>
          </w:tcPr>
          <w:p>
            <w:pPr>
              <w:pStyle w:val="12"/>
            </w:pPr>
            <w:r>
              <w:t>一、一般公共服务支出</w:t>
            </w:r>
          </w:p>
        </w:tc>
        <w:tc>
          <w:tcPr>
            <w:tcW w:w="2959" w:type="dxa"/>
            <w:tcBorders>
              <w:left w:val="single" w:color="000000" w:sz="6" w:space="0"/>
              <w:right w:val="single" w:color="000000" w:sz="6" w:space="0"/>
            </w:tcBorders>
            <w:vAlign w:val="center"/>
          </w:tcPr>
          <w:p>
            <w:pPr>
              <w:pStyle w:val="11"/>
              <w:jc w:val="center"/>
            </w:pPr>
            <w:r>
              <w:t>519.54</w:t>
            </w:r>
          </w:p>
        </w:tc>
      </w:tr>
      <w:tr>
        <w:trPr>
          <w:trHeight w:val="369" w:hRule="atLeast"/>
          <w:jc w:val="center"/>
        </w:trPr>
        <w:tc>
          <w:tcPr>
            <w:tcW w:w="2959" w:type="dxa"/>
            <w:tcBorders>
              <w:left w:val="single" w:color="000000" w:sz="6" w:space="0"/>
              <w:right w:val="single" w:color="000000" w:sz="6" w:space="0"/>
            </w:tcBorders>
            <w:vAlign w:val="center"/>
          </w:tcPr>
          <w:p>
            <w:pPr>
              <w:pStyle w:val="13"/>
            </w:pPr>
            <w:r>
              <w:t>2</w:t>
            </w:r>
          </w:p>
        </w:tc>
        <w:tc>
          <w:tcPr>
            <w:tcW w:w="4536" w:type="dxa"/>
            <w:tcBorders>
              <w:left w:val="single" w:color="000000" w:sz="6" w:space="0"/>
              <w:right w:val="single" w:color="000000" w:sz="6" w:space="0"/>
            </w:tcBorders>
            <w:vAlign w:val="center"/>
          </w:tcPr>
          <w:p>
            <w:pPr>
              <w:pStyle w:val="12"/>
            </w:pPr>
            <w:r>
              <w:t>二、政府性基金预算拨款收入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3</w:t>
            </w:r>
          </w:p>
        </w:tc>
        <w:tc>
          <w:tcPr>
            <w:tcW w:w="4536" w:type="dxa"/>
            <w:tcBorders>
              <w:left w:val="single" w:color="000000" w:sz="6" w:space="0"/>
              <w:right w:val="single" w:color="000000" w:sz="6" w:space="0"/>
            </w:tcBorders>
            <w:vAlign w:val="center"/>
          </w:tcPr>
          <w:p>
            <w:pPr>
              <w:pStyle w:val="12"/>
            </w:pPr>
            <w:r>
              <w:t>三、国有资本经营预算拨款收入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4</w:t>
            </w:r>
          </w:p>
        </w:tc>
        <w:tc>
          <w:tcPr>
            <w:tcW w:w="4536" w:type="dxa"/>
            <w:tcBorders>
              <w:left w:val="single" w:color="000000" w:sz="6" w:space="0"/>
              <w:right w:val="single" w:color="000000" w:sz="6" w:space="0"/>
            </w:tcBorders>
            <w:vAlign w:val="center"/>
          </w:tcPr>
          <w:p>
            <w:pPr>
              <w:pStyle w:val="12"/>
            </w:pPr>
            <w:r>
              <w:t>四、财政专户管理资金收入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5</w:t>
            </w:r>
          </w:p>
        </w:tc>
        <w:tc>
          <w:tcPr>
            <w:tcW w:w="4536" w:type="dxa"/>
            <w:tcBorders>
              <w:left w:val="single" w:color="000000" w:sz="6" w:space="0"/>
              <w:right w:val="single" w:color="000000" w:sz="6" w:space="0"/>
            </w:tcBorders>
            <w:vAlign w:val="center"/>
          </w:tcPr>
          <w:p>
            <w:pPr>
              <w:pStyle w:val="12"/>
            </w:pPr>
            <w:r>
              <w:t>五、事业收入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6</w:t>
            </w:r>
          </w:p>
        </w:tc>
        <w:tc>
          <w:tcPr>
            <w:tcW w:w="4536" w:type="dxa"/>
            <w:tcBorders>
              <w:left w:val="single" w:color="000000" w:sz="6" w:space="0"/>
              <w:right w:val="single" w:color="000000" w:sz="6" w:space="0"/>
            </w:tcBorders>
            <w:vAlign w:val="center"/>
          </w:tcPr>
          <w:p>
            <w:pPr>
              <w:pStyle w:val="12"/>
            </w:pPr>
            <w:r>
              <w:t>六、事业单位经营收入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7</w:t>
            </w:r>
          </w:p>
        </w:tc>
        <w:tc>
          <w:tcPr>
            <w:tcW w:w="4536" w:type="dxa"/>
            <w:tcBorders>
              <w:left w:val="single" w:color="000000" w:sz="6" w:space="0"/>
              <w:right w:val="single" w:color="000000" w:sz="6" w:space="0"/>
            </w:tcBorders>
            <w:vAlign w:val="center"/>
          </w:tcPr>
          <w:p>
            <w:pPr>
              <w:pStyle w:val="12"/>
            </w:pPr>
            <w:r>
              <w:t>七、上级补助收入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8</w:t>
            </w:r>
          </w:p>
        </w:tc>
        <w:tc>
          <w:tcPr>
            <w:tcW w:w="4536" w:type="dxa"/>
            <w:tcBorders>
              <w:left w:val="single" w:color="000000" w:sz="6" w:space="0"/>
              <w:right w:val="single" w:color="000000" w:sz="6" w:space="0"/>
            </w:tcBorders>
            <w:vAlign w:val="center"/>
          </w:tcPr>
          <w:p>
            <w:pPr>
              <w:pStyle w:val="12"/>
            </w:pPr>
            <w:r>
              <w:t>八、附属单位上缴收入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959" w:type="dxa"/>
            <w:tcBorders>
              <w:left w:val="single" w:color="000000" w:sz="6" w:space="0"/>
              <w:right w:val="single" w:color="000000" w:sz="6" w:space="0"/>
            </w:tcBorders>
            <w:vAlign w:val="center"/>
          </w:tcPr>
          <w:p>
            <w:pPr>
              <w:pStyle w:val="11"/>
              <w:jc w:val="center"/>
            </w:pPr>
            <w:r>
              <w:t>52.89</w:t>
            </w:r>
          </w:p>
        </w:tc>
      </w:tr>
      <w:tr>
        <w:trPr>
          <w:trHeight w:val="369" w:hRule="atLeast"/>
          <w:jc w:val="center"/>
        </w:trPr>
        <w:tc>
          <w:tcPr>
            <w:tcW w:w="2959" w:type="dxa"/>
            <w:tcBorders>
              <w:left w:val="single" w:color="000000" w:sz="6" w:space="0"/>
              <w:right w:val="single" w:color="000000" w:sz="6" w:space="0"/>
            </w:tcBorders>
            <w:vAlign w:val="center"/>
          </w:tcPr>
          <w:p>
            <w:pPr>
              <w:pStyle w:val="13"/>
            </w:pPr>
            <w:r>
              <w:t>9</w:t>
            </w:r>
          </w:p>
        </w:tc>
        <w:tc>
          <w:tcPr>
            <w:tcW w:w="4536" w:type="dxa"/>
            <w:tcBorders>
              <w:left w:val="single" w:color="000000" w:sz="6" w:space="0"/>
              <w:right w:val="single" w:color="000000" w:sz="6" w:space="0"/>
            </w:tcBorders>
            <w:vAlign w:val="center"/>
          </w:tcPr>
          <w:p>
            <w:pPr>
              <w:pStyle w:val="12"/>
            </w:pPr>
            <w:r>
              <w:t>九、其他收入</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10</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959" w:type="dxa"/>
            <w:tcBorders>
              <w:left w:val="single" w:color="000000" w:sz="6" w:space="0"/>
              <w:right w:val="single" w:color="000000" w:sz="6" w:space="0"/>
            </w:tcBorders>
            <w:vAlign w:val="center"/>
          </w:tcPr>
          <w:p>
            <w:pPr>
              <w:pStyle w:val="11"/>
              <w:jc w:val="center"/>
            </w:pPr>
            <w:r>
              <w:t>62.61</w:t>
            </w:r>
          </w:p>
        </w:tc>
      </w:tr>
      <w:tr>
        <w:trPr>
          <w:trHeight w:val="369" w:hRule="atLeast"/>
          <w:jc w:val="center"/>
        </w:trPr>
        <w:tc>
          <w:tcPr>
            <w:tcW w:w="2959" w:type="dxa"/>
            <w:tcBorders>
              <w:left w:val="single" w:color="000000" w:sz="6" w:space="0"/>
              <w:right w:val="single" w:color="000000" w:sz="6" w:space="0"/>
            </w:tcBorders>
            <w:vAlign w:val="center"/>
          </w:tcPr>
          <w:p>
            <w:pPr>
              <w:pStyle w:val="13"/>
            </w:pPr>
            <w:r>
              <w:t>11</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12</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13</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14</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15</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16</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17</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18</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19</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20</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959" w:type="dxa"/>
            <w:tcBorders>
              <w:left w:val="single" w:color="000000" w:sz="6" w:space="0"/>
              <w:right w:val="single" w:color="000000" w:sz="6" w:space="0"/>
            </w:tcBorders>
            <w:vAlign w:val="center"/>
          </w:tcPr>
          <w:p>
            <w:pPr>
              <w:pStyle w:val="11"/>
              <w:jc w:val="center"/>
            </w:pPr>
            <w:r>
              <w:t>39.67</w:t>
            </w:r>
          </w:p>
        </w:tc>
      </w:tr>
      <w:tr>
        <w:trPr>
          <w:trHeight w:val="369" w:hRule="atLeast"/>
          <w:jc w:val="center"/>
        </w:trPr>
        <w:tc>
          <w:tcPr>
            <w:tcW w:w="2959" w:type="dxa"/>
            <w:tcBorders>
              <w:left w:val="single" w:color="000000" w:sz="6" w:space="0"/>
              <w:right w:val="single" w:color="000000" w:sz="6" w:space="0"/>
            </w:tcBorders>
            <w:vAlign w:val="center"/>
          </w:tcPr>
          <w:p>
            <w:pPr>
              <w:pStyle w:val="13"/>
            </w:pPr>
            <w:r>
              <w:t>21</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22</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23</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24</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25</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26</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27</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28</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29</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30</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959"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31</w:t>
            </w:r>
          </w:p>
        </w:tc>
        <w:tc>
          <w:tcPr>
            <w:tcW w:w="4536" w:type="dxa"/>
            <w:tcBorders>
              <w:left w:val="single" w:color="000000" w:sz="6" w:space="0"/>
              <w:right w:val="single" w:color="000000" w:sz="6" w:space="0"/>
            </w:tcBorders>
            <w:vAlign w:val="center"/>
          </w:tcPr>
          <w:p>
            <w:pPr>
              <w:pStyle w:val="12"/>
            </w:pP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32</w:t>
            </w:r>
          </w:p>
        </w:tc>
        <w:tc>
          <w:tcPr>
            <w:tcW w:w="4536" w:type="dxa"/>
            <w:tcBorders>
              <w:left w:val="single" w:color="000000" w:sz="6" w:space="0"/>
              <w:right w:val="single" w:color="000000" w:sz="6" w:space="0"/>
            </w:tcBorders>
            <w:vAlign w:val="center"/>
          </w:tcPr>
          <w:p>
            <w:pPr>
              <w:pStyle w:val="14"/>
            </w:pPr>
            <w:r>
              <w:t>本年收入合计</w:t>
            </w:r>
          </w:p>
        </w:tc>
        <w:tc>
          <w:tcPr>
            <w:tcW w:w="2959" w:type="dxa"/>
            <w:tcBorders>
              <w:left w:val="single" w:color="000000" w:sz="6" w:space="0"/>
              <w:right w:val="single" w:color="000000" w:sz="6" w:space="0"/>
            </w:tcBorders>
            <w:vAlign w:val="center"/>
          </w:tcPr>
          <w:p>
            <w:pPr>
              <w:pStyle w:val="15"/>
            </w:pPr>
            <w:r>
              <w:t>674.70</w:t>
            </w:r>
          </w:p>
        </w:tc>
        <w:tc>
          <w:tcPr>
            <w:tcW w:w="4535" w:type="dxa"/>
            <w:tcBorders>
              <w:left w:val="single" w:color="000000" w:sz="6" w:space="0"/>
              <w:right w:val="single" w:color="000000" w:sz="6" w:space="0"/>
            </w:tcBorders>
            <w:vAlign w:val="center"/>
          </w:tcPr>
          <w:p>
            <w:pPr>
              <w:pStyle w:val="14"/>
            </w:pPr>
            <w:r>
              <w:t>本年支出合计</w:t>
            </w:r>
          </w:p>
        </w:tc>
        <w:tc>
          <w:tcPr>
            <w:tcW w:w="2959" w:type="dxa"/>
            <w:tcBorders>
              <w:left w:val="single" w:color="000000" w:sz="6" w:space="0"/>
              <w:right w:val="single" w:color="000000" w:sz="6" w:space="0"/>
            </w:tcBorders>
            <w:vAlign w:val="center"/>
          </w:tcPr>
          <w:p>
            <w:pPr>
              <w:pStyle w:val="15"/>
              <w:jc w:val="center"/>
            </w:pPr>
            <w:r>
              <w:t>674.70</w:t>
            </w:r>
          </w:p>
        </w:tc>
      </w:tr>
      <w:tr>
        <w:trPr>
          <w:trHeight w:val="369" w:hRule="atLeast"/>
          <w:jc w:val="center"/>
        </w:trPr>
        <w:tc>
          <w:tcPr>
            <w:tcW w:w="2959" w:type="dxa"/>
            <w:tcBorders>
              <w:left w:val="single" w:color="000000" w:sz="6" w:space="0"/>
              <w:right w:val="single" w:color="000000" w:sz="6" w:space="0"/>
            </w:tcBorders>
            <w:vAlign w:val="center"/>
          </w:tcPr>
          <w:p>
            <w:pPr>
              <w:pStyle w:val="13"/>
            </w:pPr>
            <w:r>
              <w:t>33</w:t>
            </w:r>
          </w:p>
        </w:tc>
        <w:tc>
          <w:tcPr>
            <w:tcW w:w="4536" w:type="dxa"/>
            <w:tcBorders>
              <w:left w:val="single" w:color="000000" w:sz="6" w:space="0"/>
              <w:right w:val="single" w:color="000000" w:sz="6" w:space="0"/>
            </w:tcBorders>
            <w:vAlign w:val="center"/>
          </w:tcPr>
          <w:p>
            <w:pPr>
              <w:pStyle w:val="12"/>
            </w:pPr>
            <w:r>
              <w:t>上年结转结余</w:t>
            </w:r>
          </w:p>
        </w:tc>
        <w:tc>
          <w:tcPr>
            <w:tcW w:w="2959"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959"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34</w:t>
            </w:r>
          </w:p>
        </w:tc>
        <w:tc>
          <w:tcPr>
            <w:tcW w:w="4536" w:type="dxa"/>
            <w:tcBorders>
              <w:left w:val="single" w:color="000000" w:sz="6" w:space="0"/>
              <w:right w:val="single" w:color="000000" w:sz="6" w:space="0"/>
            </w:tcBorders>
            <w:vAlign w:val="center"/>
          </w:tcPr>
          <w:p>
            <w:pPr>
              <w:pStyle w:val="14"/>
            </w:pPr>
            <w:r>
              <w:t>收入总计</w:t>
            </w:r>
          </w:p>
        </w:tc>
        <w:tc>
          <w:tcPr>
            <w:tcW w:w="2959" w:type="dxa"/>
            <w:tcBorders>
              <w:left w:val="single" w:color="000000" w:sz="6" w:space="0"/>
              <w:right w:val="single" w:color="000000" w:sz="6" w:space="0"/>
            </w:tcBorders>
            <w:vAlign w:val="center"/>
          </w:tcPr>
          <w:p>
            <w:pPr>
              <w:pStyle w:val="15"/>
            </w:pPr>
            <w:r>
              <w:t>674.70</w:t>
            </w:r>
          </w:p>
        </w:tc>
        <w:tc>
          <w:tcPr>
            <w:tcW w:w="4535" w:type="dxa"/>
            <w:tcBorders>
              <w:left w:val="single" w:color="000000" w:sz="6" w:space="0"/>
              <w:right w:val="single" w:color="000000" w:sz="6" w:space="0"/>
            </w:tcBorders>
            <w:vAlign w:val="center"/>
          </w:tcPr>
          <w:p>
            <w:pPr>
              <w:pStyle w:val="14"/>
            </w:pPr>
            <w:r>
              <w:t>支出总计</w:t>
            </w:r>
          </w:p>
        </w:tc>
        <w:tc>
          <w:tcPr>
            <w:tcW w:w="2959" w:type="dxa"/>
            <w:tcBorders>
              <w:left w:val="single" w:color="000000" w:sz="6" w:space="0"/>
              <w:right w:val="single" w:color="000000" w:sz="6" w:space="0"/>
            </w:tcBorders>
            <w:vAlign w:val="center"/>
          </w:tcPr>
          <w:p>
            <w:pPr>
              <w:pStyle w:val="15"/>
              <w:jc w:val="center"/>
            </w:pPr>
            <w:r>
              <w:t>674.70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146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577" w:type="dxa"/>
            <w:gridSpan w:val="5"/>
            <w:tcBorders>
              <w:top w:val="single" w:color="FFFFFF" w:sz="6" w:space="0"/>
              <w:left w:val="single" w:color="FFFFFF" w:sz="6" w:space="0"/>
              <w:right w:val="single" w:color="FFFFFF" w:sz="6" w:space="0"/>
            </w:tcBorders>
            <w:vAlign w:val="center"/>
          </w:tcPr>
          <w:p>
            <w:pPr>
              <w:pStyle w:val="9"/>
            </w:pPr>
            <w:r>
              <w:t>319001审计局本级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758" w:type="dxa"/>
            <w:vMerge w:val="restart"/>
            <w:tcBorders>
              <w:left w:val="single" w:color="000000" w:sz="6" w:space="0"/>
              <w:right w:val="single" w:color="000000" w:sz="6" w:space="0"/>
            </w:tcBorders>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2" w:type="dxa"/>
            <w:gridSpan w:val="8"/>
            <w:tcBorders>
              <w:left w:val="single" w:color="000000" w:sz="6" w:space="0"/>
              <w:right w:val="single" w:color="000000" w:sz="6" w:space="0"/>
            </w:tcBorders>
            <w:vAlign w:val="center"/>
          </w:tcPr>
          <w:p>
            <w:pPr>
              <w:pStyle w:val="10"/>
            </w:pPr>
            <w:r>
              <w:t>本年收入</w:t>
            </w:r>
          </w:p>
        </w:tc>
        <w:tc>
          <w:tcPr>
            <w:tcW w:w="1134" w:type="dxa"/>
            <w:vMerge w:val="restart"/>
            <w:tcBorders>
              <w:left w:val="single" w:color="000000" w:sz="6" w:space="0"/>
              <w:right w:val="single" w:color="000000" w:sz="6" w:space="0"/>
            </w:tcBorders>
            <w:vAlign w:val="center"/>
          </w:tcPr>
          <w:p>
            <w:pPr>
              <w:pStyle w:val="10"/>
            </w:pPr>
            <w:r>
              <w:t>上年结转</w:t>
            </w:r>
          </w:p>
        </w:tc>
      </w:tr>
      <w:tr>
        <w:trPr>
          <w:trHeight w:val="369" w:hRule="atLeast"/>
          <w:tblHeader/>
          <w:jc w:val="center"/>
        </w:trPr>
        <w:tc>
          <w:tcPr>
            <w:tcW w:w="758" w:type="dxa"/>
            <w:vMerge w:val="continue"/>
            <w:tcBorders>
              <w:left w:val="single" w:color="000000" w:sz="6" w:space="0"/>
              <w:right w:val="single" w:color="000000" w:sz="6" w:space="0"/>
            </w:tcBorders>
            <w:vAlign w:val="top"/>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vAlign w:val="top"/>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Borders>
              <w:left w:val="single" w:color="000000" w:sz="6" w:space="0"/>
              <w:right w:val="single" w:color="000000" w:sz="6" w:space="0"/>
            </w:tcBorders>
            <w:vAlign w:val="top"/>
          </w:tcPr>
          <w:p/>
        </w:tc>
      </w:tr>
      <w:tr>
        <w:trPr>
          <w:trHeight w:val="369" w:hRule="atLeast"/>
          <w:tblHeader/>
          <w:jc w:val="center"/>
        </w:trPr>
        <w:tc>
          <w:tcPr>
            <w:tcW w:w="758"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tcBorders>
              <w:left w:val="single" w:color="000000" w:sz="6" w:space="0"/>
              <w:right w:val="single" w:color="000000" w:sz="6" w:space="0"/>
            </w:tcBorders>
            <w:vAlign w:val="center"/>
          </w:tcPr>
          <w:p>
            <w:pPr>
              <w:pStyle w:val="10"/>
            </w:pPr>
            <w:r>
              <w:t>12</w:t>
            </w:r>
          </w:p>
        </w:tc>
      </w:tr>
      <w:tr>
        <w:trPr>
          <w:trHeight w:val="369" w:hRule="atLeast"/>
          <w:jc w:val="center"/>
        </w:trPr>
        <w:tc>
          <w:tcPr>
            <w:tcW w:w="758"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rPr>
          <w:trHeight w:val="369" w:hRule="atLeast"/>
          <w:jc w:val="center"/>
        </w:trPr>
        <w:tc>
          <w:tcPr>
            <w:tcW w:w="758"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20108</w:t>
            </w:r>
          </w:p>
        </w:tc>
        <w:tc>
          <w:tcPr>
            <w:tcW w:w="1559" w:type="dxa"/>
            <w:tcBorders>
              <w:left w:val="single" w:color="000000" w:sz="6" w:space="0"/>
              <w:right w:val="single" w:color="000000" w:sz="6" w:space="0"/>
            </w:tcBorders>
            <w:vAlign w:val="center"/>
          </w:tcPr>
          <w:p>
            <w:pPr>
              <w:pStyle w:val="12"/>
            </w:pPr>
            <w:r>
              <w:t>审计事务</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2010801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2010804</w:t>
            </w:r>
          </w:p>
        </w:tc>
        <w:tc>
          <w:tcPr>
            <w:tcW w:w="1559" w:type="dxa"/>
            <w:tcBorders>
              <w:left w:val="single" w:color="000000" w:sz="6" w:space="0"/>
              <w:right w:val="single" w:color="000000" w:sz="6" w:space="0"/>
            </w:tcBorders>
            <w:vAlign w:val="center"/>
          </w:tcPr>
          <w:p>
            <w:pPr>
              <w:pStyle w:val="12"/>
            </w:pPr>
            <w:r>
              <w:t>审计业务</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2010805</w:t>
            </w:r>
          </w:p>
        </w:tc>
        <w:tc>
          <w:tcPr>
            <w:tcW w:w="1559" w:type="dxa"/>
            <w:tcBorders>
              <w:left w:val="single" w:color="000000" w:sz="6" w:space="0"/>
              <w:right w:val="single" w:color="000000" w:sz="6" w:space="0"/>
            </w:tcBorders>
            <w:vAlign w:val="center"/>
          </w:tcPr>
          <w:p>
            <w:pPr>
              <w:pStyle w:val="12"/>
            </w:pPr>
            <w:r>
              <w:t>审计管理</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2010806</w:t>
            </w:r>
          </w:p>
        </w:tc>
        <w:tc>
          <w:tcPr>
            <w:tcW w:w="1559" w:type="dxa"/>
            <w:tcBorders>
              <w:left w:val="single" w:color="000000" w:sz="6" w:space="0"/>
              <w:right w:val="single" w:color="000000" w:sz="6" w:space="0"/>
            </w:tcBorders>
            <w:vAlign w:val="center"/>
          </w:tcPr>
          <w:p>
            <w:pPr>
              <w:pStyle w:val="12"/>
            </w:pPr>
            <w:r>
              <w:t>信息化建设</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15</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16</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14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hRule="atLeast"/>
          <w:tblHeader/>
          <w:jc w:val="center"/>
        </w:trPr>
        <w:tc>
          <w:tcPr>
            <w:tcW w:w="6726"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095" w:type="dxa"/>
            <w:vMerge w:val="restart"/>
            <w:tcBorders>
              <w:left w:val="single" w:color="000000" w:sz="6" w:space="0"/>
              <w:right w:val="single" w:color="000000" w:sz="6" w:space="0"/>
            </w:tcBorders>
            <w:vAlign w:val="center"/>
          </w:tcPr>
          <w:p>
            <w:pPr>
              <w:pStyle w:val="10"/>
            </w:pPr>
            <w:r>
              <w:t>序号</w:t>
            </w:r>
          </w:p>
        </w:tc>
        <w:tc>
          <w:tcPr>
            <w:tcW w:w="5631"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tcBorders>
              <w:left w:val="single" w:color="000000" w:sz="6" w:space="0"/>
              <w:right w:val="single" w:color="000000" w:sz="6" w:space="0"/>
            </w:tcBorders>
            <w:vAlign w:val="center"/>
          </w:tcPr>
          <w:p>
            <w:pPr>
              <w:pStyle w:val="10"/>
            </w:pPr>
            <w:r>
              <w:t>对附属单位补助支出</w:t>
            </w:r>
          </w:p>
        </w:tc>
      </w:tr>
      <w:tr>
        <w:trPr>
          <w:trHeight w:val="369" w:hRule="atLeast"/>
          <w:tblHeader/>
          <w:jc w:val="center"/>
        </w:trPr>
        <w:tc>
          <w:tcPr>
            <w:tcW w:w="1095" w:type="dxa"/>
            <w:vMerge w:val="continue"/>
            <w:tcBorders>
              <w:left w:val="single" w:color="000000" w:sz="6" w:space="0"/>
              <w:right w:val="single" w:color="000000" w:sz="6" w:space="0"/>
            </w:tcBorders>
            <w:vAlign w:val="top"/>
          </w:tcPr>
          <w:p/>
        </w:tc>
        <w:tc>
          <w:tcPr>
            <w:tcW w:w="1095" w:type="dxa"/>
            <w:tcBorders>
              <w:left w:val="single" w:color="000000" w:sz="6" w:space="0"/>
              <w:right w:val="single" w:color="000000" w:sz="6" w:space="0"/>
            </w:tcBorders>
            <w:vAlign w:val="center"/>
          </w:tcPr>
          <w:p>
            <w:pPr>
              <w:pStyle w:val="10"/>
            </w:pPr>
            <w:r>
              <w:t>科目    编码</w:t>
            </w:r>
          </w:p>
        </w:tc>
        <w:tc>
          <w:tcPr>
            <w:tcW w:w="4536"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r>
      <w:tr>
        <w:trPr>
          <w:trHeight w:val="369" w:hRule="atLeast"/>
          <w:tblHeader/>
          <w:jc w:val="center"/>
        </w:trPr>
        <w:tc>
          <w:tcPr>
            <w:tcW w:w="1095" w:type="dxa"/>
            <w:tcBorders>
              <w:left w:val="single" w:color="000000" w:sz="6" w:space="0"/>
              <w:right w:val="single" w:color="000000" w:sz="6" w:space="0"/>
            </w:tcBorders>
            <w:vAlign w:val="center"/>
          </w:tcPr>
          <w:p>
            <w:pPr>
              <w:pStyle w:val="10"/>
            </w:pPr>
            <w:r>
              <w:t>栏次</w:t>
            </w:r>
          </w:p>
        </w:tc>
        <w:tc>
          <w:tcPr>
            <w:tcW w:w="1095" w:type="dxa"/>
            <w:tcBorders>
              <w:left w:val="single" w:color="000000" w:sz="6" w:space="0"/>
              <w:right w:val="single" w:color="000000" w:sz="6" w:space="0"/>
            </w:tcBorders>
            <w:vAlign w:val="center"/>
          </w:tcPr>
          <w:p>
            <w:pPr>
              <w:pStyle w:val="10"/>
            </w:pPr>
            <w:r>
              <w:t>1</w:t>
            </w:r>
          </w:p>
        </w:tc>
        <w:tc>
          <w:tcPr>
            <w:tcW w:w="4536"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tcBorders>
              <w:left w:val="single" w:color="000000" w:sz="6" w:space="0"/>
              <w:right w:val="single" w:color="000000" w:sz="6" w:space="0"/>
            </w:tcBorders>
            <w:vAlign w:val="center"/>
          </w:tcPr>
          <w:p>
            <w:pPr>
              <w:pStyle w:val="10"/>
            </w:pPr>
            <w:r>
              <w:t>8</w:t>
            </w:r>
          </w:p>
        </w:tc>
      </w:tr>
      <w:tr>
        <w:trPr>
          <w:trHeight w:val="369" w:hRule="atLeast"/>
          <w:jc w:val="center"/>
        </w:trPr>
        <w:tc>
          <w:tcPr>
            <w:tcW w:w="1095" w:type="dxa"/>
            <w:tcBorders>
              <w:left w:val="single" w:color="000000" w:sz="6" w:space="0"/>
              <w:right w:val="single" w:color="000000" w:sz="6" w:space="0"/>
            </w:tcBorders>
            <w:vAlign w:val="center"/>
          </w:tcPr>
          <w:p>
            <w:pPr>
              <w:pStyle w:val="13"/>
            </w:pPr>
            <w:r>
              <w:t>1</w:t>
            </w:r>
          </w:p>
        </w:tc>
        <w:tc>
          <w:tcPr>
            <w:tcW w:w="1095" w:type="dxa"/>
            <w:tcBorders>
              <w:left w:val="single" w:color="000000" w:sz="6" w:space="0"/>
              <w:right w:val="single" w:color="000000" w:sz="6" w:space="0"/>
            </w:tcBorders>
            <w:vAlign w:val="center"/>
          </w:tcPr>
          <w:p>
            <w:pPr>
              <w:pStyle w:val="16"/>
            </w:pPr>
          </w:p>
        </w:tc>
        <w:tc>
          <w:tcPr>
            <w:tcW w:w="4536"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674.70</w:t>
            </w:r>
          </w:p>
        </w:tc>
        <w:tc>
          <w:tcPr>
            <w:tcW w:w="1361" w:type="dxa"/>
            <w:tcBorders>
              <w:left w:val="single" w:color="000000" w:sz="6" w:space="0"/>
              <w:right w:val="single" w:color="000000" w:sz="6" w:space="0"/>
            </w:tcBorders>
            <w:vAlign w:val="center"/>
          </w:tcPr>
          <w:p>
            <w:pPr>
              <w:pStyle w:val="15"/>
            </w:pPr>
            <w:r>
              <w:t>655.70</w:t>
            </w:r>
          </w:p>
        </w:tc>
        <w:tc>
          <w:tcPr>
            <w:tcW w:w="1361" w:type="dxa"/>
            <w:tcBorders>
              <w:left w:val="single" w:color="000000" w:sz="6" w:space="0"/>
              <w:right w:val="single" w:color="000000" w:sz="6" w:space="0"/>
            </w:tcBorders>
            <w:vAlign w:val="center"/>
          </w:tcPr>
          <w:p>
            <w:pPr>
              <w:pStyle w:val="15"/>
            </w:pPr>
            <w:r>
              <w:t>19.00</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rPr>
          <w:trHeight w:val="369" w:hRule="atLeast"/>
          <w:jc w:val="center"/>
        </w:trPr>
        <w:tc>
          <w:tcPr>
            <w:tcW w:w="1095" w:type="dxa"/>
            <w:tcBorders>
              <w:left w:val="single" w:color="000000" w:sz="6" w:space="0"/>
              <w:right w:val="single" w:color="000000" w:sz="6" w:space="0"/>
            </w:tcBorders>
            <w:vAlign w:val="center"/>
          </w:tcPr>
          <w:p>
            <w:pPr>
              <w:pStyle w:val="13"/>
            </w:pPr>
            <w:r>
              <w:t>2</w:t>
            </w:r>
          </w:p>
        </w:tc>
        <w:tc>
          <w:tcPr>
            <w:tcW w:w="1095" w:type="dxa"/>
            <w:tcBorders>
              <w:left w:val="single" w:color="000000" w:sz="6" w:space="0"/>
              <w:right w:val="single" w:color="000000" w:sz="6" w:space="0"/>
            </w:tcBorders>
            <w:vAlign w:val="center"/>
          </w:tcPr>
          <w:p>
            <w:pPr>
              <w:pStyle w:val="12"/>
            </w:pPr>
            <w:r>
              <w:t>201</w:t>
            </w:r>
          </w:p>
        </w:tc>
        <w:tc>
          <w:tcPr>
            <w:tcW w:w="4536"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519.54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3</w:t>
            </w:r>
          </w:p>
        </w:tc>
        <w:tc>
          <w:tcPr>
            <w:tcW w:w="1095" w:type="dxa"/>
            <w:tcBorders>
              <w:left w:val="single" w:color="000000" w:sz="6" w:space="0"/>
              <w:right w:val="single" w:color="000000" w:sz="6" w:space="0"/>
            </w:tcBorders>
            <w:vAlign w:val="center"/>
          </w:tcPr>
          <w:p>
            <w:pPr>
              <w:pStyle w:val="12"/>
            </w:pPr>
            <w:r>
              <w:t>20108</w:t>
            </w:r>
          </w:p>
        </w:tc>
        <w:tc>
          <w:tcPr>
            <w:tcW w:w="4536" w:type="dxa"/>
            <w:tcBorders>
              <w:left w:val="single" w:color="000000" w:sz="6" w:space="0"/>
              <w:right w:val="single" w:color="000000" w:sz="6" w:space="0"/>
            </w:tcBorders>
            <w:vAlign w:val="center"/>
          </w:tcPr>
          <w:p>
            <w:pPr>
              <w:pStyle w:val="12"/>
            </w:pPr>
            <w:r>
              <w:t>审计事务</w:t>
            </w:r>
          </w:p>
        </w:tc>
        <w:tc>
          <w:tcPr>
            <w:tcW w:w="1361" w:type="dxa"/>
            <w:tcBorders>
              <w:left w:val="single" w:color="000000" w:sz="6" w:space="0"/>
              <w:right w:val="single" w:color="000000" w:sz="6" w:space="0"/>
            </w:tcBorders>
            <w:vAlign w:val="center"/>
          </w:tcPr>
          <w:p>
            <w:pPr>
              <w:pStyle w:val="11"/>
            </w:pPr>
            <w:r>
              <w:t>519.54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4</w:t>
            </w:r>
          </w:p>
        </w:tc>
        <w:tc>
          <w:tcPr>
            <w:tcW w:w="1095" w:type="dxa"/>
            <w:tcBorders>
              <w:left w:val="single" w:color="000000" w:sz="6" w:space="0"/>
              <w:right w:val="single" w:color="000000" w:sz="6" w:space="0"/>
            </w:tcBorders>
            <w:vAlign w:val="center"/>
          </w:tcPr>
          <w:p>
            <w:pPr>
              <w:pStyle w:val="12"/>
            </w:pPr>
            <w:r>
              <w:t>2010801</w:t>
            </w:r>
          </w:p>
        </w:tc>
        <w:tc>
          <w:tcPr>
            <w:tcW w:w="4536"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5</w:t>
            </w:r>
          </w:p>
        </w:tc>
        <w:tc>
          <w:tcPr>
            <w:tcW w:w="1095" w:type="dxa"/>
            <w:tcBorders>
              <w:left w:val="single" w:color="000000" w:sz="6" w:space="0"/>
              <w:right w:val="single" w:color="000000" w:sz="6" w:space="0"/>
            </w:tcBorders>
            <w:vAlign w:val="center"/>
          </w:tcPr>
          <w:p>
            <w:pPr>
              <w:pStyle w:val="12"/>
            </w:pPr>
            <w:r>
              <w:t>2010804</w:t>
            </w:r>
          </w:p>
        </w:tc>
        <w:tc>
          <w:tcPr>
            <w:tcW w:w="4536" w:type="dxa"/>
            <w:tcBorders>
              <w:left w:val="single" w:color="000000" w:sz="6" w:space="0"/>
              <w:right w:val="single" w:color="000000" w:sz="6" w:space="0"/>
            </w:tcBorders>
            <w:vAlign w:val="center"/>
          </w:tcPr>
          <w:p>
            <w:pPr>
              <w:pStyle w:val="12"/>
            </w:pPr>
            <w:r>
              <w:t>审计业务</w:t>
            </w:r>
          </w:p>
        </w:tc>
        <w:tc>
          <w:tcPr>
            <w:tcW w:w="1361" w:type="dxa"/>
            <w:tcBorders>
              <w:left w:val="single" w:color="000000" w:sz="6" w:space="0"/>
              <w:right w:val="single" w:color="000000" w:sz="6" w:space="0"/>
            </w:tcBorders>
            <w:vAlign w:val="center"/>
          </w:tcPr>
          <w:p>
            <w:pPr>
              <w:pStyle w:val="11"/>
            </w:pPr>
            <w:r>
              <w:t>10.00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6</w:t>
            </w:r>
          </w:p>
        </w:tc>
        <w:tc>
          <w:tcPr>
            <w:tcW w:w="1095" w:type="dxa"/>
            <w:tcBorders>
              <w:left w:val="single" w:color="000000" w:sz="6" w:space="0"/>
              <w:right w:val="single" w:color="000000" w:sz="6" w:space="0"/>
            </w:tcBorders>
            <w:vAlign w:val="center"/>
          </w:tcPr>
          <w:p>
            <w:pPr>
              <w:pStyle w:val="12"/>
            </w:pPr>
            <w:r>
              <w:t>2010805</w:t>
            </w:r>
          </w:p>
        </w:tc>
        <w:tc>
          <w:tcPr>
            <w:tcW w:w="4536" w:type="dxa"/>
            <w:tcBorders>
              <w:left w:val="single" w:color="000000" w:sz="6" w:space="0"/>
              <w:right w:val="single" w:color="000000" w:sz="6" w:space="0"/>
            </w:tcBorders>
            <w:vAlign w:val="center"/>
          </w:tcPr>
          <w:p>
            <w:pPr>
              <w:pStyle w:val="12"/>
            </w:pPr>
            <w:r>
              <w:t>审计管理</w:t>
            </w: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7</w:t>
            </w:r>
          </w:p>
        </w:tc>
        <w:tc>
          <w:tcPr>
            <w:tcW w:w="1095" w:type="dxa"/>
            <w:tcBorders>
              <w:left w:val="single" w:color="000000" w:sz="6" w:space="0"/>
              <w:right w:val="single" w:color="000000" w:sz="6" w:space="0"/>
            </w:tcBorders>
            <w:vAlign w:val="center"/>
          </w:tcPr>
          <w:p>
            <w:pPr>
              <w:pStyle w:val="12"/>
            </w:pPr>
            <w:r>
              <w:t>2010806</w:t>
            </w:r>
          </w:p>
        </w:tc>
        <w:tc>
          <w:tcPr>
            <w:tcW w:w="4536" w:type="dxa"/>
            <w:tcBorders>
              <w:left w:val="single" w:color="000000" w:sz="6" w:space="0"/>
              <w:right w:val="single" w:color="000000" w:sz="6" w:space="0"/>
            </w:tcBorders>
            <w:vAlign w:val="center"/>
          </w:tcPr>
          <w:p>
            <w:pPr>
              <w:pStyle w:val="12"/>
            </w:pPr>
            <w:r>
              <w:t>信息化建设</w:t>
            </w: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8</w:t>
            </w:r>
          </w:p>
        </w:tc>
        <w:tc>
          <w:tcPr>
            <w:tcW w:w="1095" w:type="dxa"/>
            <w:tcBorders>
              <w:left w:val="single" w:color="000000" w:sz="6" w:space="0"/>
              <w:right w:val="single" w:color="000000" w:sz="6" w:space="0"/>
            </w:tcBorders>
            <w:vAlign w:val="center"/>
          </w:tcPr>
          <w:p>
            <w:pPr>
              <w:pStyle w:val="12"/>
            </w:pPr>
            <w:r>
              <w:t>208</w:t>
            </w:r>
          </w:p>
        </w:tc>
        <w:tc>
          <w:tcPr>
            <w:tcW w:w="4536"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9</w:t>
            </w:r>
          </w:p>
        </w:tc>
        <w:tc>
          <w:tcPr>
            <w:tcW w:w="1095" w:type="dxa"/>
            <w:tcBorders>
              <w:left w:val="single" w:color="000000" w:sz="6" w:space="0"/>
              <w:right w:val="single" w:color="000000" w:sz="6" w:space="0"/>
            </w:tcBorders>
            <w:vAlign w:val="center"/>
          </w:tcPr>
          <w:p>
            <w:pPr>
              <w:pStyle w:val="12"/>
            </w:pPr>
            <w:r>
              <w:t>20805</w:t>
            </w:r>
          </w:p>
        </w:tc>
        <w:tc>
          <w:tcPr>
            <w:tcW w:w="4536"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10</w:t>
            </w:r>
          </w:p>
        </w:tc>
        <w:tc>
          <w:tcPr>
            <w:tcW w:w="1095" w:type="dxa"/>
            <w:tcBorders>
              <w:left w:val="single" w:color="000000" w:sz="6" w:space="0"/>
              <w:right w:val="single" w:color="000000" w:sz="6" w:space="0"/>
            </w:tcBorders>
            <w:vAlign w:val="center"/>
          </w:tcPr>
          <w:p>
            <w:pPr>
              <w:pStyle w:val="12"/>
            </w:pPr>
            <w:r>
              <w:t>2080505</w:t>
            </w:r>
          </w:p>
        </w:tc>
        <w:tc>
          <w:tcPr>
            <w:tcW w:w="4536"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11</w:t>
            </w:r>
          </w:p>
        </w:tc>
        <w:tc>
          <w:tcPr>
            <w:tcW w:w="1095" w:type="dxa"/>
            <w:tcBorders>
              <w:left w:val="single" w:color="000000" w:sz="6" w:space="0"/>
              <w:right w:val="single" w:color="000000" w:sz="6" w:space="0"/>
            </w:tcBorders>
            <w:vAlign w:val="center"/>
          </w:tcPr>
          <w:p>
            <w:pPr>
              <w:pStyle w:val="12"/>
            </w:pPr>
            <w:r>
              <w:t>210</w:t>
            </w:r>
          </w:p>
        </w:tc>
        <w:tc>
          <w:tcPr>
            <w:tcW w:w="4536"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12</w:t>
            </w:r>
          </w:p>
        </w:tc>
        <w:tc>
          <w:tcPr>
            <w:tcW w:w="1095" w:type="dxa"/>
            <w:tcBorders>
              <w:left w:val="single" w:color="000000" w:sz="6" w:space="0"/>
              <w:right w:val="single" w:color="000000" w:sz="6" w:space="0"/>
            </w:tcBorders>
            <w:vAlign w:val="center"/>
          </w:tcPr>
          <w:p>
            <w:pPr>
              <w:pStyle w:val="12"/>
            </w:pPr>
            <w:r>
              <w:t>21011</w:t>
            </w:r>
          </w:p>
        </w:tc>
        <w:tc>
          <w:tcPr>
            <w:tcW w:w="4536"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13</w:t>
            </w:r>
          </w:p>
        </w:tc>
        <w:tc>
          <w:tcPr>
            <w:tcW w:w="1095" w:type="dxa"/>
            <w:tcBorders>
              <w:left w:val="single" w:color="000000" w:sz="6" w:space="0"/>
              <w:right w:val="single" w:color="000000" w:sz="6" w:space="0"/>
            </w:tcBorders>
            <w:vAlign w:val="center"/>
          </w:tcPr>
          <w:p>
            <w:pPr>
              <w:pStyle w:val="12"/>
            </w:pPr>
            <w:r>
              <w:t>2101101</w:t>
            </w:r>
          </w:p>
        </w:tc>
        <w:tc>
          <w:tcPr>
            <w:tcW w:w="4536"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14</w:t>
            </w:r>
          </w:p>
        </w:tc>
        <w:tc>
          <w:tcPr>
            <w:tcW w:w="1095" w:type="dxa"/>
            <w:tcBorders>
              <w:left w:val="single" w:color="000000" w:sz="6" w:space="0"/>
              <w:right w:val="single" w:color="000000" w:sz="6" w:space="0"/>
            </w:tcBorders>
            <w:vAlign w:val="center"/>
          </w:tcPr>
          <w:p>
            <w:pPr>
              <w:pStyle w:val="12"/>
            </w:pPr>
            <w:r>
              <w:t>221</w:t>
            </w:r>
          </w:p>
        </w:tc>
        <w:tc>
          <w:tcPr>
            <w:tcW w:w="4536"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15</w:t>
            </w:r>
          </w:p>
        </w:tc>
        <w:tc>
          <w:tcPr>
            <w:tcW w:w="1095" w:type="dxa"/>
            <w:tcBorders>
              <w:left w:val="single" w:color="000000" w:sz="6" w:space="0"/>
              <w:right w:val="single" w:color="000000" w:sz="6" w:space="0"/>
            </w:tcBorders>
            <w:vAlign w:val="center"/>
          </w:tcPr>
          <w:p>
            <w:pPr>
              <w:pStyle w:val="12"/>
            </w:pPr>
            <w:r>
              <w:t>22102</w:t>
            </w:r>
          </w:p>
        </w:tc>
        <w:tc>
          <w:tcPr>
            <w:tcW w:w="4536"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16</w:t>
            </w:r>
          </w:p>
        </w:tc>
        <w:tc>
          <w:tcPr>
            <w:tcW w:w="1095" w:type="dxa"/>
            <w:tcBorders>
              <w:left w:val="single" w:color="000000" w:sz="6" w:space="0"/>
              <w:right w:val="single" w:color="000000" w:sz="6" w:space="0"/>
            </w:tcBorders>
            <w:vAlign w:val="center"/>
          </w:tcPr>
          <w:p>
            <w:pPr>
              <w:pStyle w:val="12"/>
            </w:pPr>
            <w:r>
              <w:t>2210201</w:t>
            </w:r>
          </w:p>
        </w:tc>
        <w:tc>
          <w:tcPr>
            <w:tcW w:w="4536"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15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hRule="atLeast"/>
          <w:tblHeader/>
          <w:jc w:val="center"/>
        </w:trPr>
        <w:tc>
          <w:tcPr>
            <w:tcW w:w="6108"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232" w:type="dxa"/>
            <w:vMerge w:val="restart"/>
            <w:tcBorders>
              <w:left w:val="single" w:color="000000" w:sz="6" w:space="0"/>
              <w:right w:val="single" w:color="000000" w:sz="6" w:space="0"/>
            </w:tcBorders>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right w:val="single" w:color="000000" w:sz="6" w:space="0"/>
            </w:tcBorders>
            <w:vAlign w:val="center"/>
          </w:tcPr>
          <w:p>
            <w:pPr>
              <w:pStyle w:val="10"/>
            </w:pPr>
            <w:r>
              <w:t>支出</w:t>
            </w:r>
          </w:p>
        </w:tc>
      </w:tr>
      <w:tr>
        <w:trPr>
          <w:trHeight w:val="369" w:hRule="atLeast"/>
          <w:tblHeader/>
          <w:jc w:val="center"/>
        </w:trPr>
        <w:tc>
          <w:tcPr>
            <w:tcW w:w="1232" w:type="dxa"/>
            <w:vMerge w:val="continue"/>
            <w:tcBorders>
              <w:left w:val="single" w:color="000000" w:sz="6" w:space="0"/>
              <w:right w:val="single" w:color="000000" w:sz="6" w:space="0"/>
            </w:tcBorders>
            <w:vAlign w:val="top"/>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tcBorders>
              <w:left w:val="single" w:color="000000" w:sz="6" w:space="0"/>
              <w:right w:val="single" w:color="000000" w:sz="6" w:space="0"/>
            </w:tcBorders>
            <w:vAlign w:val="center"/>
          </w:tcPr>
          <w:p>
            <w:pPr>
              <w:pStyle w:val="10"/>
            </w:pPr>
            <w:r>
              <w:t>国有资本经营预算财政拨款</w:t>
            </w:r>
          </w:p>
        </w:tc>
      </w:tr>
      <w:tr>
        <w:trPr>
          <w:trHeight w:val="369" w:hRule="atLeast"/>
          <w:tblHeader/>
          <w:jc w:val="center"/>
        </w:trPr>
        <w:tc>
          <w:tcPr>
            <w:tcW w:w="1232" w:type="dxa"/>
            <w:tcBorders>
              <w:left w:val="single" w:color="000000" w:sz="6" w:space="0"/>
              <w:right w:val="single" w:color="000000" w:sz="6" w:space="0"/>
            </w:tcBorders>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tcBorders>
              <w:left w:val="single" w:color="000000" w:sz="6" w:space="0"/>
              <w:right w:val="single" w:color="000000" w:sz="6" w:space="0"/>
            </w:tcBorders>
            <w:vAlign w:val="center"/>
          </w:tcPr>
          <w:p>
            <w:pPr>
              <w:pStyle w:val="10"/>
            </w:pPr>
            <w:r>
              <w:t>7</w:t>
            </w:r>
          </w:p>
        </w:tc>
      </w:tr>
      <w:tr>
        <w:trPr>
          <w:trHeight w:val="369" w:hRule="atLeast"/>
          <w:jc w:val="center"/>
        </w:trPr>
        <w:tc>
          <w:tcPr>
            <w:tcW w:w="1232" w:type="dxa"/>
            <w:tcBorders>
              <w:left w:val="single" w:color="000000" w:sz="6" w:space="0"/>
              <w:right w:val="single" w:color="000000" w:sz="6" w:space="0"/>
            </w:tcBorders>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674.70</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519.54</w:t>
            </w:r>
          </w:p>
        </w:tc>
        <w:tc>
          <w:tcPr>
            <w:tcW w:w="1474" w:type="dxa"/>
            <w:tcBorders>
              <w:left w:val="single" w:color="000000" w:sz="6" w:space="0"/>
              <w:right w:val="single" w:color="000000" w:sz="6" w:space="0"/>
            </w:tcBorders>
            <w:vAlign w:val="center"/>
          </w:tcPr>
          <w:p>
            <w:pPr>
              <w:pStyle w:val="11"/>
            </w:pPr>
            <w:r>
              <w:t>519.54</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52.89</w:t>
            </w:r>
          </w:p>
        </w:tc>
        <w:tc>
          <w:tcPr>
            <w:tcW w:w="1474" w:type="dxa"/>
            <w:tcBorders>
              <w:left w:val="single" w:color="000000" w:sz="6" w:space="0"/>
              <w:right w:val="single" w:color="000000" w:sz="6" w:space="0"/>
            </w:tcBorders>
            <w:vAlign w:val="center"/>
          </w:tcPr>
          <w:p>
            <w:pPr>
              <w:pStyle w:val="11"/>
            </w:pPr>
            <w:r>
              <w:t>52.89</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62.61</w:t>
            </w:r>
          </w:p>
        </w:tc>
        <w:tc>
          <w:tcPr>
            <w:tcW w:w="1474" w:type="dxa"/>
            <w:tcBorders>
              <w:left w:val="single" w:color="000000" w:sz="6" w:space="0"/>
              <w:right w:val="single" w:color="000000" w:sz="6" w:space="0"/>
            </w:tcBorders>
            <w:vAlign w:val="center"/>
          </w:tcPr>
          <w:p>
            <w:pPr>
              <w:pStyle w:val="11"/>
            </w:pPr>
            <w:r>
              <w:t>62.61</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39.67</w:t>
            </w:r>
          </w:p>
        </w:tc>
        <w:tc>
          <w:tcPr>
            <w:tcW w:w="1474" w:type="dxa"/>
            <w:tcBorders>
              <w:left w:val="single" w:color="000000" w:sz="6" w:space="0"/>
              <w:right w:val="single" w:color="000000" w:sz="6" w:space="0"/>
            </w:tcBorders>
            <w:vAlign w:val="center"/>
          </w:tcPr>
          <w:p>
            <w:pPr>
              <w:pStyle w:val="11"/>
            </w:pPr>
            <w:r>
              <w:t>39.67</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674.70</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rPr>
          <w:trHeight w:val="369" w:hRule="atLeast"/>
          <w:jc w:val="center"/>
        </w:trPr>
        <w:tc>
          <w:tcPr>
            <w:tcW w:w="1232" w:type="dxa"/>
            <w:tcBorders>
              <w:left w:val="single" w:color="000000" w:sz="6" w:space="0"/>
              <w:right w:val="single" w:color="000000" w:sz="6" w:space="0"/>
            </w:tcBorders>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674.70</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674.70</w:t>
            </w:r>
          </w:p>
        </w:tc>
        <w:tc>
          <w:tcPr>
            <w:tcW w:w="2551" w:type="dxa"/>
            <w:tcBorders>
              <w:left w:val="single" w:color="000000" w:sz="6" w:space="0"/>
              <w:right w:val="single" w:color="000000" w:sz="6" w:space="0"/>
            </w:tcBorders>
            <w:vAlign w:val="center"/>
          </w:tcPr>
          <w:p>
            <w:pPr>
              <w:pStyle w:val="15"/>
            </w:pPr>
            <w:r>
              <w:t>655.70</w:t>
            </w:r>
          </w:p>
        </w:tc>
        <w:tc>
          <w:tcPr>
            <w:tcW w:w="2551" w:type="dxa"/>
            <w:tcBorders>
              <w:left w:val="single" w:color="000000" w:sz="6" w:space="0"/>
              <w:right w:val="single" w:color="000000" w:sz="6" w:space="0"/>
            </w:tcBorders>
            <w:vAlign w:val="center"/>
          </w:tcPr>
          <w:p>
            <w:pPr>
              <w:pStyle w:val="15"/>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519.54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20108</w:t>
            </w:r>
          </w:p>
        </w:tc>
        <w:tc>
          <w:tcPr>
            <w:tcW w:w="4535" w:type="dxa"/>
            <w:tcBorders>
              <w:left w:val="single" w:color="000000" w:sz="6" w:space="0"/>
              <w:right w:val="single" w:color="000000" w:sz="6" w:space="0"/>
            </w:tcBorders>
            <w:vAlign w:val="center"/>
          </w:tcPr>
          <w:p>
            <w:pPr>
              <w:pStyle w:val="12"/>
            </w:pPr>
            <w:r>
              <w:t>审计事务</w:t>
            </w:r>
          </w:p>
        </w:tc>
        <w:tc>
          <w:tcPr>
            <w:tcW w:w="2551" w:type="dxa"/>
            <w:tcBorders>
              <w:left w:val="single" w:color="000000" w:sz="6" w:space="0"/>
              <w:right w:val="single" w:color="000000" w:sz="6" w:space="0"/>
            </w:tcBorders>
            <w:vAlign w:val="center"/>
          </w:tcPr>
          <w:p>
            <w:pPr>
              <w:pStyle w:val="11"/>
            </w:pPr>
            <w:r>
              <w:t>519.54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2010801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2010804</w:t>
            </w:r>
          </w:p>
        </w:tc>
        <w:tc>
          <w:tcPr>
            <w:tcW w:w="4535" w:type="dxa"/>
            <w:tcBorders>
              <w:left w:val="single" w:color="000000" w:sz="6" w:space="0"/>
              <w:right w:val="single" w:color="000000" w:sz="6" w:space="0"/>
            </w:tcBorders>
            <w:vAlign w:val="center"/>
          </w:tcPr>
          <w:p>
            <w:pPr>
              <w:pStyle w:val="12"/>
            </w:pPr>
            <w:r>
              <w:t>审计业务</w:t>
            </w:r>
          </w:p>
        </w:tc>
        <w:tc>
          <w:tcPr>
            <w:tcW w:w="2551" w:type="dxa"/>
            <w:tcBorders>
              <w:left w:val="single" w:color="000000" w:sz="6" w:space="0"/>
              <w:right w:val="single" w:color="000000" w:sz="6" w:space="0"/>
            </w:tcBorders>
            <w:vAlign w:val="center"/>
          </w:tcPr>
          <w:p>
            <w:pPr>
              <w:pStyle w:val="11"/>
            </w:pPr>
            <w:r>
              <w:t>10.00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10.00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2010805</w:t>
            </w:r>
          </w:p>
        </w:tc>
        <w:tc>
          <w:tcPr>
            <w:tcW w:w="4535" w:type="dxa"/>
            <w:tcBorders>
              <w:left w:val="single" w:color="000000" w:sz="6" w:space="0"/>
              <w:right w:val="single" w:color="000000" w:sz="6" w:space="0"/>
            </w:tcBorders>
            <w:vAlign w:val="center"/>
          </w:tcPr>
          <w:p>
            <w:pPr>
              <w:pStyle w:val="12"/>
            </w:pPr>
            <w:r>
              <w:t>审计管理</w:t>
            </w:r>
          </w:p>
        </w:tc>
        <w:tc>
          <w:tcPr>
            <w:tcW w:w="2551" w:type="dxa"/>
            <w:tcBorders>
              <w:left w:val="single" w:color="000000" w:sz="6" w:space="0"/>
              <w:right w:val="single" w:color="000000" w:sz="6" w:space="0"/>
            </w:tcBorders>
            <w:vAlign w:val="center"/>
          </w:tcPr>
          <w:p>
            <w:pPr>
              <w:pStyle w:val="11"/>
            </w:pPr>
            <w:r>
              <w:t>5.00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5.00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2010806</w:t>
            </w:r>
          </w:p>
        </w:tc>
        <w:tc>
          <w:tcPr>
            <w:tcW w:w="4535" w:type="dxa"/>
            <w:tcBorders>
              <w:left w:val="single" w:color="000000" w:sz="6" w:space="0"/>
              <w:right w:val="single" w:color="000000" w:sz="6" w:space="0"/>
            </w:tcBorders>
            <w:vAlign w:val="center"/>
          </w:tcPr>
          <w:p>
            <w:pPr>
              <w:pStyle w:val="12"/>
            </w:pPr>
            <w:r>
              <w:t>信息化建设</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4.00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15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right w:val="single" w:color="000000" w:sz="6" w:space="0"/>
            </w:tcBorders>
            <w:vAlign w:val="center"/>
          </w:tcPr>
          <w:p>
            <w:pPr>
              <w:pStyle w:val="10"/>
            </w:pPr>
            <w:r>
              <w:t>一般公共预算基本支出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2" w:type="dxa"/>
            <w:tcBorders>
              <w:left w:val="single" w:color="000000" w:sz="6" w:space="0"/>
              <w:right w:val="single" w:color="000000" w:sz="6" w:space="0"/>
            </w:tcBorders>
            <w:vAlign w:val="center"/>
          </w:tcPr>
          <w:p>
            <w:pPr>
              <w:pStyle w:val="10"/>
            </w:pPr>
            <w:r>
              <w:t>公用经费</w:t>
            </w: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2"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655.70</w:t>
            </w:r>
          </w:p>
        </w:tc>
        <w:tc>
          <w:tcPr>
            <w:tcW w:w="2551" w:type="dxa"/>
            <w:tcBorders>
              <w:left w:val="single" w:color="000000" w:sz="6" w:space="0"/>
              <w:right w:val="single" w:color="000000" w:sz="6" w:space="0"/>
            </w:tcBorders>
            <w:vAlign w:val="center"/>
          </w:tcPr>
          <w:p>
            <w:pPr>
              <w:pStyle w:val="15"/>
            </w:pPr>
            <w:r>
              <w:t>611.54</w:t>
            </w:r>
          </w:p>
        </w:tc>
        <w:tc>
          <w:tcPr>
            <w:tcW w:w="2552" w:type="dxa"/>
            <w:tcBorders>
              <w:left w:val="single" w:color="000000" w:sz="6" w:space="0"/>
              <w:right w:val="single" w:color="000000" w:sz="6" w:space="0"/>
            </w:tcBorders>
            <w:vAlign w:val="center"/>
          </w:tcPr>
          <w:p>
            <w:pPr>
              <w:pStyle w:val="15"/>
            </w:pPr>
            <w:r>
              <w:t>44.16</w:t>
            </w:r>
          </w:p>
        </w:tc>
      </w:tr>
      <w:tr>
        <w:trPr>
          <w:trHeight w:val="369" w:hRule="atLeast"/>
          <w:jc w:val="center"/>
        </w:trPr>
        <w:tc>
          <w:tcPr>
            <w:tcW w:w="1643" w:type="dxa"/>
            <w:tcBorders>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543.80</w:t>
            </w:r>
          </w:p>
        </w:tc>
        <w:tc>
          <w:tcPr>
            <w:tcW w:w="2551" w:type="dxa"/>
            <w:tcBorders>
              <w:left w:val="single" w:color="000000" w:sz="6" w:space="0"/>
              <w:right w:val="single" w:color="000000" w:sz="6" w:space="0"/>
            </w:tcBorders>
            <w:vAlign w:val="center"/>
          </w:tcPr>
          <w:p>
            <w:pPr>
              <w:pStyle w:val="11"/>
            </w:pPr>
            <w:r>
              <w:t>543.80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157.06</w:t>
            </w:r>
          </w:p>
        </w:tc>
        <w:tc>
          <w:tcPr>
            <w:tcW w:w="2551" w:type="dxa"/>
            <w:tcBorders>
              <w:left w:val="single" w:color="000000" w:sz="6" w:space="0"/>
              <w:right w:val="single" w:color="000000" w:sz="6" w:space="0"/>
            </w:tcBorders>
            <w:vAlign w:val="center"/>
          </w:tcPr>
          <w:p>
            <w:pPr>
              <w:pStyle w:val="11"/>
            </w:pPr>
            <w:r>
              <w:t>157.06</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131.18</w:t>
            </w:r>
          </w:p>
        </w:tc>
        <w:tc>
          <w:tcPr>
            <w:tcW w:w="2551" w:type="dxa"/>
            <w:tcBorders>
              <w:left w:val="single" w:color="000000" w:sz="6" w:space="0"/>
              <w:right w:val="single" w:color="000000" w:sz="6" w:space="0"/>
            </w:tcBorders>
            <w:vAlign w:val="center"/>
          </w:tcPr>
          <w:p>
            <w:pPr>
              <w:pStyle w:val="11"/>
            </w:pPr>
            <w:r>
              <w:t>131.18</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44.90</w:t>
            </w:r>
          </w:p>
        </w:tc>
        <w:tc>
          <w:tcPr>
            <w:tcW w:w="2551" w:type="dxa"/>
            <w:tcBorders>
              <w:left w:val="single" w:color="000000" w:sz="6" w:space="0"/>
              <w:right w:val="single" w:color="000000" w:sz="6" w:space="0"/>
            </w:tcBorders>
            <w:vAlign w:val="center"/>
          </w:tcPr>
          <w:p>
            <w:pPr>
              <w:pStyle w:val="11"/>
            </w:pPr>
            <w:r>
              <w:t>44.90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53.19</w:t>
            </w:r>
          </w:p>
        </w:tc>
        <w:tc>
          <w:tcPr>
            <w:tcW w:w="2551" w:type="dxa"/>
            <w:tcBorders>
              <w:left w:val="single" w:color="000000" w:sz="6" w:space="0"/>
              <w:right w:val="single" w:color="000000" w:sz="6" w:space="0"/>
            </w:tcBorders>
            <w:vAlign w:val="center"/>
          </w:tcPr>
          <w:p>
            <w:pPr>
              <w:pStyle w:val="11"/>
            </w:pPr>
            <w:r>
              <w:t>53.19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21.33</w:t>
            </w:r>
          </w:p>
        </w:tc>
        <w:tc>
          <w:tcPr>
            <w:tcW w:w="2551" w:type="dxa"/>
            <w:tcBorders>
              <w:left w:val="single" w:color="000000" w:sz="6" w:space="0"/>
              <w:right w:val="single" w:color="000000" w:sz="6" w:space="0"/>
            </w:tcBorders>
            <w:vAlign w:val="center"/>
          </w:tcPr>
          <w:p>
            <w:pPr>
              <w:pStyle w:val="11"/>
            </w:pPr>
            <w:r>
              <w:t>21.33</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41.29</w:t>
            </w:r>
          </w:p>
        </w:tc>
        <w:tc>
          <w:tcPr>
            <w:tcW w:w="2551" w:type="dxa"/>
            <w:tcBorders>
              <w:left w:val="single" w:color="000000" w:sz="6" w:space="0"/>
              <w:right w:val="single" w:color="000000" w:sz="6" w:space="0"/>
            </w:tcBorders>
            <w:vAlign w:val="center"/>
          </w:tcPr>
          <w:p>
            <w:pPr>
              <w:pStyle w:val="11"/>
            </w:pPr>
            <w:r>
              <w:t>41.29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2.30</w:t>
            </w:r>
          </w:p>
        </w:tc>
        <w:tc>
          <w:tcPr>
            <w:tcW w:w="2551" w:type="dxa"/>
            <w:tcBorders>
              <w:left w:val="single" w:color="000000" w:sz="6" w:space="0"/>
              <w:right w:val="single" w:color="000000" w:sz="6" w:space="0"/>
            </w:tcBorders>
            <w:vAlign w:val="center"/>
          </w:tcPr>
          <w:p>
            <w:pPr>
              <w:pStyle w:val="11"/>
            </w:pPr>
            <w:r>
              <w:t>2.30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44.16</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44.16</w:t>
            </w:r>
          </w:p>
        </w:tc>
      </w:tr>
      <w:tr>
        <w:trPr>
          <w:trHeight w:val="369" w:hRule="atLeast"/>
          <w:jc w:val="center"/>
        </w:trPr>
        <w:tc>
          <w:tcPr>
            <w:tcW w:w="1643" w:type="dxa"/>
            <w:tcBorders>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7.58</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7.58</w:t>
            </w:r>
          </w:p>
        </w:tc>
      </w:tr>
      <w:tr>
        <w:trPr>
          <w:trHeight w:val="369" w:hRule="atLeast"/>
          <w:jc w:val="center"/>
        </w:trPr>
        <w:tc>
          <w:tcPr>
            <w:tcW w:w="1643" w:type="dxa"/>
            <w:tcBorders>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12.80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12.80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30211</w:t>
            </w:r>
          </w:p>
        </w:tc>
        <w:tc>
          <w:tcPr>
            <w:tcW w:w="4535" w:type="dxa"/>
            <w:tcBorders>
              <w:left w:val="single" w:color="000000" w:sz="6" w:space="0"/>
              <w:right w:val="single" w:color="000000" w:sz="6" w:space="0"/>
            </w:tcBorders>
            <w:vAlign w:val="center"/>
          </w:tcPr>
          <w:p>
            <w:pPr>
              <w:pStyle w:val="12"/>
            </w:pPr>
            <w:r>
              <w:t>差旅费</w:t>
            </w:r>
          </w:p>
        </w:tc>
        <w:tc>
          <w:tcPr>
            <w:tcW w:w="2551" w:type="dxa"/>
            <w:tcBorders>
              <w:left w:val="single" w:color="000000" w:sz="6" w:space="0"/>
              <w:right w:val="single" w:color="000000" w:sz="6" w:space="0"/>
            </w:tcBorders>
            <w:vAlign w:val="center"/>
          </w:tcPr>
          <w:p>
            <w:pPr>
              <w:pStyle w:val="11"/>
            </w:pPr>
            <w:r>
              <w:t>0.20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0.20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0.20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0.20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17</w:t>
            </w:r>
          </w:p>
        </w:tc>
        <w:tc>
          <w:tcPr>
            <w:tcW w:w="1643"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1.14</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1.14</w:t>
            </w:r>
          </w:p>
        </w:tc>
      </w:tr>
      <w:tr>
        <w:trPr>
          <w:trHeight w:val="369" w:hRule="atLeast"/>
          <w:jc w:val="center"/>
        </w:trPr>
        <w:tc>
          <w:tcPr>
            <w:tcW w:w="1643" w:type="dxa"/>
            <w:tcBorders>
              <w:left w:val="single" w:color="000000" w:sz="6" w:space="0"/>
              <w:right w:val="single" w:color="000000" w:sz="6" w:space="0"/>
            </w:tcBorders>
            <w:vAlign w:val="center"/>
          </w:tcPr>
          <w:p>
            <w:pPr>
              <w:pStyle w:val="13"/>
            </w:pPr>
            <w:r>
              <w:t>18</w:t>
            </w:r>
          </w:p>
        </w:tc>
        <w:tc>
          <w:tcPr>
            <w:tcW w:w="1643"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1.33</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1.33</w:t>
            </w:r>
          </w:p>
        </w:tc>
      </w:tr>
      <w:tr>
        <w:trPr>
          <w:trHeight w:val="369" w:hRule="atLeast"/>
          <w:jc w:val="center"/>
        </w:trPr>
        <w:tc>
          <w:tcPr>
            <w:tcW w:w="1643" w:type="dxa"/>
            <w:tcBorders>
              <w:left w:val="single" w:color="000000" w:sz="6" w:space="0"/>
              <w:right w:val="single" w:color="000000" w:sz="6" w:space="0"/>
            </w:tcBorders>
            <w:vAlign w:val="center"/>
          </w:tcPr>
          <w:p>
            <w:pPr>
              <w:pStyle w:val="13"/>
            </w:pPr>
            <w:r>
              <w:t>19</w:t>
            </w:r>
          </w:p>
        </w:tc>
        <w:tc>
          <w:tcPr>
            <w:tcW w:w="1643"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4.00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20</w:t>
            </w:r>
          </w:p>
        </w:tc>
        <w:tc>
          <w:tcPr>
            <w:tcW w:w="1643"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16.92</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16.92</w:t>
            </w:r>
          </w:p>
        </w:tc>
      </w:tr>
      <w:tr>
        <w:trPr>
          <w:trHeight w:val="369" w:hRule="atLeast"/>
          <w:jc w:val="center"/>
        </w:trPr>
        <w:tc>
          <w:tcPr>
            <w:tcW w:w="1643" w:type="dxa"/>
            <w:tcBorders>
              <w:left w:val="single" w:color="000000" w:sz="6" w:space="0"/>
              <w:right w:val="single" w:color="000000" w:sz="6" w:space="0"/>
            </w:tcBorders>
            <w:vAlign w:val="center"/>
          </w:tcPr>
          <w:p>
            <w:pPr>
              <w:pStyle w:val="13"/>
            </w:pPr>
            <w:r>
              <w:t>21</w:t>
            </w:r>
          </w:p>
        </w:tc>
        <w:tc>
          <w:tcPr>
            <w:tcW w:w="1643"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67.74</w:t>
            </w:r>
          </w:p>
        </w:tc>
        <w:tc>
          <w:tcPr>
            <w:tcW w:w="2551" w:type="dxa"/>
            <w:tcBorders>
              <w:left w:val="single" w:color="000000" w:sz="6" w:space="0"/>
              <w:right w:val="single" w:color="000000" w:sz="6" w:space="0"/>
            </w:tcBorders>
            <w:vAlign w:val="center"/>
          </w:tcPr>
          <w:p>
            <w:pPr>
              <w:pStyle w:val="11"/>
            </w:pPr>
            <w:r>
              <w:t>67.74</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22</w:t>
            </w:r>
          </w:p>
        </w:tc>
        <w:tc>
          <w:tcPr>
            <w:tcW w:w="1643"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65.91</w:t>
            </w:r>
          </w:p>
        </w:tc>
        <w:tc>
          <w:tcPr>
            <w:tcW w:w="2551" w:type="dxa"/>
            <w:tcBorders>
              <w:left w:val="single" w:color="000000" w:sz="6" w:space="0"/>
              <w:right w:val="single" w:color="000000" w:sz="6" w:space="0"/>
            </w:tcBorders>
            <w:vAlign w:val="center"/>
          </w:tcPr>
          <w:p>
            <w:pPr>
              <w:pStyle w:val="11"/>
            </w:pPr>
            <w:r>
              <w:t>65.91</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23</w:t>
            </w:r>
          </w:p>
        </w:tc>
        <w:tc>
          <w:tcPr>
            <w:tcW w:w="1643" w:type="dxa"/>
            <w:tcBorders>
              <w:left w:val="single" w:color="000000" w:sz="6" w:space="0"/>
              <w:right w:val="single" w:color="000000" w:sz="6" w:space="0"/>
            </w:tcBorders>
            <w:vAlign w:val="center"/>
          </w:tcPr>
          <w:p>
            <w:pPr>
              <w:pStyle w:val="12"/>
            </w:pPr>
            <w:r>
              <w:t>30305</w:t>
            </w:r>
          </w:p>
        </w:tc>
        <w:tc>
          <w:tcPr>
            <w:tcW w:w="4535" w:type="dxa"/>
            <w:tcBorders>
              <w:left w:val="single" w:color="000000" w:sz="6" w:space="0"/>
              <w:right w:val="single" w:color="000000" w:sz="6" w:space="0"/>
            </w:tcBorders>
            <w:vAlign w:val="center"/>
          </w:tcPr>
          <w:p>
            <w:pPr>
              <w:pStyle w:val="12"/>
            </w:pPr>
            <w:r>
              <w:t>生活补助</w:t>
            </w:r>
          </w:p>
        </w:tc>
        <w:tc>
          <w:tcPr>
            <w:tcW w:w="2551" w:type="dxa"/>
            <w:tcBorders>
              <w:left w:val="single" w:color="000000" w:sz="6" w:space="0"/>
              <w:right w:val="single" w:color="000000" w:sz="6" w:space="0"/>
            </w:tcBorders>
            <w:vAlign w:val="center"/>
          </w:tcPr>
          <w:p>
            <w:pPr>
              <w:pStyle w:val="11"/>
            </w:pPr>
            <w:r>
              <w:t>0.92</w:t>
            </w:r>
          </w:p>
        </w:tc>
        <w:tc>
          <w:tcPr>
            <w:tcW w:w="2551" w:type="dxa"/>
            <w:tcBorders>
              <w:left w:val="single" w:color="000000" w:sz="6" w:space="0"/>
              <w:right w:val="single" w:color="000000" w:sz="6" w:space="0"/>
            </w:tcBorders>
            <w:vAlign w:val="center"/>
          </w:tcPr>
          <w:p>
            <w:pPr>
              <w:pStyle w:val="11"/>
            </w:pPr>
            <w:r>
              <w:t>0.92</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24</w:t>
            </w:r>
          </w:p>
        </w:tc>
        <w:tc>
          <w:tcPr>
            <w:tcW w:w="1643"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0.91</w:t>
            </w:r>
          </w:p>
        </w:tc>
        <w:tc>
          <w:tcPr>
            <w:tcW w:w="2551" w:type="dxa"/>
            <w:tcBorders>
              <w:left w:val="single" w:color="000000" w:sz="6" w:space="0"/>
              <w:right w:val="single" w:color="000000" w:sz="6" w:space="0"/>
            </w:tcBorders>
            <w:vAlign w:val="center"/>
          </w:tcPr>
          <w:p>
            <w:pPr>
              <w:pStyle w:val="11"/>
            </w:pPr>
            <w:r>
              <w:t>0.91</w:t>
            </w:r>
          </w:p>
        </w:tc>
        <w:tc>
          <w:tcPr>
            <w:tcW w:w="2552"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14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5" w:type="dxa"/>
            <w:gridSpan w:val="4"/>
            <w:tcBorders>
              <w:left w:val="single" w:color="000000" w:sz="6" w:space="0"/>
              <w:right w:val="single" w:color="000000" w:sz="6" w:space="0"/>
            </w:tcBorders>
            <w:vAlign w:val="center"/>
          </w:tcPr>
          <w:p>
            <w:pPr>
              <w:pStyle w:val="10"/>
            </w:pPr>
            <w:r>
              <w:t>资 金 性 质</w:t>
            </w:r>
          </w:p>
        </w:tc>
      </w:tr>
      <w:tr>
        <w:trPr>
          <w:trHeight w:val="567" w:hRule="atLeast"/>
          <w:tblHeader/>
          <w:jc w:val="center"/>
        </w:trPr>
        <w:tc>
          <w:tcPr>
            <w:tcW w:w="1643" w:type="dxa"/>
            <w:vMerge w:val="continue"/>
            <w:tcBorders>
              <w:left w:val="single" w:color="000000" w:sz="6" w:space="0"/>
              <w:right w:val="single" w:color="000000" w:sz="6" w:space="0"/>
            </w:tcBorders>
            <w:vAlign w:val="top"/>
          </w:tcPr>
          <w:p/>
        </w:tc>
        <w:tc>
          <w:tcPr>
            <w:tcW w:w="3798" w:type="dxa"/>
            <w:vMerge w:val="continue"/>
            <w:tcBorders>
              <w:left w:val="single" w:color="000000" w:sz="6" w:space="0"/>
              <w:right w:val="single" w:color="000000" w:sz="6" w:space="0"/>
            </w:tcBorders>
            <w:vAlign w:val="top"/>
          </w:tcPr>
          <w:p/>
        </w:tc>
        <w:tc>
          <w:tcPr>
            <w:tcW w:w="2382"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tcBorders>
              <w:left w:val="single" w:color="000000" w:sz="6" w:space="0"/>
              <w:right w:val="single" w:color="000000" w:sz="6" w:space="0"/>
            </w:tcBorders>
            <w:vAlign w:val="center"/>
          </w:tcPr>
          <w:p>
            <w:pPr>
              <w:pStyle w:val="10"/>
            </w:pPr>
            <w:r>
              <w:t>国有资本经营              预算财政拨款</w:t>
            </w:r>
          </w:p>
        </w:tc>
      </w:tr>
      <w:tr>
        <w:trPr>
          <w:trHeight w:val="567"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2"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tcBorders>
              <w:left w:val="single" w:color="000000" w:sz="6" w:space="0"/>
              <w:right w:val="single" w:color="000000" w:sz="6" w:space="0"/>
            </w:tcBorders>
            <w:vAlign w:val="center"/>
          </w:tcPr>
          <w:p>
            <w:pPr>
              <w:pStyle w:val="10"/>
            </w:pPr>
            <w:r>
              <w:t>5</w:t>
            </w: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rPr>
                <w:rFonts w:hint="eastAsia" w:eastAsia="方正书宋_GBK"/>
                <w:lang w:val="en-US" w:eastAsia="zh-CN"/>
              </w:rPr>
            </w:pPr>
            <w:r>
              <w:rPr>
                <w:rFonts w:hint="eastAsia"/>
                <w:lang w:val="en-US" w:eastAsia="zh-CN"/>
              </w:rPr>
              <w:t>合计</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4.2</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4.2</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rPr>
              <w:t>一、因公出国（境）费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rPr>
              <w:t>二、公务用车购置及运行费</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lang w:val="en-US" w:eastAsia="zh-CN"/>
              </w:rPr>
              <w:t xml:space="preserve">    </w:t>
            </w:r>
            <w:r>
              <w:rPr>
                <w:rFonts w:hint="eastAsia"/>
              </w:rPr>
              <w:t>其中：公务用车购置费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rPr>
                <w:rFonts w:hint="eastAsia" w:eastAsia="方正书宋_GBK"/>
                <w:lang w:val="en-US" w:eastAsia="zh-CN"/>
              </w:rPr>
            </w:pPr>
            <w:r>
              <w:rPr>
                <w:rFonts w:hint="eastAsia"/>
                <w:lang w:val="en-US" w:eastAsia="zh-CN"/>
              </w:rPr>
              <w:t xml:space="preserve">       </w:t>
            </w:r>
            <w:r>
              <w:rPr>
                <w:rFonts w:hint="eastAsia"/>
              </w:rPr>
              <w:t>公务用车运行费</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rPr>
              <w:t>三、公务接待费</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0.2</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0.2</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审计局本级2023年单位预算信息公开情况说明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预算法》、《地方预决算公开操作规程》和《关于进一步推进预算公开工作的实施意见》规定，现将审计局本级2023年单位预算公开如下：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pStyle w:val="33"/>
        <w:spacing w:line="500" w:lineRule="atLeast"/>
        <w:ind w:firstLine="640"/>
        <w:rPr>
          <w:rFonts w:hint="eastAsia" w:eastAsia="方正仿宋_GBK" w:cs="Times New Roman"/>
          <w:color w:val="000000"/>
          <w:sz w:val="28"/>
          <w:szCs w:val="24"/>
        </w:rPr>
      </w:pPr>
      <w:r>
        <w:rPr>
          <w:rFonts w:ascii="方正楷体_GBK" w:eastAsia="方正楷体_GBK" w:cs="方正楷体_GBK"/>
          <w:b/>
          <w:color w:val="000000"/>
          <w:sz w:val="32"/>
        </w:rPr>
        <w:t>单位职责：</w:t>
      </w:r>
      <w:r>
        <w:rPr>
          <w:rFonts w:eastAsia="方正仿宋_GBK" w:cs="Times New Roman"/>
          <w:color w:val="000000"/>
          <w:sz w:val="28"/>
          <w:szCs w:val="24"/>
        </w:rPr>
        <w:t>丰润区审计局的主要职责是：</w:t>
      </w:r>
      <w:r>
        <w:rPr>
          <w:rFonts w:hint="eastAsia" w:eastAsia="方正仿宋_GBK" w:cs="Times New Roman"/>
          <w:color w:val="000000"/>
          <w:sz w:val="28"/>
          <w:szCs w:val="24"/>
        </w:rPr>
        <w:t>在区委审计委员会领导下，组织领导、协调监督全区审计机关的业务，编制全区审计工作规划，确定年度工作重点，参与拟定有关审计、财经方面的政策规定，制定审计规章制度并监督执行情况；向区政府报告和向区政府有关部门通报审计情况，提出制定和完善有关政策法规、工作措施的建议依据《中华人民共和国审计法》规定的直接审计事项及其他法律法规规定的审计事项；审计监督区本级预算执行情况和其他财政收支，向政府提交区级预算执行情况的审计结果报告，受区政府委托向区人大常委会提出预算执行情况和其他财政收支审计工作报告；组织实施对贯彻执行国家财经方针政策和宏观调控措施情况的行业审计、专项审计和审计调查；参加对国有金融机构、非银行金融机构资产、负债和损益状况的审计监督；组织实施对科局级以下党政领导干部和国有及国有控股企业领导人进行任期经济责任审计；组织实施对内部审计的指导与监督，组织审计专业培训</w:t>
      </w:r>
      <w:r>
        <w:rPr>
          <w:rFonts w:eastAsia="方正仿宋_GBK" w:cs="Times New Roman"/>
          <w:color w:val="000000"/>
          <w:sz w:val="28"/>
          <w:szCs w:val="24"/>
        </w:rPr>
        <w:t>;</w:t>
      </w:r>
      <w:r>
        <w:rPr>
          <w:rFonts w:hint="eastAsia" w:eastAsia="方正仿宋_GBK" w:cs="Times New Roman"/>
          <w:color w:val="000000"/>
          <w:sz w:val="28"/>
          <w:szCs w:val="24"/>
        </w:rPr>
        <w:t>监督社会审计组织的审计业务质量；承办区政府和上级审计机关交办的其他事项。</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机构设置：</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根据区编办最近核定的三定方案要求，丰润区审计局为行政编制单位，内设9个行政职能科室和</w:t>
      </w:r>
      <w:r>
        <w:rPr>
          <w:rFonts w:ascii="Times New Roman" w:hAnsi="Times New Roman"/>
          <w:sz w:val="32"/>
          <w:szCs w:val="32"/>
        </w:rPr>
        <w:t>1</w:t>
      </w:r>
      <w:r>
        <w:rPr>
          <w:rFonts w:hint="eastAsia" w:ascii="仿宋" w:eastAsia="仿宋"/>
          <w:sz w:val="32"/>
          <w:szCs w:val="32"/>
        </w:rPr>
        <w:t>个事业科室。人员编制数45个，实际在编38人。 退休人员37人。</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pP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14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rPr>
          <w:trHeight w:val="567" w:hRule="atLeast"/>
          <w:tblHeader/>
          <w:jc w:val="center"/>
        </w:trPr>
        <w:tc>
          <w:tcPr>
            <w:tcW w:w="5669" w:type="dxa"/>
            <w:tcBorders>
              <w:left w:val="single" w:color="000000" w:sz="6" w:space="0"/>
              <w:right w:val="single" w:color="000000" w:sz="6" w:space="0"/>
            </w:tcBorders>
            <w:vAlign w:val="center"/>
          </w:tcPr>
          <w:p>
            <w:pPr>
              <w:pStyle w:val="10"/>
            </w:pPr>
            <w:r>
              <w:t>单位名称</w:t>
            </w:r>
          </w:p>
        </w:tc>
        <w:tc>
          <w:tcPr>
            <w:tcW w:w="2464" w:type="dxa"/>
            <w:tcBorders>
              <w:left w:val="single" w:color="000000" w:sz="6" w:space="0"/>
              <w:right w:val="single" w:color="000000" w:sz="6" w:space="0"/>
            </w:tcBorders>
            <w:vAlign w:val="center"/>
          </w:tcPr>
          <w:p>
            <w:pPr>
              <w:pStyle w:val="10"/>
            </w:pPr>
            <w:r>
              <w:t>单位性质</w:t>
            </w:r>
          </w:p>
        </w:tc>
        <w:tc>
          <w:tcPr>
            <w:tcW w:w="2464" w:type="dxa"/>
            <w:tcBorders>
              <w:left w:val="single" w:color="000000" w:sz="6" w:space="0"/>
              <w:right w:val="single" w:color="000000" w:sz="6" w:space="0"/>
            </w:tcBorders>
            <w:vAlign w:val="center"/>
          </w:tcPr>
          <w:p>
            <w:pPr>
              <w:pStyle w:val="10"/>
            </w:pPr>
            <w:r>
              <w:t>单位规格</w:t>
            </w:r>
          </w:p>
        </w:tc>
        <w:tc>
          <w:tcPr>
            <w:tcW w:w="3827" w:type="dxa"/>
            <w:tcBorders>
              <w:left w:val="single" w:color="000000" w:sz="6" w:space="0"/>
              <w:right w:val="single" w:color="000000" w:sz="6" w:space="0"/>
            </w:tcBorders>
            <w:vAlign w:val="center"/>
          </w:tcPr>
          <w:p>
            <w:pPr>
              <w:pStyle w:val="10"/>
            </w:pPr>
            <w:r>
              <w:t>经费保障形式</w:t>
            </w:r>
          </w:p>
        </w:tc>
      </w:tr>
      <w:tr>
        <w:trPr>
          <w:trHeight w:val="369" w:hRule="atLeast"/>
          <w:jc w:val="center"/>
        </w:trPr>
        <w:tc>
          <w:tcPr>
            <w:tcW w:w="5669" w:type="dxa"/>
            <w:tcBorders>
              <w:left w:val="single" w:color="000000" w:sz="6" w:space="0"/>
              <w:right w:val="single" w:color="000000" w:sz="6" w:space="0"/>
            </w:tcBorders>
            <w:vAlign w:val="center"/>
          </w:tcPr>
          <w:p>
            <w:pPr>
              <w:pStyle w:val="12"/>
            </w:pPr>
            <w:r>
              <w:t>审计局本级</w:t>
            </w:r>
          </w:p>
        </w:tc>
        <w:tc>
          <w:tcPr>
            <w:tcW w:w="2464" w:type="dxa"/>
            <w:tcBorders>
              <w:left w:val="single" w:color="000000" w:sz="6" w:space="0"/>
              <w:right w:val="single" w:color="000000" w:sz="6" w:space="0"/>
            </w:tcBorders>
            <w:vAlign w:val="center"/>
          </w:tcPr>
          <w:p>
            <w:pPr>
              <w:pStyle w:val="13"/>
            </w:pPr>
            <w:r>
              <w:t>行政</w:t>
            </w:r>
          </w:p>
        </w:tc>
        <w:tc>
          <w:tcPr>
            <w:tcW w:w="2464" w:type="dxa"/>
            <w:tcBorders>
              <w:left w:val="single" w:color="000000" w:sz="6" w:space="0"/>
              <w:right w:val="single" w:color="000000" w:sz="6" w:space="0"/>
            </w:tcBorders>
            <w:vAlign w:val="center"/>
          </w:tcPr>
          <w:p>
            <w:pPr>
              <w:pStyle w:val="13"/>
            </w:pPr>
            <w:r>
              <w:t>正科级</w:t>
            </w:r>
          </w:p>
        </w:tc>
        <w:tc>
          <w:tcPr>
            <w:tcW w:w="3827" w:type="dxa"/>
            <w:tcBorders>
              <w:left w:val="single" w:color="000000" w:sz="6" w:space="0"/>
              <w:right w:val="single" w:color="000000" w:sz="6" w:space="0"/>
            </w:tcBorders>
            <w:vAlign w:val="center"/>
          </w:tcPr>
          <w:p>
            <w:pPr>
              <w:pStyle w:val="1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1、2023年一般公共预算拨款收入674.7万元。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2、2023年，根据本单位职责和工作任务规划，共安排部门预算支出674.7万元。其中人员经费支出611.54万元，日常公用经费支出44.16万元，项目支出19万元。</w:t>
      </w:r>
    </w:p>
    <w:p>
      <w:pPr>
        <w:pStyle w:val="33"/>
        <w:spacing w:line="540" w:lineRule="atLeast"/>
        <w:ind w:firstLine="640"/>
        <w:rPr>
          <w:rFonts w:hint="eastAsia" w:ascii="仿宋" w:eastAsia="仿宋"/>
          <w:sz w:val="32"/>
          <w:szCs w:val="32"/>
        </w:rPr>
      </w:pPr>
      <w:r>
        <w:rPr>
          <w:rFonts w:hint="eastAsia" w:ascii="仿宋" w:eastAsia="仿宋"/>
          <w:sz w:val="32"/>
          <w:szCs w:val="32"/>
        </w:rPr>
        <w:t>3、与上年相比增加113.05万元，其中：人员经费增加123.81万元，由于人员正常调资。正常公用经费减少0.76万元，项目支出减少10万元，由于减少了审计中介服务费项目的支出。</w:t>
      </w:r>
    </w:p>
    <w:p>
      <w:pPr>
        <w:spacing w:before="10" w:after="10" w:line="240" w:lineRule="auto"/>
        <w:ind w:firstLine="640"/>
        <w:jc w:val="left"/>
        <w:outlineLvl w:val="5"/>
      </w:pPr>
      <w:r>
        <w:rPr>
          <w:rFonts w:ascii="黑体" w:eastAsia="黑体" w:cs="黑体"/>
          <w:color w:val="000000"/>
          <w:sz w:val="32"/>
        </w:rPr>
        <w:t>三、机关运行经费安排情况</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b/>
          <w:bCs/>
          <w:sz w:val="32"/>
          <w:szCs w:val="32"/>
        </w:rPr>
      </w:pPr>
      <w:r>
        <w:rPr>
          <w:rFonts w:hint="eastAsia" w:ascii="仿宋" w:eastAsia="仿宋"/>
          <w:sz w:val="32"/>
          <w:szCs w:val="32"/>
        </w:rPr>
        <w:t>日常公用经费支出总计44.16万元。</w:t>
      </w:r>
      <w:r>
        <w:rPr>
          <w:rFonts w:hint="eastAsia" w:ascii="仿宋" w:eastAsia="仿宋"/>
          <w:b/>
          <w:bCs/>
          <w:sz w:val="32"/>
          <w:szCs w:val="32"/>
        </w:rPr>
        <w:t>（在职38人、退休37人）</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 xml:space="preserve">办公费：7.58万元  </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邮电费：12.8万元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差旅费：0.2万元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公务接待费：0.2元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工会经费：1.14元   按在职职工每人每年300元安排。</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left="638"/>
        <w:rPr>
          <w:rFonts w:hint="eastAsia" w:ascii="仿宋" w:eastAsia="仿宋"/>
          <w:sz w:val="32"/>
          <w:szCs w:val="32"/>
        </w:rPr>
      </w:pPr>
      <w:r>
        <w:rPr>
          <w:rFonts w:hint="eastAsia" w:ascii="仿宋" w:eastAsia="仿宋"/>
          <w:sz w:val="32"/>
          <w:szCs w:val="32"/>
        </w:rPr>
        <w:t>福利费：1.33万元 按在职职工每人每年300元安排。退休人员每年50元安排。</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公车运行维护费：4万元 （公务用车2辆）</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其他交通费用：16.92万元。 合计44.16元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b/>
          <w:bCs/>
          <w:sz w:val="32"/>
          <w:szCs w:val="32"/>
        </w:rPr>
      </w:pPr>
      <w:r>
        <w:rPr>
          <w:rFonts w:hint="eastAsia" w:ascii="仿宋" w:eastAsia="仿宋"/>
          <w:b/>
          <w:bCs/>
          <w:sz w:val="32"/>
          <w:szCs w:val="32"/>
        </w:rPr>
        <w:t>专项公用经费说明：</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1.审计数据分析室费用4万元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rPr>
          <w:rFonts w:hint="eastAsia" w:ascii="仿宋" w:eastAsia="仿宋"/>
          <w:sz w:val="32"/>
          <w:szCs w:val="32"/>
        </w:rPr>
      </w:pPr>
      <w:r>
        <w:rPr>
          <w:rFonts w:hint="eastAsia" w:ascii="仿宋" w:eastAsia="仿宋"/>
          <w:sz w:val="32"/>
          <w:szCs w:val="32"/>
        </w:rPr>
        <w:t xml:space="preserve">   </w:t>
      </w:r>
      <w:r>
        <w:rPr>
          <w:rFonts w:hint="eastAsia" w:ascii="仿宋" w:eastAsia="仿宋"/>
          <w:sz w:val="32"/>
          <w:szCs w:val="32"/>
          <w:lang w:val="en-US" w:eastAsia="zh-CN"/>
        </w:rPr>
        <w:t xml:space="preserve"> </w:t>
      </w:r>
      <w:r>
        <w:rPr>
          <w:rFonts w:hint="eastAsia" w:ascii="仿宋" w:eastAsia="仿宋"/>
          <w:sz w:val="32"/>
          <w:szCs w:val="32"/>
        </w:rPr>
        <w:t>2.审计专项业务经费50000元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3.聘用审计中介服务费100000元</w:t>
      </w:r>
    </w:p>
    <w:p>
      <w:pPr>
        <w:pStyle w:val="33"/>
        <w:spacing w:line="540" w:lineRule="atLeast"/>
        <w:ind w:firstLine="640"/>
        <w:rPr>
          <w:rFonts w:hint="eastAsia" w:ascii="仿宋" w:eastAsia="仿宋"/>
          <w:sz w:val="32"/>
          <w:szCs w:val="32"/>
        </w:rPr>
      </w:pPr>
      <w:r>
        <w:rPr>
          <w:rFonts w:hint="eastAsia" w:ascii="仿宋" w:eastAsia="仿宋"/>
          <w:sz w:val="32"/>
          <w:szCs w:val="32"/>
        </w:rPr>
        <w:t>合计190000元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2022年“三公”经费预算安排4.2万元，与上年相比没有增减变化。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1、公务用车运行维护费为4万元，与上年相比没有增减变化。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2、公务接待费0.2万元，与上年相比没有增减变化。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3、公务用车购置和因公出国经费0元，与上年相比没有增减变化。</w:t>
      </w:r>
    </w:p>
    <w:p>
      <w:pPr>
        <w:pStyle w:val="28"/>
        <w:ind w:left="0" w:firstLine="0"/>
      </w:pPr>
    </w:p>
    <w:p>
      <w:pPr>
        <w:numPr>
          <w:ilvl w:val="0"/>
          <w:numId w:val="1"/>
        </w:num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预算绩效信息</w:t>
      </w:r>
    </w:p>
    <w:p>
      <w:pPr>
        <w:numPr>
          <w:ilvl w:val="0"/>
          <w:numId w:val="0"/>
        </w:numPr>
        <w:spacing w:before="10" w:after="10" w:line="240" w:lineRule="auto"/>
        <w:jc w:val="left"/>
        <w:outlineLvl w:val="5"/>
        <w:rPr>
          <w:rFonts w:ascii="黑体" w:eastAsia="黑体" w:cs="黑体"/>
          <w:color w:val="000000"/>
          <w:sz w:val="32"/>
        </w:rPr>
      </w:pPr>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　唐山市丰润区审计局主管全区审计工作。通过审计财政、财务收支真实、合法和效益，维护国家财政经济秩序、促进廉政建设、保障国民经济的健康发展。通过专项审计调查，综合分析，向有关部门反映情况，揭露问题、提出解决问题的建议，为政府决策提供依据。贯彻落实相关法律法规，提高审计质量和审计机关法制管理水平。指导和监督内部审计工作，受理内审业务咨询，协调内部审计和国家审计间工作，保障内部审计工作的顺利进行。通过开展“金审三期”，建立以联网直审为基础的数据分析平台，稳步推进信息化建设，提高审计信息化水平和审计人员信息化应用程度，不断提升审计效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 xml:space="preserve">　　　　　 1.管理审计工作  </w:t>
      </w:r>
    </w:p>
    <w:p>
      <w:pPr>
        <w:pStyle w:val="22"/>
      </w:pPr>
      <w:r>
        <w:t>　　　　　 绩效目标：通过开展审计工作，提升全区各乡镇、单位财政财务管理水平，提高财政资金使用绩效，促进经济高质量发展。</w:t>
      </w:r>
    </w:p>
    <w:p>
      <w:pPr>
        <w:pStyle w:val="22"/>
      </w:pPr>
      <w:r>
        <w:t>　　　　　绩效指标：已完成审计计划占计划总数的比例大于等于95%</w:t>
      </w:r>
    </w:p>
    <w:p>
      <w:pPr>
        <w:pStyle w:val="22"/>
      </w:pPr>
      <w:r>
        <w:t>　　　　　  2.进行审计法制管理和内部审计管理</w:t>
      </w:r>
    </w:p>
    <w:p>
      <w:pPr>
        <w:pStyle w:val="22"/>
      </w:pPr>
      <w:r>
        <w:t>　　　　　绩效目标：通过建立健全法规，加大内部审计管理制度提高审计质量和审计机关法制管理水平。</w:t>
      </w:r>
    </w:p>
    <w:p>
      <w:pPr>
        <w:pStyle w:val="22"/>
      </w:pPr>
      <w:r>
        <w:t>　　　　　绩效指标：已进行内审业务指导、监督检查的单位占全部内审单位的比率大于等于95%。</w:t>
      </w:r>
    </w:p>
    <w:p>
      <w:pPr>
        <w:pStyle w:val="22"/>
      </w:pPr>
      <w:r>
        <w:t>　　　　　  3.完成区本级预算执行审计报告</w:t>
      </w:r>
    </w:p>
    <w:p>
      <w:pPr>
        <w:pStyle w:val="22"/>
      </w:pPr>
      <w:r>
        <w:t>　　　　　绩效目标：按时完成区本级预算执行审计工作，组织起草区政府向区人大常委会提出区本级预算执行和其他财政收支情况的审计工作报告、审计查出问题整改情况报告。</w:t>
      </w:r>
    </w:p>
    <w:p>
      <w:pPr>
        <w:pStyle w:val="22"/>
      </w:pPr>
      <w:r>
        <w:t>　　　　　绩效指标：区本级预算执行和其他财政收支情况的审计工作报告通过率大于等于95%.</w:t>
      </w:r>
    </w:p>
    <w:p>
      <w:pPr>
        <w:pStyle w:val="22"/>
      </w:pPr>
      <w:r>
        <w:t>　　　　　  4.进行领导干部经济责任审计</w:t>
      </w:r>
    </w:p>
    <w:p>
      <w:pPr>
        <w:pStyle w:val="22"/>
      </w:pPr>
      <w:r>
        <w:t>　　　　　绩效目标：按规定对区管党政主要领导干部及其他单位主要负责人实施经济责任审计和自然资源资产离任审计</w:t>
      </w:r>
    </w:p>
    <w:p>
      <w:pPr>
        <w:pStyle w:val="22"/>
      </w:pPr>
      <w:r>
        <w:t>　　　　　绩效指标：被审计单位根据审计建议制定的整改措施率大于等于95%</w:t>
      </w:r>
    </w:p>
    <w:p>
      <w:pPr>
        <w:pStyle w:val="22"/>
      </w:pPr>
      <w:r>
        <w:t>5.专项审计调查　　　　　</w:t>
      </w:r>
    </w:p>
    <w:p>
      <w:pPr>
        <w:pStyle w:val="22"/>
      </w:pPr>
      <w:r>
        <w:t>绩效目标：通过专项审计调查，综合分析，向有关部门反映情况，、揭露问题、提出解决问题的建议，为政府决策提供依据。</w:t>
      </w:r>
    </w:p>
    <w:p>
      <w:pPr>
        <w:pStyle w:val="22"/>
      </w:pPr>
      <w:r>
        <w:t>　绩效指标：完成审计计划中专项审计情况比例大于等于95%</w:t>
      </w:r>
    </w:p>
    <w:p>
      <w:pPr>
        <w:pStyle w:val="22"/>
      </w:pPr>
      <w:r>
        <w:t>6.审计发现问题整改</w:t>
      </w:r>
    </w:p>
    <w:p>
      <w:pPr>
        <w:pStyle w:val="22"/>
      </w:pPr>
      <w:r>
        <w:t>绩效目标：加强审计发现问题整改</w:t>
      </w:r>
    </w:p>
    <w:p>
      <w:pPr>
        <w:pStyle w:val="22"/>
      </w:pPr>
      <w:r>
        <w:t>绩效指标：审计整改情况与审计发现问题比率大于等于95%</w:t>
      </w:r>
    </w:p>
    <w:p>
      <w:pPr>
        <w:pStyle w:val="22"/>
      </w:pPr>
      <w:r>
        <w:t>　 7.推进审计信息化建设</w:t>
      </w:r>
    </w:p>
    <w:p>
      <w:pPr>
        <w:pStyle w:val="22"/>
      </w:pPr>
      <w:r>
        <w:t>绩效目标：按照审计全覆盖要求，加快推进数据分析平台建设，不断创新大数据审计技术方法，提升审计效率和质量。</w:t>
      </w:r>
    </w:p>
    <w:p>
      <w:pPr>
        <w:pStyle w:val="22"/>
      </w:pPr>
      <w:r>
        <w:t>绩效指标：采集分析一级预算单位（部门）财政财务数据大于等于95%。</w:t>
      </w:r>
    </w:p>
    <w:p>
      <w:pPr>
        <w:pStyle w:val="22"/>
      </w:pPr>
      <w:r>
        <w:t>　　8.综合业务管理</w:t>
      </w:r>
    </w:p>
    <w:p>
      <w:pPr>
        <w:pStyle w:val="22"/>
      </w:pPr>
      <w:r>
        <w:t>绩效目标：通过开展系统综合业务管理和机关综合事务管理，充分发挥参谋助手作用和综合协调作用，推进审计事业健康发展。</w:t>
      </w:r>
    </w:p>
    <w:p>
      <w:pPr>
        <w:pStyle w:val="22"/>
      </w:pPr>
      <w:r>
        <w:t>绩效指标：在对审计人员依法审计、廉洁审计、文明审计方面投诉的审计项目数量占合部审计项目的比例小于等于5%</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　　　　　（一）全面推进干部队伍建设。加强人员培训，坚持以人为本，改革创新，全面提高审计人员依法审计能力和审计工作水平，逐步建立健全适应审计事业科学发展需要的干部管理和人力资源管理体制和机制，着力打造政治过硬、业务精通、作风优良、廉洁自律、文明和谐的审计干部队伍。</w:t>
      </w:r>
    </w:p>
    <w:p>
      <w:pPr>
        <w:pStyle w:val="23"/>
      </w:pPr>
      <w:r>
        <w:t>　　　　　（二）全面推进审计法治化建设。进一步加强审计规章制度建设，规范审计行为，推进依法审计，更加注重依法审计、文明审计，加强审计整改力度，提升审计质量控制，进一步规范审计行为，提高审计工作的法治化、规范化水平。</w:t>
      </w:r>
    </w:p>
    <w:p>
      <w:pPr>
        <w:pStyle w:val="23"/>
      </w:pPr>
      <w:r>
        <w:t>　　　　　（三）全面推进审计信息化建设。不断推进“金审三期”工作，通过数据分析室建设，进一步探索以信息数字化为基础，以联网直审为内容的大数据审计新格局，探索适应信息化环境的审计方式。</w:t>
      </w:r>
    </w:p>
    <w:p>
      <w:pPr>
        <w:pStyle w:val="23"/>
      </w:pPr>
      <w:r>
        <w:t>　　　　　 （四）不断加强绩效管理，采取措施预做准备，控制偏差，保证绩效目标的实现。</w:t>
      </w:r>
    </w:p>
    <w:p>
      <w:pPr>
        <w:pStyle w:val="23"/>
      </w:pPr>
      <w:r>
        <w:t>　　　　　1、完善制度建设。制定预算绩效管理制度、资金管理办法、工作保障制度，为全年预算绩效目标的实现奠定制度基础。</w:t>
      </w:r>
    </w:p>
    <w:p>
      <w:pPr>
        <w:pStyle w:val="23"/>
      </w:pPr>
      <w:r>
        <w:t>　　　　　2、加强支出管理。通过优化支出结构、编细编实预算、加快履行政府采购手续、尽快启动项目、及时支付资金、按规定及时下达资金等多种措施，确保支出进度达标。</w:t>
      </w:r>
    </w:p>
    <w:p>
      <w:pPr>
        <w:pStyle w:val="23"/>
      </w:pPr>
      <w:r>
        <w:t>　　　　　3、加强绩效运行监控。按要求开展绩效运行监控，发现问题及时采取措施，确保绩效目标如期保质实现。</w:t>
      </w:r>
    </w:p>
    <w:p>
      <w:pPr>
        <w:pStyle w:val="23"/>
      </w:pPr>
      <w:r>
        <w:t>　　　　　4、做好绩效自评。按要求开展上年度部门预算绩效自评和重点评价工作，对评价中发现的问题及时整改，调整优化支出结构，提高财政资金使用效益。</w:t>
      </w:r>
    </w:p>
    <w:p>
      <w:pPr>
        <w:pStyle w:val="23"/>
      </w:pPr>
      <w:r>
        <w:t>　　　　　5、规范财务资产管理。完善财务管理制度，严格审批程序，加强固定资产登记、使用和报废处置管理，做到支出合理，物尽其用。</w:t>
      </w:r>
    </w:p>
    <w:p>
      <w:pPr>
        <w:pStyle w:val="23"/>
      </w:pPr>
      <w:r>
        <w:t>　　　　　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rPr>
          <w:rFonts w:ascii="黑体" w:eastAsia="黑体" w:cs="黑体"/>
          <w:color w:val="000000"/>
          <w:sz w:val="32"/>
        </w:rPr>
      </w:pPr>
      <w:r>
        <w:t>　　　　　7、加强宣传培训调研等。加强人员培训，提高职工业务素质；加强调研，提出优化财政资金配置、提高资金使用效益的意见意见；加大宣传力度，强化预算绩效管理意识，促进预算绩效管理水平进一步提升。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r>
        <w:rPr>
          <w:rFonts w:hint="eastAsia" w:ascii="方正楷体_GBK" w:eastAsia="方正楷体_GBK" w:cs="方正楷体_GBK"/>
          <w:b/>
          <w:color w:val="000000"/>
          <w:sz w:val="32"/>
          <w:lang w:val="en-US" w:eastAsia="zh-CN"/>
        </w:rPr>
        <w:t>（</w:t>
      </w:r>
      <w:r>
        <w:rPr>
          <w:rFonts w:ascii="方正楷体_GBK" w:eastAsia="方正楷体_GBK" w:cs="方正楷体_GBK"/>
          <w:b/>
          <w:color w:val="000000"/>
          <w:sz w:val="32"/>
        </w:rPr>
        <w:t>预算项目绩效目标</w:t>
      </w:r>
      <w:r>
        <w:rPr>
          <w:rFonts w:hint="eastAsia" w:ascii="方正楷体_GBK" w:eastAsia="方正楷体_GBK" w:cs="方正楷体_GBK"/>
          <w:b/>
          <w:color w:val="000000"/>
          <w:sz w:val="32"/>
          <w:lang w:val="en-US" w:eastAsia="zh-CN"/>
        </w:rPr>
        <w:t>)</w:t>
      </w:r>
    </w:p>
    <w:p>
      <w:pPr>
        <w:spacing w:before="0" w:after="0"/>
        <w:ind w:firstLine="560"/>
        <w:jc w:val="left"/>
        <w:outlineLvl w:val="9"/>
      </w:pPr>
      <w:r>
        <w:rPr>
          <w:rFonts w:ascii="方正仿宋_GBK" w:eastAsia="方正仿宋_GBK" w:cs="方正仿宋_GBK"/>
          <w:b/>
          <w:color w:val="000000"/>
          <w:sz w:val="28"/>
        </w:rPr>
        <w:t>1、聘用中介服务费绩效目标表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1.促进审计工作提质增效，解决审计工作任务重和审计力量不足矛盾，推动审计监督全覆盖。</w:t>
            </w:r>
          </w:p>
          <w:p>
            <w:pPr>
              <w:pStyle w:val="12"/>
            </w:pPr>
            <w:r>
              <w:t>2.促进公共资金安全高效使用。</w:t>
            </w:r>
          </w:p>
          <w:p>
            <w:pPr>
              <w:pStyle w:val="12"/>
            </w:pPr>
            <w:r>
              <w:t>3.提高审计效率和效果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审计项目完成数量</w:t>
            </w:r>
          </w:p>
        </w:tc>
        <w:tc>
          <w:tcPr>
            <w:tcW w:w="2835" w:type="dxa"/>
            <w:tcBorders>
              <w:left w:val="single" w:color="000000" w:sz="6" w:space="0"/>
              <w:right w:val="single" w:color="000000" w:sz="6" w:space="0"/>
            </w:tcBorders>
            <w:vAlign w:val="center"/>
          </w:tcPr>
          <w:p>
            <w:pPr>
              <w:pStyle w:val="12"/>
            </w:pPr>
            <w:r>
              <w:t>完成审计项目并出具报告数量</w:t>
            </w:r>
            <w:r>
              <w:tab/>
            </w:r>
            <w:r>
              <w:tab/>
            </w:r>
          </w:p>
          <w:p>
            <w:pPr>
              <w:pStyle w:val="12"/>
            </w:pPr>
          </w:p>
        </w:tc>
        <w:tc>
          <w:tcPr>
            <w:tcW w:w="2551" w:type="dxa"/>
            <w:tcBorders>
              <w:left w:val="single" w:color="000000" w:sz="6" w:space="0"/>
              <w:right w:val="single" w:color="000000" w:sz="6" w:space="0"/>
            </w:tcBorders>
            <w:vAlign w:val="center"/>
          </w:tcPr>
          <w:p>
            <w:pPr>
              <w:pStyle w:val="12"/>
            </w:pPr>
            <w:r>
              <w:t>≥1个</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质量控制</w:t>
            </w:r>
          </w:p>
        </w:tc>
        <w:tc>
          <w:tcPr>
            <w:tcW w:w="2835" w:type="dxa"/>
            <w:tcBorders>
              <w:left w:val="single" w:color="000000" w:sz="6" w:space="0"/>
              <w:right w:val="single" w:color="000000" w:sz="6" w:space="0"/>
            </w:tcBorders>
            <w:vAlign w:val="center"/>
          </w:tcPr>
          <w:p>
            <w:pPr>
              <w:pStyle w:val="12"/>
            </w:pPr>
            <w:r>
              <w:t>按要求完成审计目标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 xml:space="preserve">审计项目完成时限 </w:t>
            </w:r>
          </w:p>
        </w:tc>
        <w:tc>
          <w:tcPr>
            <w:tcW w:w="2835" w:type="dxa"/>
            <w:tcBorders>
              <w:left w:val="single" w:color="000000" w:sz="6" w:space="0"/>
              <w:right w:val="single" w:color="000000" w:sz="6" w:space="0"/>
            </w:tcBorders>
            <w:vAlign w:val="center"/>
          </w:tcPr>
          <w:p>
            <w:pPr>
              <w:pStyle w:val="12"/>
            </w:pPr>
            <w:r>
              <w:t>按时完成审计项目时限</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严格执行预算，按合同约定付款</w:t>
            </w:r>
          </w:p>
        </w:tc>
        <w:tc>
          <w:tcPr>
            <w:tcW w:w="2551" w:type="dxa"/>
            <w:tcBorders>
              <w:left w:val="single" w:color="000000" w:sz="6" w:space="0"/>
              <w:right w:val="single" w:color="000000" w:sz="6" w:space="0"/>
            </w:tcBorders>
            <w:vAlign w:val="center"/>
          </w:tcPr>
          <w:p>
            <w:pPr>
              <w:pStyle w:val="12"/>
            </w:pPr>
            <w:r>
              <w:t>≤25000元/季度</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规范财务管理</w:t>
            </w:r>
          </w:p>
        </w:tc>
        <w:tc>
          <w:tcPr>
            <w:tcW w:w="2835" w:type="dxa"/>
            <w:tcBorders>
              <w:left w:val="single" w:color="000000" w:sz="6" w:space="0"/>
              <w:right w:val="single" w:color="000000" w:sz="6" w:space="0"/>
            </w:tcBorders>
            <w:vAlign w:val="center"/>
          </w:tcPr>
          <w:p>
            <w:pPr>
              <w:pStyle w:val="12"/>
            </w:pPr>
            <w:r>
              <w:t>促进被审单位规范财务管理，安全高效使用资金。</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2、审计数据分析室费用绩效目标表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1.按照金审三期项目要求，实现联网直审。</w:t>
            </w:r>
          </w:p>
          <w:p>
            <w:pPr>
              <w:pStyle w:val="12"/>
            </w:pPr>
            <w:r>
              <w:t>2.通过信息化手段、运用大数据技术，实现审计全覆盖。推动审计工作全面进步整体提升。</w:t>
            </w:r>
          </w:p>
          <w:p>
            <w:pPr>
              <w:pStyle w:val="12"/>
            </w:pPr>
            <w:r>
              <w:t>3.确保网络和数据安全，加强审计数据安全存储，加强审计现场计算机、电子数据和审计资料的安全保管。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采集一级预算单位电子数据量</w:t>
            </w:r>
          </w:p>
        </w:tc>
        <w:tc>
          <w:tcPr>
            <w:tcW w:w="2835" w:type="dxa"/>
            <w:tcBorders>
              <w:left w:val="single" w:color="000000" w:sz="6" w:space="0"/>
              <w:right w:val="single" w:color="000000" w:sz="6" w:space="0"/>
            </w:tcBorders>
            <w:vAlign w:val="center"/>
          </w:tcPr>
          <w:p>
            <w:pPr>
              <w:pStyle w:val="12"/>
            </w:pPr>
            <w:r>
              <w:t>完成对一级预算单位电子数据的收集</w:t>
            </w:r>
          </w:p>
        </w:tc>
        <w:tc>
          <w:tcPr>
            <w:tcW w:w="2551" w:type="dxa"/>
            <w:tcBorders>
              <w:left w:val="single" w:color="000000" w:sz="6" w:space="0"/>
              <w:right w:val="single" w:color="000000" w:sz="6" w:space="0"/>
            </w:tcBorders>
            <w:vAlign w:val="center"/>
          </w:tcPr>
          <w:p>
            <w:pPr>
              <w:pStyle w:val="12"/>
            </w:pPr>
            <w:r>
              <w:t>≥80个</w:t>
            </w:r>
          </w:p>
        </w:tc>
        <w:tc>
          <w:tcPr>
            <w:tcW w:w="2466" w:type="dxa"/>
            <w:tcBorders>
              <w:left w:val="single" w:color="000000" w:sz="6" w:space="0"/>
              <w:right w:val="single" w:color="000000" w:sz="6" w:space="0"/>
            </w:tcBorders>
            <w:vAlign w:val="center"/>
          </w:tcPr>
          <w:p>
            <w:pPr>
              <w:pStyle w:val="12"/>
            </w:pPr>
            <w:r>
              <w:t>文件要求</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处理数据能力</w:t>
            </w:r>
          </w:p>
        </w:tc>
        <w:tc>
          <w:tcPr>
            <w:tcW w:w="2835" w:type="dxa"/>
            <w:tcBorders>
              <w:left w:val="single" w:color="000000" w:sz="6" w:space="0"/>
              <w:right w:val="single" w:color="000000" w:sz="6" w:space="0"/>
            </w:tcBorders>
            <w:vAlign w:val="center"/>
          </w:tcPr>
          <w:p>
            <w:pPr>
              <w:pStyle w:val="12"/>
            </w:pPr>
            <w:r>
              <w:t>提高审计数据分析处理能力</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历史标准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 xml:space="preserve">项目完成时限 </w:t>
            </w:r>
          </w:p>
        </w:tc>
        <w:tc>
          <w:tcPr>
            <w:tcW w:w="2835" w:type="dxa"/>
            <w:tcBorders>
              <w:left w:val="single" w:color="000000" w:sz="6" w:space="0"/>
              <w:right w:val="single" w:color="000000" w:sz="6" w:space="0"/>
            </w:tcBorders>
            <w:vAlign w:val="center"/>
          </w:tcPr>
          <w:p>
            <w:pPr>
              <w:pStyle w:val="12"/>
            </w:pPr>
            <w:r>
              <w:t>按照规定时限完成数据采集分析</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年初预算</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严格执行预算，按合同约定付款</w:t>
            </w:r>
          </w:p>
        </w:tc>
        <w:tc>
          <w:tcPr>
            <w:tcW w:w="2551" w:type="dxa"/>
            <w:tcBorders>
              <w:left w:val="single" w:color="000000" w:sz="6" w:space="0"/>
              <w:right w:val="single" w:color="000000" w:sz="6" w:space="0"/>
            </w:tcBorders>
            <w:vAlign w:val="center"/>
          </w:tcPr>
          <w:p>
            <w:pPr>
              <w:pStyle w:val="12"/>
            </w:pPr>
            <w:r>
              <w:t>≤10000元/季度</w:t>
            </w:r>
          </w:p>
        </w:tc>
        <w:tc>
          <w:tcPr>
            <w:tcW w:w="2466" w:type="dxa"/>
            <w:tcBorders>
              <w:left w:val="single" w:color="000000" w:sz="6" w:space="0"/>
              <w:right w:val="single" w:color="000000" w:sz="6" w:space="0"/>
            </w:tcBorders>
            <w:vAlign w:val="center"/>
          </w:tcPr>
          <w:p>
            <w:pPr>
              <w:pStyle w:val="12"/>
            </w:pPr>
            <w:r>
              <w:t>文件要求</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提高审计效率</w:t>
            </w:r>
          </w:p>
        </w:tc>
        <w:tc>
          <w:tcPr>
            <w:tcW w:w="2835" w:type="dxa"/>
            <w:tcBorders>
              <w:left w:val="single" w:color="000000" w:sz="6" w:space="0"/>
              <w:right w:val="single" w:color="000000" w:sz="6" w:space="0"/>
            </w:tcBorders>
            <w:vAlign w:val="center"/>
          </w:tcPr>
          <w:p>
            <w:pPr>
              <w:pStyle w:val="12"/>
            </w:pPr>
            <w:r>
              <w:t>审计工作全面进步整体提升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 xml:space="preserve">≥95% </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3、审计专项业务经费绩效目标表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1.依法履行区委审计委员</w:t>
            </w:r>
            <w:r>
              <w:rPr>
                <w:rFonts w:hint="eastAsia"/>
                <w:lang w:eastAsia="zh-CN"/>
              </w:rPr>
              <w:t>会</w:t>
            </w:r>
            <w:bookmarkStart w:id="1" w:name="_GoBack"/>
            <w:bookmarkEnd w:id="1"/>
            <w:r>
              <w:t>办公室职责，组织研究全区审计监督发展战略、规划、重大政策和改革方案，综合协调推进审计项目实施、审计结果运用等重大事项，统筹推进审计法律、法规、政策制度等建设。</w:t>
            </w:r>
          </w:p>
          <w:p>
            <w:pPr>
              <w:pStyle w:val="12"/>
            </w:pPr>
            <w:r>
              <w:t>2.完成区委和区委审计委员会交办的各项工作事项，推动相关工作部署落实。</w:t>
            </w:r>
          </w:p>
          <w:p>
            <w:pPr>
              <w:pStyle w:val="12"/>
            </w:pPr>
            <w:r>
              <w:t>3.依法独立行使审计监督权，保障审计工作顺利开展。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筹备区委审计委员会会议</w:t>
            </w:r>
          </w:p>
        </w:tc>
        <w:tc>
          <w:tcPr>
            <w:tcW w:w="2835" w:type="dxa"/>
            <w:tcBorders>
              <w:left w:val="single" w:color="000000" w:sz="6" w:space="0"/>
              <w:right w:val="single" w:color="000000" w:sz="6" w:space="0"/>
            </w:tcBorders>
            <w:vAlign w:val="center"/>
          </w:tcPr>
          <w:p>
            <w:pPr>
              <w:pStyle w:val="12"/>
            </w:pPr>
            <w:r>
              <w:t>完成区委审计委员会会议各项准备工作</w:t>
            </w:r>
          </w:p>
        </w:tc>
        <w:tc>
          <w:tcPr>
            <w:tcW w:w="2551" w:type="dxa"/>
            <w:tcBorders>
              <w:left w:val="single" w:color="000000" w:sz="6" w:space="0"/>
              <w:right w:val="single" w:color="000000" w:sz="6" w:space="0"/>
            </w:tcBorders>
            <w:vAlign w:val="center"/>
          </w:tcPr>
          <w:p>
            <w:pPr>
              <w:pStyle w:val="12"/>
            </w:pPr>
            <w:r>
              <w:t>≥1次</w:t>
            </w:r>
          </w:p>
        </w:tc>
        <w:tc>
          <w:tcPr>
            <w:tcW w:w="2466" w:type="dxa"/>
            <w:tcBorders>
              <w:left w:val="single" w:color="000000" w:sz="6" w:space="0"/>
              <w:right w:val="single" w:color="000000" w:sz="6" w:space="0"/>
            </w:tcBorders>
            <w:vAlign w:val="center"/>
          </w:tcPr>
          <w:p>
            <w:pPr>
              <w:pStyle w:val="12"/>
            </w:pPr>
            <w:r>
              <w:t>区委审委会工作规则</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质量控制</w:t>
            </w:r>
          </w:p>
        </w:tc>
        <w:tc>
          <w:tcPr>
            <w:tcW w:w="2835" w:type="dxa"/>
            <w:tcBorders>
              <w:left w:val="single" w:color="000000" w:sz="6" w:space="0"/>
              <w:right w:val="single" w:color="000000" w:sz="6" w:space="0"/>
            </w:tcBorders>
            <w:vAlign w:val="center"/>
          </w:tcPr>
          <w:p>
            <w:pPr>
              <w:pStyle w:val="12"/>
            </w:pPr>
            <w:r>
              <w:t>按要求完成审计目标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按时完成</w:t>
            </w:r>
          </w:p>
        </w:tc>
        <w:tc>
          <w:tcPr>
            <w:tcW w:w="2835" w:type="dxa"/>
            <w:tcBorders>
              <w:left w:val="single" w:color="000000" w:sz="6" w:space="0"/>
              <w:right w:val="single" w:color="000000" w:sz="6" w:space="0"/>
            </w:tcBorders>
            <w:vAlign w:val="center"/>
          </w:tcPr>
          <w:p>
            <w:pPr>
              <w:pStyle w:val="12"/>
            </w:pPr>
            <w:r>
              <w:t>按时向区审委会提交全区审计工作报告</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区委审委会工作规则</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严格执行预算，购买物品及其他开支的成本</w:t>
            </w:r>
          </w:p>
        </w:tc>
        <w:tc>
          <w:tcPr>
            <w:tcW w:w="2551" w:type="dxa"/>
            <w:tcBorders>
              <w:left w:val="single" w:color="000000" w:sz="6" w:space="0"/>
              <w:right w:val="single" w:color="000000" w:sz="6" w:space="0"/>
            </w:tcBorders>
            <w:vAlign w:val="center"/>
          </w:tcPr>
          <w:p>
            <w:pPr>
              <w:pStyle w:val="12"/>
            </w:pPr>
            <w:r>
              <w:t>≤12500元/季度</w:t>
            </w:r>
          </w:p>
        </w:tc>
        <w:tc>
          <w:tcPr>
            <w:tcW w:w="2466" w:type="dxa"/>
            <w:tcBorders>
              <w:left w:val="single" w:color="000000" w:sz="6" w:space="0"/>
              <w:right w:val="single" w:color="000000" w:sz="6" w:space="0"/>
            </w:tcBorders>
            <w:vAlign w:val="center"/>
          </w:tcPr>
          <w:p>
            <w:pPr>
              <w:pStyle w:val="12"/>
            </w:pPr>
            <w:r>
              <w:t>年初计划</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落实审计发现问题整改</w:t>
            </w:r>
          </w:p>
        </w:tc>
        <w:tc>
          <w:tcPr>
            <w:tcW w:w="2835" w:type="dxa"/>
            <w:tcBorders>
              <w:left w:val="single" w:color="000000" w:sz="6" w:space="0"/>
              <w:right w:val="single" w:color="000000" w:sz="6" w:space="0"/>
            </w:tcBorders>
            <w:vAlign w:val="center"/>
          </w:tcPr>
          <w:p>
            <w:pPr>
              <w:pStyle w:val="12"/>
            </w:pPr>
            <w:r>
              <w:t>保障审计工作顺利开展，促进被审单位落实审计发现问题整改</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2023年，审计局本级安排政府采购预算0.00万元。具体内容见下表。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16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jc w:val="center"/>
        </w:trPr>
        <w:tc>
          <w:tcPr>
            <w:tcW w:w="7705" w:type="dxa"/>
            <w:gridSpan w:val="7"/>
            <w:tcBorders>
              <w:top w:val="single" w:color="FFFFFF" w:sz="6" w:space="0"/>
              <w:left w:val="single" w:color="FFFFFF" w:sz="6" w:space="0"/>
              <w:right w:val="single" w:color="FFFFFF" w:sz="6" w:space="0"/>
            </w:tcBorders>
            <w:vAlign w:val="center"/>
          </w:tcPr>
          <w:p>
            <w:pPr>
              <w:pStyle w:val="9"/>
            </w:pPr>
            <w:r>
              <w:t>319001审计局本级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rPr>
          <w:cantSplit/>
          <w:tblHeader/>
          <w:jc w:val="center"/>
        </w:trPr>
        <w:tc>
          <w:tcPr>
            <w:tcW w:w="2665" w:type="dxa"/>
            <w:gridSpan w:val="2"/>
            <w:tcBorders>
              <w:left w:val="single" w:color="000000" w:sz="6" w:space="0"/>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924" w:type="dxa"/>
            <w:vMerge w:val="restart"/>
            <w:tcBorders>
              <w:left w:val="single" w:color="000000" w:sz="6" w:space="0"/>
              <w:right w:val="single" w:color="000000" w:sz="6" w:space="0"/>
            </w:tcBorders>
            <w:vAlign w:val="center"/>
          </w:tcPr>
          <w:p>
            <w:pPr>
              <w:pStyle w:val="10"/>
            </w:pPr>
            <w:r>
              <w:t>计量  单位</w:t>
            </w:r>
          </w:p>
        </w:tc>
        <w:tc>
          <w:tcPr>
            <w:tcW w:w="924" w:type="dxa"/>
            <w:vMerge w:val="restart"/>
            <w:tcBorders>
              <w:left w:val="single" w:color="000000" w:sz="6" w:space="0"/>
              <w:right w:val="single" w:color="000000" w:sz="6" w:space="0"/>
            </w:tcBorders>
            <w:vAlign w:val="center"/>
          </w:tcPr>
          <w:p>
            <w:pPr>
              <w:pStyle w:val="10"/>
            </w:pPr>
            <w:r>
              <w:t>数量</w:t>
            </w:r>
          </w:p>
        </w:tc>
        <w:tc>
          <w:tcPr>
            <w:tcW w:w="924" w:type="dxa"/>
            <w:vMerge w:val="restart"/>
            <w:tcBorders>
              <w:left w:val="single" w:color="000000" w:sz="6" w:space="0"/>
              <w:right w:val="single" w:color="000000" w:sz="6" w:space="0"/>
            </w:tcBorders>
            <w:vAlign w:val="center"/>
          </w:tcPr>
          <w:p>
            <w:pPr>
              <w:pStyle w:val="10"/>
            </w:pPr>
            <w:r>
              <w:t>单价</w:t>
            </w:r>
          </w:p>
        </w:tc>
        <w:tc>
          <w:tcPr>
            <w:tcW w:w="7712" w:type="dxa"/>
            <w:gridSpan w:val="8"/>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pPr>
              <w:pStyle w:val="10"/>
            </w:pPr>
            <w:r>
              <w:t>2023年  预留中  小微企  业份额</w:t>
            </w:r>
          </w:p>
        </w:tc>
      </w:tr>
      <w:tr>
        <w:trPr>
          <w:cantSplit/>
          <w:tblHeader/>
          <w:jc w:val="center"/>
        </w:trPr>
        <w:tc>
          <w:tcPr>
            <w:tcW w:w="1701" w:type="dxa"/>
            <w:tcBorders>
              <w:left w:val="single" w:color="000000" w:sz="6" w:space="0"/>
              <w:right w:val="single" w:color="000000" w:sz="6" w:space="0"/>
            </w:tcBorders>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vAlign w:val="top"/>
          </w:tcPr>
          <w:p/>
        </w:tc>
        <w:tc>
          <w:tcPr>
            <w:tcW w:w="113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财政拨    款结转</w:t>
            </w:r>
          </w:p>
        </w:tc>
        <w:tc>
          <w:tcPr>
            <w:tcW w:w="964" w:type="dxa"/>
            <w:tcBorders>
              <w:left w:val="single" w:color="000000" w:sz="6" w:space="0"/>
              <w:right w:val="single" w:color="000000" w:sz="6" w:space="0"/>
            </w:tcBorders>
            <w:vAlign w:val="center"/>
          </w:tcPr>
          <w:p>
            <w:pPr>
              <w:pStyle w:val="10"/>
            </w:pPr>
            <w:r>
              <w:t>非财政    拨款结    转结余</w:t>
            </w:r>
          </w:p>
        </w:tc>
        <w:tc>
          <w:tcPr>
            <w:tcW w:w="964" w:type="dxa"/>
            <w:vMerge w:val="continue"/>
            <w:tcBorders>
              <w:left w:val="single" w:color="000000" w:sz="6" w:space="0"/>
              <w:right w:val="single" w:color="000000" w:sz="6" w:space="0"/>
            </w:tcBorders>
            <w:vAlign w:val="top"/>
          </w:tcPr>
          <w:p/>
        </w:tc>
      </w:tr>
      <w:tr>
        <w:trPr>
          <w:cantSplit/>
          <w:jc w:val="center"/>
        </w:trPr>
        <w:tc>
          <w:tcPr>
            <w:tcW w:w="1701"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924" w:type="dxa"/>
            <w:tcBorders>
              <w:left w:val="single" w:color="000000" w:sz="6" w:space="0"/>
              <w:right w:val="single" w:color="000000" w:sz="6" w:space="0"/>
            </w:tcBorders>
            <w:vAlign w:val="center"/>
          </w:tcPr>
          <w:p>
            <w:pPr>
              <w:pStyle w:val="13"/>
            </w:pPr>
          </w:p>
        </w:tc>
        <w:tc>
          <w:tcPr>
            <w:tcW w:w="924" w:type="dxa"/>
            <w:tcBorders>
              <w:left w:val="single" w:color="000000" w:sz="6" w:space="0"/>
              <w:right w:val="single" w:color="000000" w:sz="6" w:space="0"/>
            </w:tcBorders>
            <w:vAlign w:val="center"/>
          </w:tcPr>
          <w:p>
            <w:pPr>
              <w:pStyle w:val="11"/>
            </w:pPr>
          </w:p>
        </w:tc>
        <w:tc>
          <w:tcPr>
            <w:tcW w:w="92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审计局本级上年末固定资产金额为</w:t>
      </w:r>
      <w:r>
        <w:rPr>
          <w:rFonts w:hint="eastAsia" w:eastAsia="方正仿宋_GBK" w:cs="Times New Roman"/>
          <w:b w:val="0"/>
          <w:color w:val="000000"/>
          <w:sz w:val="28"/>
          <w:lang w:val="en-US" w:eastAsia="zh-CN"/>
        </w:rPr>
        <w:t>90.04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172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319001审计局本级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rPr>
          <w:tblHeader/>
          <w:jc w:val="center"/>
        </w:trPr>
        <w:tc>
          <w:tcPr>
            <w:tcW w:w="7370" w:type="dxa"/>
            <w:tcBorders>
              <w:left w:val="single" w:color="000000" w:sz="6" w:space="0"/>
              <w:right w:val="single" w:color="000000" w:sz="6" w:space="0"/>
            </w:tcBorders>
            <w:vAlign w:val="center"/>
          </w:tcPr>
          <w:p>
            <w:pPr>
              <w:pStyle w:val="10"/>
            </w:pPr>
            <w:r>
              <w:t>项   目</w:t>
            </w:r>
          </w:p>
        </w:tc>
        <w:tc>
          <w:tcPr>
            <w:tcW w:w="4933" w:type="dxa"/>
            <w:tcBorders>
              <w:left w:val="single" w:color="000000" w:sz="6" w:space="0"/>
              <w:right w:val="single" w:color="000000" w:sz="6" w:space="0"/>
            </w:tcBorders>
            <w:vAlign w:val="center"/>
          </w:tcPr>
          <w:p>
            <w:pPr>
              <w:pStyle w:val="10"/>
            </w:pPr>
            <w:r>
              <w:t>数量</w:t>
            </w:r>
          </w:p>
        </w:tc>
        <w:tc>
          <w:tcPr>
            <w:tcW w:w="4933" w:type="dxa"/>
            <w:tcBorders>
              <w:left w:val="single" w:color="000000" w:sz="6" w:space="0"/>
              <w:right w:val="single" w:color="000000" w:sz="6" w:space="0"/>
            </w:tcBorders>
            <w:vAlign w:val="center"/>
          </w:tcPr>
          <w:p>
            <w:pPr>
              <w:pStyle w:val="10"/>
              <w:jc w:val="center"/>
            </w:pPr>
            <w:r>
              <w:t>价值（金额单位：万元）</w:t>
            </w:r>
          </w:p>
        </w:tc>
      </w:tr>
      <w:tr>
        <w:trPr>
          <w:jc w:val="center"/>
        </w:trPr>
        <w:tc>
          <w:tcPr>
            <w:tcW w:w="7370" w:type="dxa"/>
            <w:tcBorders>
              <w:left w:val="single" w:color="000000" w:sz="6" w:space="0"/>
              <w:right w:val="single" w:color="000000" w:sz="6" w:space="0"/>
            </w:tcBorders>
            <w:vAlign w:val="center"/>
          </w:tcPr>
          <w:p>
            <w:pPr>
              <w:pStyle w:val="12"/>
              <w:rPr>
                <w:rFonts w:hint="eastAsia" w:eastAsia="方正书宋_GBK"/>
                <w:lang w:val="en-US" w:eastAsia="zh-CN"/>
              </w:rPr>
            </w:pPr>
            <w:r>
              <w:rPr>
                <w:rFonts w:hint="eastAsia"/>
                <w:lang w:val="en-US" w:eastAsia="zh-CN"/>
              </w:rPr>
              <w:t>固定资产</w:t>
            </w:r>
          </w:p>
        </w:tc>
        <w:tc>
          <w:tcPr>
            <w:tcW w:w="4933" w:type="dxa"/>
            <w:tcBorders>
              <w:left w:val="single" w:color="000000" w:sz="6" w:space="0"/>
              <w:right w:val="single" w:color="000000" w:sz="6" w:space="0"/>
            </w:tcBorders>
            <w:vAlign w:val="center"/>
          </w:tcPr>
          <w:p>
            <w:pPr>
              <w:pStyle w:val="13"/>
              <w:rPr>
                <w:rFonts w:hint="eastAsia" w:eastAsia="方正书宋_GBK"/>
                <w:lang w:val="en-US" w:eastAsia="zh-CN"/>
              </w:rPr>
            </w:pPr>
            <w:r>
              <w:rPr>
                <w:rFonts w:hint="eastAsia"/>
                <w:lang w:val="en-US" w:eastAsia="zh-CN"/>
              </w:rPr>
              <w:t>176</w:t>
            </w:r>
          </w:p>
        </w:tc>
        <w:tc>
          <w:tcPr>
            <w:tcW w:w="4933" w:type="dxa"/>
            <w:tcBorders>
              <w:left w:val="single" w:color="000000" w:sz="6" w:space="0"/>
              <w:right w:val="single" w:color="000000" w:sz="6" w:space="0"/>
            </w:tcBorders>
            <w:vAlign w:val="center"/>
          </w:tcPr>
          <w:p>
            <w:pPr>
              <w:pStyle w:val="11"/>
              <w:jc w:val="center"/>
              <w:rPr>
                <w:rFonts w:hint="eastAsia" w:eastAsia="方正书宋_GBK"/>
                <w:lang w:val="en-US" w:eastAsia="zh-CN"/>
              </w:rPr>
            </w:pPr>
            <w:r>
              <w:rPr>
                <w:rFonts w:hint="eastAsia"/>
                <w:lang w:val="en-US" w:eastAsia="zh-CN"/>
              </w:rPr>
              <w:t>90.04</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haracterSpacingControl w:val="compressPunctuation"/>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1ZDJiZjU2YmFjNGU1NjdlMzRmMTY0YTBmNmZjYTEifQ=="/>
  </w:docVars>
  <w:rsids>
    <w:rsidRoot w:val="00000000"/>
    <w:rsid w:val="0C3B5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uiPriority w:val="0"/>
    <w:pPr>
      <w:ind w:left="480"/>
    </w:pPr>
  </w:style>
  <w:style w:type="paragraph" w:customStyle="1" w:styleId="31">
    <w:name w:val="TOC 4"/>
    <w:basedOn w:val="1"/>
    <w:uiPriority w:val="0"/>
    <w:pPr>
      <w:ind w:left="720"/>
    </w:pPr>
  </w:style>
  <w:style w:type="paragraph" w:customStyle="1" w:styleId="32">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33">
    <w:name w:val="p0"/>
    <w:basedOn w:val="1"/>
    <w:uiPriority w:val="0"/>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olor w:val="auto"/>
      <w:spacing w:val="0"/>
      <w:w w:val="100"/>
      <w:kern w:val="0"/>
      <w:position w:val="0"/>
      <w:sz w:val="21"/>
      <w:szCs w:val="21"/>
      <w:u w:val="none" w:color="auto"/>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26</Pages>
  <Words>6479</Words>
  <Characters>7944</Characters>
  <Lines>1642</Lines>
  <Paragraphs>991</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2023-02-03T01:13:00Z</dcterms:created>
  <dc:creator>Administrator</dc:creator>
  <cp:lastModifiedBy>欢</cp:lastModifiedBy>
  <dcterms:modified xsi:type="dcterms:W3CDTF">2024-03-22T09:21:00Z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CBDD29CAE3294D589FB7650F8A3EA948_12</vt:lpwstr>
  </property>
</Properties>
</file>