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_GBK"/>
          <w:bCs/>
          <w:sz w:val="32"/>
          <w:szCs w:val="32"/>
        </w:rPr>
      </w:pPr>
      <w:r>
        <w:rPr>
          <w:rFonts w:eastAsia="方正黑体_GBK"/>
          <w:bCs/>
          <w:sz w:val="32"/>
          <w:szCs w:val="32"/>
        </w:rPr>
        <w:t>附件1</w:t>
      </w:r>
    </w:p>
    <w:p>
      <w:pPr>
        <w:spacing w:line="580" w:lineRule="exact"/>
        <w:jc w:val="center"/>
        <w:rPr>
          <w:rFonts w:hint="eastAsia" w:ascii="方正小标宋_GBK" w:eastAsia="方正小标宋_GBK" w:cs="Arial"/>
          <w:sz w:val="36"/>
          <w:szCs w:val="36"/>
        </w:rPr>
      </w:pPr>
      <w:r>
        <w:rPr>
          <w:rFonts w:hint="eastAsia" w:ascii="方正小标宋_GBK" w:eastAsia="方正小标宋_GBK" w:cs="Arial"/>
          <w:sz w:val="36"/>
          <w:szCs w:val="36"/>
          <w:lang w:eastAsia="zh-CN"/>
        </w:rPr>
        <w:t>丰润区</w:t>
      </w:r>
      <w:r>
        <w:rPr>
          <w:rFonts w:hint="eastAsia" w:ascii="方正小标宋_GBK" w:eastAsia="方正小标宋_GBK" w:cs="Arial"/>
          <w:sz w:val="36"/>
          <w:szCs w:val="36"/>
        </w:rPr>
        <w:t>2021、2022年绿化占用耕地违法图斑整改费用</w:t>
      </w:r>
    </w:p>
    <w:p>
      <w:pPr>
        <w:spacing w:line="580" w:lineRule="exact"/>
        <w:jc w:val="center"/>
        <w:rPr>
          <w:rFonts w:ascii="方正小标宋_GBK" w:eastAsia="方正小标宋_GBK" w:cs="宋体"/>
          <w:sz w:val="36"/>
          <w:szCs w:val="36"/>
        </w:rPr>
      </w:pPr>
      <w:r>
        <w:rPr>
          <w:rFonts w:hint="eastAsia" w:ascii="方正小标宋_GBK" w:eastAsia="方正小标宋_GBK" w:cs="Arial"/>
          <w:sz w:val="36"/>
          <w:szCs w:val="36"/>
        </w:rPr>
        <w:t>202</w:t>
      </w:r>
      <w:r>
        <w:rPr>
          <w:rFonts w:hint="eastAsia" w:ascii="方正小标宋_GBK" w:eastAsia="方正小标宋_GBK" w:cs="Arial"/>
          <w:sz w:val="36"/>
          <w:szCs w:val="36"/>
          <w:lang w:val="en-US" w:eastAsia="zh-CN"/>
        </w:rPr>
        <w:t>3</w:t>
      </w:r>
      <w:r>
        <w:rPr>
          <w:rFonts w:hint="eastAsia" w:ascii="方正小标宋_GBK" w:eastAsia="方正小标宋_GBK" w:cs="宋体"/>
          <w:sz w:val="36"/>
          <w:szCs w:val="36"/>
        </w:rPr>
        <w:t>年度绩效自评报告</w:t>
      </w:r>
    </w:p>
    <w:p>
      <w:pPr>
        <w:spacing w:line="580" w:lineRule="exact"/>
        <w:ind w:firstLine="640" w:firstLineChars="200"/>
        <w:rPr>
          <w:rFonts w:hint="eastAsia"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一、绩效目标分解下达情况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eastAsia="方正仿宋_GBK"/>
          <w:sz w:val="32"/>
          <w:szCs w:val="32"/>
          <w:lang w:eastAsia="zh-CN"/>
        </w:rPr>
        <w:t>唐山市丰润区财政拨付丰润区农业农村局</w:t>
      </w:r>
      <w:r>
        <w:rPr>
          <w:rFonts w:hint="eastAsia" w:eastAsia="方正仿宋_GBK"/>
          <w:sz w:val="32"/>
          <w:szCs w:val="32"/>
        </w:rPr>
        <w:t>2021、2022年绿化占用耕地违法图斑整改费用</w:t>
      </w:r>
      <w:r>
        <w:rPr>
          <w:rFonts w:hint="eastAsia" w:eastAsia="方正仿宋_GBK"/>
          <w:sz w:val="32"/>
          <w:szCs w:val="32"/>
          <w:lang w:val="en-US" w:eastAsia="zh-CN"/>
        </w:rPr>
        <w:t>74.34735万元，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资金按照上级资金文件要求实行绩效管理，设置了相应绩效指标。</w:t>
      </w:r>
    </w:p>
    <w:p>
      <w:pPr>
        <w:spacing w:line="580" w:lineRule="exact"/>
        <w:ind w:firstLine="640" w:firstLineChars="200"/>
        <w:rPr>
          <w:rFonts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二、绩效目标完成情况分析</w:t>
      </w:r>
    </w:p>
    <w:p>
      <w:pPr>
        <w:spacing w:line="580" w:lineRule="exact"/>
        <w:ind w:firstLine="640" w:firstLineChars="200"/>
        <w:outlineLvl w:val="0"/>
        <w:rPr>
          <w:rFonts w:hint="eastAsia" w:ascii="方正楷体_GBK" w:eastAsia="方正楷体_GBK" w:cs="楷体_GB2312"/>
          <w:b/>
          <w:bCs/>
          <w:sz w:val="32"/>
          <w:szCs w:val="32"/>
        </w:rPr>
      </w:pPr>
      <w:r>
        <w:rPr>
          <w:rFonts w:hint="eastAsia" w:ascii="方正楷体_GBK" w:eastAsia="方正楷体_GBK" w:cs="楷体_GB2312"/>
          <w:b/>
          <w:bCs/>
          <w:sz w:val="32"/>
          <w:szCs w:val="32"/>
        </w:rPr>
        <w:t>（一）资金投入情况分析。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具体实施情况：</w:t>
      </w:r>
    </w:p>
    <w:p>
      <w:pPr>
        <w:spacing w:line="580" w:lineRule="exact"/>
        <w:ind w:firstLine="640" w:firstLineChars="200"/>
        <w:rPr>
          <w:rFonts w:hint="eastAsia" w:eastAsia="方正仿宋_GBK" w:cs="Times New Roman"/>
          <w:sz w:val="32"/>
          <w:szCs w:val="32"/>
          <w:lang w:eastAsia="zh-CN"/>
        </w:rPr>
      </w:pPr>
      <w:r>
        <w:rPr>
          <w:rFonts w:hint="eastAsia" w:eastAsia="方正仿宋_GBK" w:cs="Times New Roman"/>
          <w:sz w:val="32"/>
          <w:szCs w:val="32"/>
          <w:lang w:eastAsia="zh-CN"/>
        </w:rPr>
        <w:t>丰润区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2021、2022年绿化占用耕地违法图斑整改费用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74.34735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万元，，绿化占用耕地违法图斑</w:t>
      </w:r>
      <w:r>
        <w:rPr>
          <w:rFonts w:hint="eastAsia" w:eastAsia="方正仿宋_GBK" w:cs="Times New Roman"/>
          <w:sz w:val="32"/>
          <w:szCs w:val="32"/>
          <w:lang w:eastAsia="zh-CN"/>
        </w:rPr>
        <w:t>已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整改</w:t>
      </w:r>
      <w:r>
        <w:rPr>
          <w:rFonts w:hint="eastAsia" w:eastAsia="方正仿宋_GBK" w:cs="Times New Roman"/>
          <w:sz w:val="32"/>
          <w:szCs w:val="32"/>
          <w:lang w:eastAsia="zh-CN"/>
        </w:rPr>
        <w:t>到位，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资金</w:t>
      </w:r>
      <w:r>
        <w:rPr>
          <w:rFonts w:hint="eastAsia" w:eastAsia="方正仿宋_GBK" w:cs="Times New Roman"/>
          <w:sz w:val="32"/>
          <w:szCs w:val="32"/>
          <w:lang w:eastAsia="zh-CN"/>
        </w:rPr>
        <w:t>已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拨付</w:t>
      </w:r>
      <w:r>
        <w:rPr>
          <w:rFonts w:hint="eastAsia" w:eastAsia="方正仿宋_GBK" w:cs="Times New Roman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eastAsia="方正仿宋_GBK"/>
          <w:sz w:val="32"/>
          <w:szCs w:val="32"/>
          <w:lang w:eastAsia="zh-CN"/>
        </w:rPr>
        <w:t>丰润区</w:t>
      </w:r>
      <w:r>
        <w:rPr>
          <w:rFonts w:hint="eastAsia" w:eastAsia="方正仿宋_GBK"/>
          <w:sz w:val="32"/>
          <w:szCs w:val="32"/>
        </w:rPr>
        <w:t>2021、2022年绿化占用耕地违法图斑整改费用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严格按程序进行管理，采用项目专账会计核算办法、专款专用,按工程进度支付资金，资金的支付通过账户转账，没有挤占、挪用、串用、截留或造成资金损失等违纪违规问题，各类档案资料较规范、完整。我区财政、林业部门按职责分工积极参与项目实施监督。</w:t>
      </w:r>
    </w:p>
    <w:p>
      <w:pPr>
        <w:numPr>
          <w:ilvl w:val="0"/>
          <w:numId w:val="1"/>
        </w:numPr>
        <w:spacing w:line="580" w:lineRule="exact"/>
        <w:ind w:firstLine="640" w:firstLineChars="200"/>
        <w:outlineLvl w:val="0"/>
        <w:rPr>
          <w:rFonts w:hint="eastAsia" w:ascii="方正楷体_GBK" w:eastAsia="方正楷体_GBK" w:cs="楷体_GB2312"/>
          <w:b/>
          <w:bCs/>
          <w:sz w:val="32"/>
          <w:szCs w:val="32"/>
        </w:rPr>
      </w:pPr>
      <w:r>
        <w:rPr>
          <w:rFonts w:hint="eastAsia" w:ascii="方正楷体_GBK" w:eastAsia="方正楷体_GBK" w:cs="楷体_GB2312"/>
          <w:b/>
          <w:bCs/>
          <w:sz w:val="32"/>
          <w:szCs w:val="32"/>
        </w:rPr>
        <w:t>总体绩效目标完成情况分析。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eastAsia="方正仿宋_GBK"/>
          <w:sz w:val="32"/>
          <w:szCs w:val="32"/>
          <w:lang w:eastAsia="zh-CN"/>
        </w:rPr>
        <w:t>丰润区</w:t>
      </w:r>
      <w:r>
        <w:rPr>
          <w:rFonts w:hint="eastAsia" w:eastAsia="方正仿宋_GBK"/>
          <w:sz w:val="32"/>
          <w:szCs w:val="32"/>
        </w:rPr>
        <w:t>2021、2022年绿化占用耕地违法图斑整改费用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总体绩效目标设定情况具体如下：用于我区</w:t>
      </w:r>
      <w:r>
        <w:rPr>
          <w:rFonts w:hint="eastAsia" w:eastAsia="方正仿宋_GBK"/>
          <w:sz w:val="32"/>
          <w:szCs w:val="32"/>
        </w:rPr>
        <w:t>2021、2022年绿化占用耕地违法图斑整改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eastAsia="方正仿宋_GBK" w:cs="Times New Roman"/>
          <w:sz w:val="32"/>
          <w:szCs w:val="32"/>
          <w:lang w:eastAsia="zh-CN"/>
        </w:rPr>
        <w:t>整改面积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1486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亩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，有利于农村社会稳定</w:t>
      </w:r>
      <w:r>
        <w:rPr>
          <w:rFonts w:hint="eastAsia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提高粮食作物产量。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eastAsia="方正仿宋_GBK" w:cs="Times New Roman"/>
          <w:sz w:val="32"/>
          <w:szCs w:val="32"/>
          <w:lang w:eastAsia="zh-CN"/>
        </w:rPr>
        <w:t>整改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实际完成情况：我局</w:t>
      </w:r>
      <w:r>
        <w:rPr>
          <w:rFonts w:hint="eastAsia" w:eastAsia="方正仿宋_GBK" w:cs="Times New Roman"/>
          <w:sz w:val="32"/>
          <w:szCs w:val="32"/>
          <w:lang w:eastAsia="zh-CN"/>
        </w:rPr>
        <w:t>严格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按照</w:t>
      </w:r>
      <w:r>
        <w:rPr>
          <w:rFonts w:hint="eastAsia" w:eastAsia="方正仿宋_GBK" w:cs="Times New Roman"/>
          <w:sz w:val="32"/>
          <w:szCs w:val="32"/>
          <w:lang w:eastAsia="zh-CN"/>
        </w:rPr>
        <w:t>上级要求，督导乡镇完成了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我区</w:t>
      </w:r>
      <w:r>
        <w:rPr>
          <w:rFonts w:hint="eastAsia" w:eastAsia="方正仿宋_GBK"/>
          <w:sz w:val="32"/>
          <w:szCs w:val="32"/>
        </w:rPr>
        <w:t>2021、2022年绿化占用耕地违法图斑整改</w:t>
      </w:r>
      <w:r>
        <w:rPr>
          <w:rFonts w:hint="eastAsia" w:eastAsia="方正仿宋_GBK"/>
          <w:sz w:val="32"/>
          <w:szCs w:val="32"/>
          <w:lang w:eastAsia="zh-CN"/>
        </w:rPr>
        <w:t>任务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outlineLvl w:val="0"/>
        <w:rPr>
          <w:rFonts w:hint="eastAsia" w:ascii="方正楷体_GBK" w:eastAsia="方正楷体_GBK" w:cs="楷体_GB2312"/>
          <w:b/>
          <w:bCs/>
          <w:sz w:val="32"/>
          <w:szCs w:val="32"/>
        </w:rPr>
      </w:pPr>
      <w:r>
        <w:rPr>
          <w:rFonts w:hint="eastAsia" w:ascii="方正楷体_GBK" w:eastAsia="方正楷体_GBK" w:cs="楷体_GB2312"/>
          <w:b/>
          <w:bCs/>
          <w:sz w:val="32"/>
          <w:szCs w:val="32"/>
        </w:rPr>
        <w:t>（三）绩效指标完成情况分析。</w:t>
      </w:r>
    </w:p>
    <w:p>
      <w:pPr>
        <w:spacing w:line="580" w:lineRule="exact"/>
        <w:ind w:firstLine="640" w:firstLineChars="200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eastAsia="zh-CN"/>
        </w:rPr>
        <w:t>丰润区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</w:rPr>
        <w:t>2021、2022年绿化占用耕地违法图斑整改费用，各项三级绩效指标值及全年实际完成情况：</w:t>
      </w:r>
      <w:r>
        <w:rPr>
          <w:rFonts w:hint="eastAsia" w:eastAsia="方正仿宋_GBK" w:cs="Times New Roman"/>
          <w:sz w:val="32"/>
          <w:szCs w:val="32"/>
          <w:lang w:eastAsia="zh-CN"/>
        </w:rPr>
        <w:t>整改面积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1486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亩，复耕率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达到100%；2023年12月底前已完成整改任务；每亩补偿金额500元，有利于农村社会稳定；提高粮食作物产量；受益农户满意度达到95%以上。</w:t>
      </w:r>
    </w:p>
    <w:p>
      <w:pPr>
        <w:spacing w:line="580" w:lineRule="exact"/>
        <w:ind w:firstLine="640" w:firstLineChars="200"/>
        <w:rPr>
          <w:rFonts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三、偏离绩效目标的原因和下一步改进措施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eastAsia="方正仿宋_GBK" w:cs="Times New Roman"/>
          <w:sz w:val="32"/>
          <w:szCs w:val="32"/>
          <w:lang w:eastAsia="zh-CN"/>
        </w:rPr>
        <w:t>丰润区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2021、2022年绿化占用耕地违法图斑</w:t>
      </w:r>
      <w:r>
        <w:rPr>
          <w:rFonts w:hint="eastAsia" w:eastAsia="方正仿宋_GBK" w:cs="Times New Roman"/>
          <w:sz w:val="32"/>
          <w:szCs w:val="32"/>
          <w:lang w:eastAsia="zh-CN"/>
        </w:rPr>
        <w:t>已全部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整改</w:t>
      </w:r>
      <w:r>
        <w:rPr>
          <w:rFonts w:hint="eastAsia" w:eastAsia="方正仿宋_GBK" w:cs="Times New Roman"/>
          <w:sz w:val="32"/>
          <w:szCs w:val="32"/>
          <w:lang w:eastAsia="zh-CN"/>
        </w:rPr>
        <w:t>到位，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资金</w:t>
      </w:r>
      <w:r>
        <w:rPr>
          <w:rFonts w:hint="eastAsia" w:eastAsia="方正仿宋_GBK" w:cs="Times New Roman"/>
          <w:sz w:val="32"/>
          <w:szCs w:val="32"/>
          <w:lang w:eastAsia="zh-CN"/>
        </w:rPr>
        <w:t>已拨付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绩效自评结果拟应用和公开情况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绩效自评结果按要求将在政府网站上进行公开。</w:t>
      </w:r>
    </w:p>
    <w:p>
      <w:pPr>
        <w:spacing w:line="580" w:lineRule="exact"/>
        <w:ind w:firstLine="640" w:firstLineChars="200"/>
        <w:rPr>
          <w:rFonts w:ascii="方正黑体_GBK" w:eastAsia="方正黑体_GBK" w:cs="黑体"/>
          <w:bCs/>
          <w:sz w:val="32"/>
          <w:szCs w:val="32"/>
        </w:rPr>
      </w:pPr>
      <w:r>
        <w:rPr>
          <w:rFonts w:hint="eastAsia" w:ascii="方正黑体_GBK" w:eastAsia="方正黑体_GBK" w:cs="黑体"/>
          <w:bCs/>
          <w:sz w:val="32"/>
          <w:szCs w:val="32"/>
        </w:rPr>
        <w:t>五、其他需要说明的问题</w:t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hint="eastAsia" w:eastAsia="方正仿宋_GBK"/>
          <w:sz w:val="32"/>
          <w:szCs w:val="32"/>
          <w:lang w:eastAsia="zh-CN"/>
        </w:rPr>
      </w:pPr>
      <w:r>
        <w:rPr>
          <w:rFonts w:hint="eastAsia" w:eastAsia="方正仿宋_GBK"/>
          <w:sz w:val="32"/>
          <w:szCs w:val="32"/>
          <w:lang w:eastAsia="zh-CN"/>
        </w:rPr>
        <w:t>无</w:t>
      </w:r>
    </w:p>
    <w:p>
      <w:pPr>
        <w:tabs>
          <w:tab w:val="left" w:pos="7080"/>
        </w:tabs>
        <w:spacing w:line="580" w:lineRule="exact"/>
        <w:ind w:firstLine="640" w:firstLineChars="200"/>
        <w:outlineLvl w:val="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附：转移支付区域（项目）绩效目标自评表</w:t>
      </w:r>
    </w:p>
    <w:sectPr>
      <w:footerReference r:id="rId3" w:type="default"/>
      <w:pgSz w:w="11906" w:h="16838"/>
      <w:pgMar w:top="2098" w:right="1418" w:bottom="187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16FFFD"/>
    <w:multiLevelType w:val="singleLevel"/>
    <w:tmpl w:val="CF16FFF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7FFCD67"/>
    <w:multiLevelType w:val="singleLevel"/>
    <w:tmpl w:val="77FFCD6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50"/>
  <w:drawingGridVerticalSpacing w:val="581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Q0OTI3MzlhNTFjZjQ3YTdjZjYzZGQ4NzMwMDBiYzQifQ=="/>
  </w:docVars>
  <w:rsids>
    <w:rsidRoot w:val="00000000"/>
    <w:rsid w:val="0EB130ED"/>
    <w:rsid w:val="141C2861"/>
    <w:rsid w:val="176D5996"/>
    <w:rsid w:val="18A63700"/>
    <w:rsid w:val="19CE0C94"/>
    <w:rsid w:val="1D896AF1"/>
    <w:rsid w:val="1FE13F7B"/>
    <w:rsid w:val="21B81D0F"/>
    <w:rsid w:val="3177240D"/>
    <w:rsid w:val="3269585C"/>
    <w:rsid w:val="339A6510"/>
    <w:rsid w:val="33A31D51"/>
    <w:rsid w:val="3F073ADC"/>
    <w:rsid w:val="4714652B"/>
    <w:rsid w:val="495F0BFF"/>
    <w:rsid w:val="4F624D5E"/>
    <w:rsid w:val="4FC77446"/>
    <w:rsid w:val="52AD4542"/>
    <w:rsid w:val="55E464CD"/>
    <w:rsid w:val="59E20F76"/>
    <w:rsid w:val="5CE80DCC"/>
    <w:rsid w:val="5E920D44"/>
    <w:rsid w:val="62562501"/>
    <w:rsid w:val="63870498"/>
    <w:rsid w:val="67283D40"/>
    <w:rsid w:val="69AB0D66"/>
    <w:rsid w:val="6BDA7CFF"/>
    <w:rsid w:val="6CD31E9D"/>
    <w:rsid w:val="6DFB3F5C"/>
    <w:rsid w:val="71555EA4"/>
    <w:rsid w:val="72880563"/>
    <w:rsid w:val="735D3E72"/>
    <w:rsid w:val="7FCE77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宋体" w:hAnsi="宋体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autoRedefine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2</Pages>
  <Words>756</Words>
  <Characters>800</Characters>
  <Lines>22</Lines>
  <Paragraphs>16</Paragraphs>
  <TotalTime>15</TotalTime>
  <ScaleCrop>false</ScaleCrop>
  <LinksUpToDate>false</LinksUpToDate>
  <CharactersWithSpaces>800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2019-02-12T06:26:00Z</dcterms:created>
  <dc:creator>lhn</dc:creator>
  <cp:lastModifiedBy>王多多多多</cp:lastModifiedBy>
  <cp:lastPrinted>2023-02-17T08:35:00Z</cp:lastPrinted>
  <dcterms:modified xsi:type="dcterms:W3CDTF">2024-02-01T05:13:16Z</dcterms:modified>
  <dc:title>财政支出绩效评价报告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6473D9BFFE9541C3A4F6C7B6EC2C9EA0</vt:lpwstr>
  </property>
</Properties>
</file>