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1-1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2023年家庭农场示范补助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  <w:t>自评工作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default" w:ascii="仿宋" w:eastAsia="仿宋" w:cs="仿宋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2023年市级农业生产发展资金（新型农业经营主体培育补助-家庭农场示范补助）安排我区项目资金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万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支持家庭农场。通过实施灌溉设备提升改造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秋月梨棚架种植技术示范推广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，支持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规模种植主体创新组织方式、集成种植模式，强化示范带动引领。项目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资金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主要用于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主要用于购买</w:t>
      </w:r>
      <w:r>
        <w:rPr>
          <w:rFonts w:hint="eastAsia" w:ascii="宋体" w:hAnsi="宋体" w:eastAsia="方正仿宋简体"/>
          <w:kern w:val="0"/>
          <w:sz w:val="32"/>
          <w:lang w:eastAsia="zh-CN"/>
        </w:rPr>
        <w:t>水泵、地下通水管、秋月梨苗、制作钢管棚架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</w:rPr>
        <w:t>。此项目实行专款专账制度、建立培训档案、监管档案，并把监管制度贯穿于项目实施的全过程。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仿宋" w:eastAsia="仿宋" w:cs="仿宋"/>
          <w:sz w:val="32"/>
          <w:szCs w:val="32"/>
          <w:shd w:val="clear" w:color="auto" w:fill="FFFFFF"/>
          <w:lang w:val="en-US" w:eastAsia="zh-CN" w:bidi="ar-SA"/>
        </w:rPr>
        <w:t>通过项目的实施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灌溉设备提升改造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秋月梨棚架种植技术示范推广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val="en-US" w:eastAsia="zh-CN" w:bidi="ar-SA"/>
        </w:rPr>
        <w:t>促进粮食稳产增产、秋月梨棚架技术推广。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eastAsia="仿宋" w:cs="仿宋"/>
          <w:lang w:val="en-US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</w:t>
      </w:r>
      <w:r>
        <w:rPr>
          <w:rFonts w:hint="eastAsia" w:ascii="仿宋" w:eastAsia="仿宋" w:cs="仿宋"/>
          <w:bCs/>
          <w:sz w:val="32"/>
          <w:szCs w:val="32"/>
          <w:lang w:val="en-US" w:eastAsia="zh-CN" w:bidi="ar-SA"/>
        </w:rPr>
        <w:t>绩效目标设定明确，定位准确，主要目的是通过实施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灌溉设备提升改造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秋月梨棚架种植技术示范推广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val="en-US" w:eastAsia="zh-CN" w:bidi="ar-SA"/>
        </w:rPr>
        <w:t>促进粮食稳产增产、秋月梨棚架技术推广。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（二）绩效评价原则、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bidi="ar-SA"/>
        </w:rPr>
        <w:t>主要评估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eastAsia="zh-CN" w:bidi="ar-SA"/>
        </w:rPr>
        <w:t>区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bidi="ar-SA"/>
        </w:rPr>
        <w:t xml:space="preserve">级财力能否给予充分支持，实施期内区财力能否承受，预期产出及效果是否具有可持续性。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（三）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通过项目实施</w:t>
      </w: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en-US" w:bidi="ar-SA"/>
        </w:rPr>
        <w:t>推广</w:t>
      </w:r>
      <w:r>
        <w:rPr>
          <w:rFonts w:hint="eastAsia" w:ascii="仿宋" w:eastAsia="仿宋" w:cs="仿宋"/>
          <w:color w:val="000000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灌溉设备提升改造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秋月梨棚架种植技术示范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为</w:t>
      </w: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en-US" w:bidi="ar-SA"/>
        </w:rPr>
        <w:t>代表的先进农业生产技术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shd w:val="clear" w:color="auto" w:fill="FFFFFF"/>
          <w:lang w:val="en-US" w:eastAsia="zh-CN" w:bidi="ar-SA"/>
        </w:rPr>
        <w:t>促进粮食稳产增产、秋月梨棚架技术推广。</w:t>
      </w: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  <w:t>通过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改造提升灌溉设备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和推广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，粮食产量和秋月梨棚架技术推广示范</w:t>
      </w: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  <w:t>达到预期水平，对周边农户起到典型带动作用。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firstLine="640" w:firstLineChars="200"/>
        <w:textAlignment w:val="auto"/>
        <w:rPr>
          <w:rStyle w:val="10"/>
          <w:rFonts w:hint="eastAsia" w:ascii="仿宋" w:eastAsia="仿宋" w:cs="仿宋"/>
          <w:sz w:val="32"/>
          <w:szCs w:val="32"/>
          <w:lang w:bidi="ar-SA"/>
        </w:rPr>
      </w:pPr>
      <w:r>
        <w:rPr>
          <w:rStyle w:val="10"/>
          <w:rFonts w:hint="eastAsia" w:ascii="仿宋" w:eastAsia="仿宋" w:cs="仿宋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绩效自评开展情况：优秀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default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  <w:t>通过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改造提升灌溉设备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和推广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秋月梨棚架种植技术</w:t>
      </w:r>
      <w:r>
        <w:rPr>
          <w:rFonts w:hint="eastAsia" w:eastAsia="方正仿宋简体" w:cs="Times New Roman"/>
          <w:color w:val="000000"/>
          <w:sz w:val="32"/>
          <w:szCs w:val="32"/>
          <w:lang w:val="en-US" w:eastAsia="zh-CN"/>
        </w:rPr>
        <w:t>，粮食产量和秋月梨棚架技术推广示范</w:t>
      </w:r>
      <w:r>
        <w:rPr>
          <w:rFonts w:hint="eastAsia" w:ascii="仿宋" w:hAnsi="Times New Roman" w:eastAsia="仿宋" w:cs="仿宋"/>
          <w:color w:val="000000"/>
          <w:kern w:val="2"/>
          <w:sz w:val="32"/>
          <w:szCs w:val="32"/>
          <w:lang w:val="en-US" w:eastAsia="zh-CN" w:bidi="ar-SA"/>
        </w:rPr>
        <w:t>达到预期水平，对周边农户起到典型带动作用。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720" w:num="1"/>
      <w:titlePg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仿宋" w:eastAsia="仿宋"/>
        <w:sz w:val="32"/>
        <w:szCs w:val="32"/>
      </w:rPr>
    </w:pPr>
    <w:r>
      <w:rPr>
        <w:rFonts w:hint="eastAsia" w:ascii="仿宋" w:eastAsia="仿宋"/>
        <w:sz w:val="32"/>
        <w:szCs w:val="32"/>
      </w:rPr>
      <w:fldChar w:fldCharType="begin"/>
    </w:r>
    <w:r>
      <w:rPr>
        <w:rFonts w:hint="eastAsia" w:ascii="仿宋" w:eastAsia="仿宋"/>
        <w:sz w:val="32"/>
        <w:szCs w:val="32"/>
      </w:rPr>
      <w:instrText xml:space="preserve"> PAGE   \* MERGEFORMAT </w:instrText>
    </w:r>
    <w:r>
      <w:rPr>
        <w:rFonts w:hint="eastAsia" w:ascii="仿宋" w:eastAsia="仿宋"/>
        <w:sz w:val="32"/>
        <w:szCs w:val="32"/>
      </w:rPr>
      <w:fldChar w:fldCharType="separate"/>
    </w:r>
    <w:r>
      <w:rPr>
        <w:rFonts w:hint="eastAsia" w:ascii="仿宋" w:eastAsia="仿宋"/>
        <w:sz w:val="32"/>
        <w:szCs w:val="32"/>
        <w:lang w:val="zh-CN"/>
      </w:rPr>
      <w:t>2</w:t>
    </w:r>
    <w:r>
      <w:rPr>
        <w:rFonts w:hint="eastAsia" w:ascii="仿宋" w:eastAsia="仿宋"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5178F"/>
    <w:multiLevelType w:val="singleLevel"/>
    <w:tmpl w:val="1985178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5739A23"/>
    <w:multiLevelType w:val="singleLevel"/>
    <w:tmpl w:val="45739A2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Yjc2ZDIxZGNkODNiYzQ5ZTc5YmI0N2RjNjkwYzEifQ=="/>
  </w:docVars>
  <w:rsids>
    <w:rsidRoot w:val="5A665E03"/>
    <w:rsid w:val="5A66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widowControl w:val="0"/>
      <w:autoSpaceDE w:val="0"/>
      <w:autoSpaceDN w:val="0"/>
      <w:adjustRightInd w:val="0"/>
      <w:snapToGrid/>
      <w:spacing w:line="240" w:lineRule="auto"/>
      <w:ind w:firstLine="0" w:firstLineChars="0"/>
      <w:jc w:val="left"/>
      <w:textAlignment w:val="auto"/>
    </w:pPr>
    <w:rPr>
      <w:rFonts w:ascii="仿宋_GB2312" w:hAnsi="等线" w:eastAsia="仿宋_GB2312" w:cs="宋体"/>
      <w:color w:val="000000"/>
      <w:kern w:val="0"/>
      <w:sz w:val="24"/>
      <w:szCs w:val="24"/>
    </w:r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spacing w:line="520" w:lineRule="exact"/>
      <w:ind w:firstLine="630"/>
    </w:pPr>
    <w:rPr>
      <w:rFonts w:eastAsia="仿宋_GB2312"/>
      <w:sz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"/>
    <w:basedOn w:val="3"/>
    <w:next w:val="7"/>
    <w:uiPriority w:val="0"/>
    <w:pPr>
      <w:widowControl w:val="0"/>
      <w:spacing w:after="120" w:afterAutospacing="0"/>
      <w:ind w:firstLine="100" w:firstLineChars="1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Body Text First Indent 2"/>
    <w:basedOn w:val="4"/>
    <w:uiPriority w:val="0"/>
    <w:pPr>
      <w:ind w:firstLine="420"/>
    </w:pPr>
  </w:style>
  <w:style w:type="character" w:customStyle="1" w:styleId="10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2024-03-01T02:30:00Z</dcterms:created>
  <dc:creator>Administrator</dc:creator>
  <cp:lastModifiedBy>Administrator</cp:lastModifiedBy>
  <dcterms:modified xsi:type="dcterms:W3CDTF">2024-03-01T02:56:46Z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A532C5B05D0E41E191C856542FCAC013_11</vt:lpwstr>
  </property>
</Properties>
</file>