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方正黑体_GBK"/>
          <w:bCs/>
          <w:sz w:val="32"/>
          <w:szCs w:val="32"/>
        </w:rPr>
      </w:pPr>
      <w:r>
        <w:rPr>
          <w:rFonts w:eastAsia="方正黑体_GBK"/>
          <w:bCs/>
          <w:sz w:val="32"/>
          <w:szCs w:val="32"/>
        </w:rPr>
        <w:t>附件1</w:t>
      </w:r>
    </w:p>
    <w:p>
      <w:pPr>
        <w:spacing w:line="580" w:lineRule="exact"/>
        <w:jc w:val="center"/>
        <w:rPr>
          <w:rFonts w:ascii="方正小标宋_GBK" w:eastAsia="方正小标宋_GBK" w:cs="宋体"/>
          <w:sz w:val="36"/>
          <w:szCs w:val="36"/>
        </w:rPr>
      </w:pPr>
      <w:r>
        <w:rPr>
          <w:rFonts w:ascii="方正小标宋_GBK" w:eastAsia="方正小标宋_GBK" w:cs="Arial"/>
          <w:sz w:val="36"/>
          <w:szCs w:val="36"/>
        </w:rPr>
        <w:t>河北</w:t>
      </w:r>
      <w:r>
        <w:rPr>
          <w:rFonts w:hint="eastAsia" w:ascii="方正小标宋_GBK" w:eastAsia="方正小标宋_GBK" w:cs="Arial"/>
          <w:sz w:val="36"/>
          <w:szCs w:val="36"/>
        </w:rPr>
        <w:t>省</w:t>
      </w:r>
      <w:r>
        <w:rPr>
          <w:rFonts w:ascii="方正小标宋_GBK" w:eastAsia="方正小标宋_GBK" w:cs="Arial"/>
          <w:sz w:val="36"/>
          <w:szCs w:val="36"/>
        </w:rPr>
        <w:t>中央财政林业草原</w:t>
      </w:r>
      <w:r>
        <w:rPr>
          <w:rFonts w:hint="eastAsia" w:ascii="方正小标宋_GBK" w:eastAsia="方正小标宋_GBK" w:cs="宋体"/>
          <w:sz w:val="36"/>
          <w:szCs w:val="36"/>
        </w:rPr>
        <w:t>转移支付</w:t>
      </w:r>
    </w:p>
    <w:p>
      <w:pPr>
        <w:spacing w:line="580" w:lineRule="exact"/>
        <w:jc w:val="center"/>
        <w:rPr>
          <w:rFonts w:ascii="方正小标宋_GBK" w:eastAsia="方正小标宋_GBK" w:cs="宋体"/>
          <w:sz w:val="36"/>
          <w:szCs w:val="36"/>
        </w:rPr>
      </w:pPr>
      <w:r>
        <w:rPr>
          <w:rFonts w:hint="eastAsia" w:ascii="方正小标宋_GBK" w:eastAsia="方正小标宋_GBK" w:cs="Arial"/>
          <w:sz w:val="36"/>
          <w:szCs w:val="36"/>
        </w:rPr>
        <w:t>202</w:t>
      </w:r>
      <w:r>
        <w:rPr>
          <w:rFonts w:hint="eastAsia" w:ascii="方正小标宋_GBK" w:eastAsia="方正小标宋_GBK" w:cs="Arial"/>
          <w:sz w:val="36"/>
          <w:szCs w:val="36"/>
          <w:lang w:val="en-US" w:eastAsia="zh-CN"/>
        </w:rPr>
        <w:t>3</w:t>
      </w:r>
      <w:r>
        <w:rPr>
          <w:rFonts w:hint="eastAsia" w:ascii="方正小标宋_GBK" w:eastAsia="方正小标宋_GBK" w:cs="宋体"/>
          <w:sz w:val="36"/>
          <w:szCs w:val="36"/>
        </w:rPr>
        <w:t>年度绩效自评报告</w:t>
      </w:r>
    </w:p>
    <w:p>
      <w:pPr>
        <w:spacing w:line="580" w:lineRule="exact"/>
        <w:ind w:firstLine="640" w:firstLineChars="200"/>
        <w:rPr>
          <w:rFonts w:hint="eastAsia" w:ascii="方正黑体_GBK" w:eastAsia="方正黑体_GBK" w:cs="黑体"/>
          <w:bCs/>
          <w:sz w:val="32"/>
          <w:szCs w:val="32"/>
        </w:rPr>
      </w:pPr>
      <w:r>
        <w:rPr>
          <w:rFonts w:hint="eastAsia" w:ascii="方正黑体_GBK" w:eastAsia="方正黑体_GBK" w:cs="黑体"/>
          <w:bCs/>
          <w:sz w:val="32"/>
          <w:szCs w:val="32"/>
        </w:rPr>
        <w:t>一、绩效目标分解下达情况</w:t>
      </w:r>
    </w:p>
    <w:p>
      <w:pPr>
        <w:spacing w:line="580" w:lineRule="exact"/>
        <w:ind w:firstLine="640" w:firstLineChars="200"/>
        <w:rPr>
          <w:rFonts w:hint="eastAsia" w:ascii="Times New Roman" w:hAnsi="Times New Roman" w:eastAsia="方正仿宋_GBK" w:cs="Times New Roman"/>
          <w:sz w:val="32"/>
          <w:szCs w:val="32"/>
        </w:rPr>
      </w:pPr>
      <w:r>
        <w:rPr>
          <w:rFonts w:eastAsia="方正仿宋_GBK"/>
          <w:sz w:val="32"/>
          <w:szCs w:val="32"/>
        </w:rPr>
        <w:t>中央下达本</w:t>
      </w:r>
      <w:r>
        <w:rPr>
          <w:rFonts w:hint="eastAsia" w:eastAsia="方正仿宋_GBK"/>
          <w:sz w:val="32"/>
          <w:szCs w:val="32"/>
          <w:lang w:eastAsia="zh-CN"/>
        </w:rPr>
        <w:t>区</w:t>
      </w:r>
      <w:r>
        <w:rPr>
          <w:rFonts w:hint="eastAsia" w:eastAsia="方正仿宋_GBK"/>
          <w:sz w:val="32"/>
          <w:szCs w:val="32"/>
        </w:rPr>
        <w:t>2022年中央财政提前下达林业改革发展资金</w:t>
      </w:r>
      <w:r>
        <w:rPr>
          <w:rFonts w:hint="eastAsia" w:eastAsia="方正仿宋_GBK"/>
          <w:sz w:val="32"/>
          <w:szCs w:val="32"/>
          <w:lang w:eastAsia="zh-CN"/>
        </w:rPr>
        <w:t>（</w:t>
      </w:r>
      <w:r>
        <w:rPr>
          <w:rFonts w:hint="eastAsia" w:eastAsia="方正仿宋_GBK"/>
          <w:sz w:val="32"/>
          <w:szCs w:val="32"/>
        </w:rPr>
        <w:t>冀财资环〔2021〕106号</w:t>
      </w:r>
      <w:r>
        <w:rPr>
          <w:rFonts w:hint="eastAsia" w:eastAsia="方正仿宋_GBK"/>
          <w:sz w:val="32"/>
          <w:szCs w:val="32"/>
          <w:lang w:eastAsia="zh-CN"/>
        </w:rPr>
        <w:t>）</w:t>
      </w:r>
      <w:r>
        <w:rPr>
          <w:rFonts w:hint="eastAsia" w:eastAsia="方正仿宋_GBK"/>
          <w:sz w:val="32"/>
          <w:szCs w:val="32"/>
          <w:lang w:val="en-US" w:eastAsia="zh-CN"/>
        </w:rPr>
        <w:t>350万元，</w:t>
      </w:r>
      <w:r>
        <w:rPr>
          <w:rFonts w:hint="eastAsia" w:ascii="Times New Roman" w:hAnsi="Times New Roman" w:eastAsia="方正仿宋_GBK" w:cs="Times New Roman"/>
          <w:sz w:val="32"/>
          <w:szCs w:val="32"/>
        </w:rPr>
        <w:t>各项资金都按照上级资金文件要求实行绩效管理，设置了相应绩效指标。</w:t>
      </w:r>
    </w:p>
    <w:p>
      <w:pPr>
        <w:spacing w:line="580" w:lineRule="exact"/>
        <w:ind w:firstLine="640" w:firstLineChars="200"/>
        <w:rPr>
          <w:rFonts w:ascii="方正黑体_GBK" w:eastAsia="方正黑体_GBK" w:cs="黑体"/>
          <w:bCs/>
          <w:sz w:val="32"/>
          <w:szCs w:val="32"/>
        </w:rPr>
      </w:pPr>
      <w:r>
        <w:rPr>
          <w:rFonts w:hint="eastAsia" w:ascii="方正黑体_GBK" w:eastAsia="方正黑体_GBK" w:cs="黑体"/>
          <w:bCs/>
          <w:sz w:val="32"/>
          <w:szCs w:val="32"/>
        </w:rPr>
        <w:t>二、绩效目标完成情况分析</w:t>
      </w:r>
    </w:p>
    <w:p>
      <w:pPr>
        <w:spacing w:line="580" w:lineRule="exact"/>
        <w:ind w:firstLine="640" w:firstLineChars="200"/>
        <w:outlineLvl w:val="0"/>
        <w:rPr>
          <w:rFonts w:hint="eastAsia" w:ascii="方正楷体_GBK" w:eastAsia="方正楷体_GBK" w:cs="楷体_GB2312"/>
          <w:b/>
          <w:bCs/>
          <w:sz w:val="32"/>
          <w:szCs w:val="32"/>
        </w:rPr>
      </w:pPr>
      <w:r>
        <w:rPr>
          <w:rFonts w:hint="eastAsia" w:ascii="方正楷体_GBK" w:eastAsia="方正楷体_GBK" w:cs="楷体_GB2312"/>
          <w:b/>
          <w:bCs/>
          <w:sz w:val="32"/>
          <w:szCs w:val="32"/>
        </w:rPr>
        <w:t>（一）资金投入情况分析。</w:t>
      </w:r>
    </w:p>
    <w:p>
      <w:pPr>
        <w:spacing w:line="58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项目具体实施情况：</w:t>
      </w:r>
    </w:p>
    <w:p>
      <w:pPr>
        <w:spacing w:line="580" w:lineRule="exact"/>
        <w:ind w:firstLine="640" w:firstLineChars="200"/>
        <w:rPr>
          <w:rFonts w:hint="eastAsia" w:ascii="Times New Roman" w:hAnsi="Times New Roman" w:eastAsia="方正仿宋_GBK" w:cs="Times New Roman"/>
          <w:color w:val="000000" w:themeColor="text1"/>
          <w:sz w:val="32"/>
          <w:szCs w:val="32"/>
          <w14:textFill>
            <w14:solidFill>
              <w14:schemeClr w14:val="tx1"/>
            </w14:solidFill>
          </w14:textFill>
        </w:rPr>
      </w:pPr>
      <w:r>
        <w:rPr>
          <w:rFonts w:hint="eastAsia" w:ascii="Times New Roman" w:hAnsi="Times New Roman" w:eastAsia="方正仿宋_GBK" w:cs="Times New Roman"/>
          <w:sz w:val="32"/>
          <w:szCs w:val="32"/>
        </w:rPr>
        <w:t>2022年中央财政提前下达林业改革发展资金</w:t>
      </w:r>
      <w:r>
        <w:rPr>
          <w:rFonts w:hint="eastAsia" w:ascii="Times New Roman" w:hAnsi="Times New Roman" w:eastAsia="方正仿宋_GBK" w:cs="Times New Roman"/>
          <w:sz w:val="32"/>
          <w:szCs w:val="32"/>
          <w:lang w:val="en-US" w:eastAsia="zh-CN"/>
        </w:rPr>
        <w:t>350</w:t>
      </w:r>
      <w:r>
        <w:rPr>
          <w:rFonts w:hint="eastAsia" w:ascii="Times New Roman" w:hAnsi="Times New Roman" w:eastAsia="方正仿宋_GBK" w:cs="Times New Roman"/>
          <w:sz w:val="32"/>
          <w:szCs w:val="32"/>
        </w:rPr>
        <w:t>万元，项目已经实施，资金未拨付，</w:t>
      </w:r>
      <w:r>
        <w:rPr>
          <w:rFonts w:hint="eastAsia" w:ascii="Times New Roman" w:hAnsi="Times New Roman" w:eastAsia="方正仿宋_GBK" w:cs="Times New Roman"/>
          <w:color w:val="000000" w:themeColor="text1"/>
          <w:sz w:val="32"/>
          <w:szCs w:val="32"/>
          <w14:textFill>
            <w14:solidFill>
              <w14:schemeClr w14:val="tx1"/>
            </w14:solidFill>
          </w14:textFill>
        </w:rPr>
        <w:t>计划202</w:t>
      </w:r>
      <w:r>
        <w:rPr>
          <w:rFonts w:hint="eastAsia" w:eastAsia="方正仿宋_GBK" w:cs="Times New Roman"/>
          <w:color w:val="000000" w:themeColor="text1"/>
          <w:sz w:val="32"/>
          <w:szCs w:val="32"/>
          <w:lang w:val="en-US" w:eastAsia="zh-CN"/>
          <w14:textFill>
            <w14:solidFill>
              <w14:schemeClr w14:val="tx1"/>
            </w14:solidFill>
          </w14:textFill>
        </w:rPr>
        <w:t>4</w:t>
      </w:r>
      <w:r>
        <w:rPr>
          <w:rFonts w:hint="eastAsia" w:ascii="Times New Roman" w:hAnsi="Times New Roman" w:eastAsia="方正仿宋_GBK" w:cs="Times New Roman"/>
          <w:color w:val="000000" w:themeColor="text1"/>
          <w:sz w:val="32"/>
          <w:szCs w:val="32"/>
          <w14:textFill>
            <w14:solidFill>
              <w14:schemeClr w14:val="tx1"/>
            </w14:solidFill>
          </w14:textFill>
        </w:rPr>
        <w:t>年</w:t>
      </w:r>
      <w:r>
        <w:rPr>
          <w:rFonts w:hint="eastAsia" w:eastAsia="方正仿宋_GBK" w:cs="Times New Roman"/>
          <w:color w:val="000000" w:themeColor="text1"/>
          <w:sz w:val="32"/>
          <w:szCs w:val="32"/>
          <w:lang w:eastAsia="zh-CN"/>
          <w14:textFill>
            <w14:solidFill>
              <w14:schemeClr w14:val="tx1"/>
            </w14:solidFill>
          </w14:textFill>
        </w:rPr>
        <w:t>加快</w:t>
      </w:r>
      <w:r>
        <w:rPr>
          <w:rFonts w:hint="eastAsia" w:ascii="Times New Roman" w:hAnsi="Times New Roman" w:eastAsia="方正仿宋_GBK" w:cs="Times New Roman"/>
          <w:color w:val="000000" w:themeColor="text1"/>
          <w:sz w:val="32"/>
          <w:szCs w:val="32"/>
          <w14:textFill>
            <w14:solidFill>
              <w14:schemeClr w14:val="tx1"/>
            </w14:solidFill>
          </w14:textFill>
        </w:rPr>
        <w:t>拨付资金。</w:t>
      </w:r>
    </w:p>
    <w:p>
      <w:pPr>
        <w:spacing w:line="58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我区林业中央转移支付资金严格按程序进行管理，采用项目专账会计核算办法、专款专用,按工程进度支付资金，资金的支付</w:t>
      </w:r>
      <w:r>
        <w:rPr>
          <w:rFonts w:hint="eastAsia" w:eastAsia="方正仿宋_GBK" w:cs="Times New Roman"/>
          <w:sz w:val="32"/>
          <w:szCs w:val="32"/>
          <w:lang w:eastAsia="zh-CN"/>
        </w:rPr>
        <w:t>将</w:t>
      </w:r>
      <w:r>
        <w:rPr>
          <w:rFonts w:hint="eastAsia" w:ascii="Times New Roman" w:hAnsi="Times New Roman" w:eastAsia="方正仿宋_GBK" w:cs="Times New Roman"/>
          <w:sz w:val="32"/>
          <w:szCs w:val="32"/>
        </w:rPr>
        <w:t>通过账户转账，各类档案资料较规范、完整。我区财政、林业部门按职责分工积极参与项目实施监督。</w:t>
      </w:r>
    </w:p>
    <w:p>
      <w:pPr>
        <w:numPr>
          <w:ilvl w:val="0"/>
          <w:numId w:val="1"/>
        </w:numPr>
        <w:spacing w:line="580" w:lineRule="exact"/>
        <w:ind w:firstLine="640" w:firstLineChars="200"/>
        <w:outlineLvl w:val="0"/>
        <w:rPr>
          <w:rFonts w:hint="eastAsia" w:ascii="方正楷体_GBK" w:eastAsia="方正楷体_GBK" w:cs="楷体_GB2312"/>
          <w:b/>
          <w:bCs/>
          <w:sz w:val="32"/>
          <w:szCs w:val="32"/>
        </w:rPr>
      </w:pPr>
      <w:r>
        <w:rPr>
          <w:rFonts w:hint="eastAsia" w:ascii="方正楷体_GBK" w:eastAsia="方正楷体_GBK" w:cs="楷体_GB2312"/>
          <w:b/>
          <w:bCs/>
          <w:sz w:val="32"/>
          <w:szCs w:val="32"/>
        </w:rPr>
        <w:t>总体绩效目标完成情况分析。</w:t>
      </w:r>
    </w:p>
    <w:p>
      <w:pPr>
        <w:spacing w:line="580" w:lineRule="exact"/>
        <w:ind w:firstLine="640" w:firstLineChars="20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rPr>
        <w:t>2022年中央财政提前下达林业改革发展资金总体绩效目标设定情况具体如下：用于我区荒山造林绿化工程，建设规模</w:t>
      </w:r>
      <w:r>
        <w:rPr>
          <w:rFonts w:hint="eastAsia" w:eastAsia="方正仿宋_GBK" w:cs="Times New Roman"/>
          <w:sz w:val="32"/>
          <w:szCs w:val="32"/>
          <w:lang w:val="en-US" w:eastAsia="zh-CN"/>
        </w:rPr>
        <w:t>7000</w:t>
      </w:r>
      <w:r>
        <w:rPr>
          <w:rFonts w:hint="eastAsia" w:ascii="Times New Roman" w:hAnsi="Times New Roman" w:eastAsia="方正仿宋_GBK" w:cs="Times New Roman"/>
          <w:sz w:val="32"/>
          <w:szCs w:val="32"/>
        </w:rPr>
        <w:t>亩</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持续改善生态环境</w:t>
      </w:r>
      <w:r>
        <w:rPr>
          <w:rFonts w:hint="eastAsia" w:ascii="Times New Roman" w:hAnsi="Times New Roman" w:eastAsia="方正仿宋_GBK" w:cs="Times New Roman"/>
          <w:sz w:val="32"/>
          <w:szCs w:val="32"/>
          <w:lang w:eastAsia="zh-CN"/>
        </w:rPr>
        <w:t>。</w:t>
      </w:r>
    </w:p>
    <w:p>
      <w:pPr>
        <w:spacing w:line="580" w:lineRule="exact"/>
        <w:ind w:firstLine="640" w:firstLineChars="200"/>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rPr>
        <w:t>年全年项目实际完成情况：我局按照相关技术规程，积极组织施工单位对作业地块进行施工，并按照施工方案要求的时间、地点、作业面积</w:t>
      </w:r>
      <w:r>
        <w:rPr>
          <w:rFonts w:hint="eastAsia" w:ascii="Times New Roman" w:hAnsi="Times New Roman" w:eastAsia="方正仿宋_GBK" w:cs="Times New Roman"/>
          <w:sz w:val="32"/>
          <w:szCs w:val="32"/>
          <w:lang w:val="en-US" w:eastAsia="zh-CN"/>
        </w:rPr>
        <w:t>和</w:t>
      </w:r>
      <w:r>
        <w:rPr>
          <w:rFonts w:hint="eastAsia" w:ascii="Times New Roman" w:hAnsi="Times New Roman" w:eastAsia="方正仿宋_GBK" w:cs="Times New Roman"/>
          <w:sz w:val="32"/>
          <w:szCs w:val="32"/>
        </w:rPr>
        <w:t>造林要求</w:t>
      </w:r>
      <w:r>
        <w:rPr>
          <w:rFonts w:hint="eastAsia" w:ascii="Times New Roman" w:hAnsi="Times New Roman" w:eastAsia="方正仿宋_GBK" w:cs="Times New Roman"/>
          <w:sz w:val="32"/>
          <w:szCs w:val="32"/>
          <w:lang w:eastAsia="zh-CN"/>
        </w:rPr>
        <w:t>完成</w:t>
      </w:r>
      <w:r>
        <w:rPr>
          <w:rFonts w:hint="eastAsia" w:ascii="Times New Roman" w:hAnsi="Times New Roman" w:eastAsia="方正仿宋_GBK" w:cs="Times New Roman"/>
          <w:sz w:val="32"/>
          <w:szCs w:val="32"/>
        </w:rPr>
        <w:t>了施工</w:t>
      </w:r>
      <w:r>
        <w:rPr>
          <w:rFonts w:hint="eastAsia" w:ascii="Times New Roman" w:hAnsi="Times New Roman" w:eastAsia="方正仿宋_GBK" w:cs="Times New Roman"/>
          <w:sz w:val="32"/>
          <w:szCs w:val="32"/>
          <w:lang w:eastAsia="zh-CN"/>
        </w:rPr>
        <w:t>。</w:t>
      </w:r>
    </w:p>
    <w:p>
      <w:pPr>
        <w:numPr>
          <w:ilvl w:val="0"/>
          <w:numId w:val="0"/>
        </w:numPr>
        <w:spacing w:line="580" w:lineRule="exact"/>
        <w:outlineLvl w:val="0"/>
        <w:rPr>
          <w:rFonts w:hint="eastAsia" w:ascii="方正楷体_GBK" w:eastAsia="方正楷体_GBK" w:cs="楷体_GB2312"/>
          <w:b/>
          <w:bCs/>
          <w:sz w:val="32"/>
          <w:szCs w:val="32"/>
        </w:rPr>
      </w:pPr>
      <w:r>
        <w:rPr>
          <w:rFonts w:hint="eastAsia" w:ascii="方正楷体_GBK" w:eastAsia="方正楷体_GBK" w:cs="楷体_GB2312"/>
          <w:b/>
          <w:bCs/>
          <w:sz w:val="32"/>
          <w:szCs w:val="32"/>
        </w:rPr>
        <w:t>（三）绩效指标完成情况分析。</w:t>
      </w:r>
    </w:p>
    <w:p>
      <w:pPr>
        <w:spacing w:line="58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2022年中央财政提前下达林业改革发展资金，各项三级绩效指标值及全年实际完成情况：</w:t>
      </w:r>
      <w:r>
        <w:rPr>
          <w:rFonts w:hint="eastAsia" w:ascii="Times New Roman" w:hAnsi="Times New Roman" w:eastAsia="方正仿宋_GBK" w:cs="Times New Roman"/>
          <w:sz w:val="32"/>
          <w:szCs w:val="32"/>
          <w:lang w:eastAsia="zh-CN"/>
        </w:rPr>
        <w:t>绿化造林面积</w:t>
      </w:r>
      <w:r>
        <w:rPr>
          <w:rFonts w:hint="eastAsia" w:eastAsia="方正仿宋_GBK" w:cs="Times New Roman"/>
          <w:sz w:val="32"/>
          <w:szCs w:val="32"/>
          <w:lang w:val="en-US" w:eastAsia="zh-CN"/>
        </w:rPr>
        <w:t>7000</w:t>
      </w:r>
      <w:r>
        <w:rPr>
          <w:rFonts w:hint="eastAsia" w:ascii="Times New Roman" w:hAnsi="Times New Roman" w:eastAsia="方正仿宋_GBK" w:cs="Times New Roman"/>
          <w:sz w:val="32"/>
          <w:szCs w:val="32"/>
          <w:lang w:val="en-US" w:eastAsia="zh-CN"/>
        </w:rPr>
        <w:t>亩，</w:t>
      </w:r>
      <w:r>
        <w:rPr>
          <w:rFonts w:hint="eastAsia" w:ascii="Times New Roman" w:hAnsi="Times New Roman" w:eastAsia="方正仿宋_GBK" w:cs="Times New Roman"/>
          <w:sz w:val="32"/>
          <w:szCs w:val="32"/>
        </w:rPr>
        <w:t>造林完成面积合格率</w:t>
      </w:r>
      <w:r>
        <w:rPr>
          <w:rFonts w:hint="eastAsia" w:ascii="Times New Roman" w:hAnsi="Times New Roman" w:eastAsia="方正仿宋_GBK" w:cs="Times New Roman"/>
          <w:sz w:val="32"/>
          <w:szCs w:val="32"/>
          <w:lang w:eastAsia="zh-CN"/>
        </w:rPr>
        <w:t>达到</w:t>
      </w:r>
      <w:r>
        <w:rPr>
          <w:rFonts w:hint="eastAsia" w:ascii="Times New Roman" w:hAnsi="Times New Roman" w:eastAsia="方正仿宋_GBK" w:cs="Times New Roman"/>
          <w:sz w:val="32"/>
          <w:szCs w:val="32"/>
        </w:rPr>
        <w:t>90%；造林当期任务完成率</w:t>
      </w:r>
      <w:r>
        <w:rPr>
          <w:rFonts w:hint="eastAsia" w:ascii="Times New Roman" w:hAnsi="Times New Roman" w:eastAsia="方正仿宋_GBK" w:cs="Times New Roman"/>
          <w:sz w:val="32"/>
          <w:szCs w:val="32"/>
          <w:lang w:eastAsia="zh-CN"/>
        </w:rPr>
        <w:t>达到</w:t>
      </w:r>
      <w:r>
        <w:rPr>
          <w:rFonts w:hint="eastAsia" w:ascii="Times New Roman" w:hAnsi="Times New Roman" w:eastAsia="方正仿宋_GBK" w:cs="Times New Roman"/>
          <w:sz w:val="32"/>
          <w:szCs w:val="32"/>
          <w:lang w:val="en-US" w:eastAsia="zh-CN"/>
        </w:rPr>
        <w:t>95%以上</w:t>
      </w:r>
      <w:r>
        <w:rPr>
          <w:rFonts w:hint="eastAsia" w:ascii="Times New Roman" w:hAnsi="Times New Roman" w:eastAsia="方正仿宋_GBK" w:cs="Times New Roman"/>
          <w:sz w:val="32"/>
          <w:szCs w:val="32"/>
        </w:rPr>
        <w:t>；造林补助标准</w:t>
      </w:r>
      <w:r>
        <w:rPr>
          <w:rFonts w:hint="eastAsia" w:eastAsia="方正仿宋_GBK" w:cs="Times New Roman"/>
          <w:sz w:val="32"/>
          <w:szCs w:val="32"/>
          <w:lang w:val="en-US" w:eastAsia="zh-CN"/>
        </w:rPr>
        <w:t>500</w:t>
      </w:r>
      <w:r>
        <w:rPr>
          <w:rFonts w:hint="eastAsia" w:ascii="Times New Roman" w:hAnsi="Times New Roman" w:eastAsia="方正仿宋_GBK" w:cs="Times New Roman"/>
          <w:sz w:val="32"/>
          <w:szCs w:val="32"/>
        </w:rPr>
        <w:t>元/亩</w:t>
      </w:r>
      <w:r>
        <w:rPr>
          <w:rFonts w:hint="eastAsia" w:ascii="Times New Roman" w:hAnsi="Times New Roman" w:eastAsia="方正仿宋_GBK" w:cs="Times New Roman"/>
          <w:sz w:val="32"/>
          <w:szCs w:val="32"/>
          <w:lang w:eastAsia="zh-CN"/>
        </w:rPr>
        <w:t>；森林生态系统功能改善可持续影响</w:t>
      </w:r>
      <w:r>
        <w:rPr>
          <w:rFonts w:hint="eastAsia" w:ascii="Times New Roman" w:hAnsi="Times New Roman" w:eastAsia="方正仿宋_GBK" w:cs="Times New Roman"/>
          <w:sz w:val="32"/>
          <w:szCs w:val="32"/>
        </w:rPr>
        <w:t>显著；群众满意度达到85%。</w:t>
      </w:r>
    </w:p>
    <w:p>
      <w:pPr>
        <w:spacing w:line="580" w:lineRule="exact"/>
        <w:ind w:firstLine="640" w:firstLineChars="200"/>
        <w:rPr>
          <w:rFonts w:ascii="方正黑体_GBK" w:eastAsia="方正黑体_GBK" w:cs="黑体"/>
          <w:bCs/>
          <w:sz w:val="32"/>
          <w:szCs w:val="32"/>
        </w:rPr>
      </w:pPr>
      <w:r>
        <w:rPr>
          <w:rFonts w:hint="eastAsia" w:ascii="方正黑体_GBK" w:eastAsia="方正黑体_GBK" w:cs="黑体"/>
          <w:bCs/>
          <w:sz w:val="32"/>
          <w:szCs w:val="32"/>
        </w:rPr>
        <w:t>三、偏离绩效目标的</w:t>
      </w:r>
      <w:bookmarkStart w:id="0" w:name="_GoBack"/>
      <w:bookmarkEnd w:id="0"/>
      <w:r>
        <w:rPr>
          <w:rFonts w:hint="eastAsia" w:ascii="方正黑体_GBK" w:eastAsia="方正黑体_GBK" w:cs="黑体"/>
          <w:bCs/>
          <w:sz w:val="32"/>
          <w:szCs w:val="32"/>
        </w:rPr>
        <w:t>原因和下一步改进措施</w:t>
      </w:r>
    </w:p>
    <w:p>
      <w:pPr>
        <w:spacing w:line="58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总体目标和绩效指标有部分指标未完成的原因是工程已完工</w:t>
      </w:r>
      <w:r>
        <w:rPr>
          <w:rFonts w:hint="eastAsia" w:ascii="Times New Roman" w:hAnsi="Times New Roman" w:eastAsia="方正仿宋_GBK" w:cs="Times New Roman"/>
          <w:sz w:val="32"/>
          <w:szCs w:val="32"/>
          <w:lang w:eastAsia="zh-CN"/>
        </w:rPr>
        <w:t>，项目管护期为三年</w:t>
      </w:r>
      <w:r>
        <w:rPr>
          <w:rFonts w:hint="eastAsia"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有些项目</w:t>
      </w:r>
      <w:r>
        <w:rPr>
          <w:rFonts w:hint="eastAsia" w:eastAsia="方正仿宋_GBK" w:cs="Times New Roman"/>
          <w:sz w:val="32"/>
          <w:szCs w:val="32"/>
          <w:lang w:eastAsia="zh-CN"/>
        </w:rPr>
        <w:t>未</w:t>
      </w:r>
      <w:r>
        <w:rPr>
          <w:rFonts w:hint="eastAsia" w:ascii="Times New Roman" w:hAnsi="Times New Roman" w:eastAsia="方正仿宋_GBK" w:cs="Times New Roman"/>
          <w:sz w:val="32"/>
          <w:szCs w:val="32"/>
          <w:lang w:eastAsia="zh-CN"/>
        </w:rPr>
        <w:t>通过验收，</w:t>
      </w:r>
      <w:r>
        <w:rPr>
          <w:rFonts w:hint="eastAsia" w:ascii="Times New Roman" w:hAnsi="Times New Roman" w:eastAsia="方正仿宋_GBK" w:cs="Times New Roman"/>
          <w:sz w:val="32"/>
          <w:szCs w:val="32"/>
        </w:rPr>
        <w:t>因此资金未拨付，下一步加快工作进度，抓紧实施，尽快拨付资金。</w:t>
      </w:r>
    </w:p>
    <w:p>
      <w:pPr>
        <w:numPr>
          <w:ilvl w:val="0"/>
          <w:numId w:val="2"/>
        </w:numPr>
        <w:spacing w:line="580" w:lineRule="exact"/>
        <w:ind w:firstLine="640" w:firstLineChars="200"/>
        <w:rPr>
          <w:rFonts w:hint="eastAsia" w:ascii="方正黑体_GBK" w:eastAsia="方正黑体_GBK" w:cs="黑体"/>
          <w:bCs/>
          <w:sz w:val="32"/>
          <w:szCs w:val="32"/>
        </w:rPr>
      </w:pPr>
      <w:r>
        <w:rPr>
          <w:rFonts w:hint="eastAsia" w:ascii="方正黑体_GBK" w:eastAsia="方正黑体_GBK" w:cs="黑体"/>
          <w:bCs/>
          <w:sz w:val="32"/>
          <w:szCs w:val="32"/>
        </w:rPr>
        <w:t>绩效自评结果拟应用和公开情况</w:t>
      </w:r>
    </w:p>
    <w:p>
      <w:pPr>
        <w:spacing w:line="58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绩效自评结果按要求将在政府网站上进行公开。</w:t>
      </w:r>
    </w:p>
    <w:p>
      <w:pPr>
        <w:spacing w:line="580" w:lineRule="exact"/>
        <w:ind w:firstLine="640" w:firstLineChars="200"/>
        <w:rPr>
          <w:rFonts w:ascii="方正黑体_GBK" w:eastAsia="方正黑体_GBK" w:cs="黑体"/>
          <w:bCs/>
          <w:sz w:val="32"/>
          <w:szCs w:val="32"/>
        </w:rPr>
      </w:pPr>
      <w:r>
        <w:rPr>
          <w:rFonts w:hint="eastAsia" w:ascii="方正黑体_GBK" w:eastAsia="方正黑体_GBK" w:cs="黑体"/>
          <w:bCs/>
          <w:sz w:val="32"/>
          <w:szCs w:val="32"/>
        </w:rPr>
        <w:t>五、其他需要说明的问题</w:t>
      </w:r>
    </w:p>
    <w:p>
      <w:pPr>
        <w:tabs>
          <w:tab w:val="left" w:pos="7080"/>
        </w:tabs>
        <w:spacing w:line="580" w:lineRule="exact"/>
        <w:ind w:firstLine="640" w:firstLineChars="200"/>
        <w:outlineLvl w:val="0"/>
        <w:rPr>
          <w:rFonts w:hint="eastAsia" w:eastAsia="方正仿宋_GBK"/>
          <w:sz w:val="32"/>
          <w:szCs w:val="32"/>
          <w:lang w:eastAsia="zh-CN"/>
        </w:rPr>
      </w:pPr>
      <w:r>
        <w:rPr>
          <w:rFonts w:hint="eastAsia" w:eastAsia="方正仿宋_GBK"/>
          <w:sz w:val="32"/>
          <w:szCs w:val="32"/>
          <w:lang w:eastAsia="zh-CN"/>
        </w:rPr>
        <w:t>无</w:t>
      </w:r>
    </w:p>
    <w:p>
      <w:pPr>
        <w:tabs>
          <w:tab w:val="left" w:pos="7080"/>
        </w:tabs>
        <w:spacing w:line="580" w:lineRule="exact"/>
        <w:ind w:firstLine="640" w:firstLineChars="200"/>
        <w:outlineLvl w:val="0"/>
        <w:rPr>
          <w:rFonts w:eastAsia="方正仿宋_GBK"/>
          <w:sz w:val="32"/>
          <w:szCs w:val="32"/>
        </w:rPr>
      </w:pPr>
      <w:r>
        <w:rPr>
          <w:rFonts w:hint="eastAsia" w:eastAsia="方正仿宋_GBK"/>
          <w:sz w:val="32"/>
          <w:szCs w:val="32"/>
        </w:rPr>
        <w:t>附：转移支付区域（项目）绩效目标自评表</w:t>
      </w:r>
    </w:p>
    <w:sectPr>
      <w:footerReference r:id="rId3" w:type="default"/>
      <w:pgSz w:w="11906" w:h="16838"/>
      <w:pgMar w:top="2098" w:right="1418" w:bottom="187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16FFFD"/>
    <w:multiLevelType w:val="singleLevel"/>
    <w:tmpl w:val="CF16FFFD"/>
    <w:lvl w:ilvl="0" w:tentative="0">
      <w:start w:val="2"/>
      <w:numFmt w:val="chineseCounting"/>
      <w:suff w:val="nothing"/>
      <w:lvlText w:val="（%1）"/>
      <w:lvlJc w:val="left"/>
      <w:rPr>
        <w:rFonts w:hint="eastAsia"/>
      </w:rPr>
    </w:lvl>
  </w:abstractNum>
  <w:abstractNum w:abstractNumId="1">
    <w:nsid w:val="77FFCD67"/>
    <w:multiLevelType w:val="singleLevel"/>
    <w:tmpl w:val="77FFCD67"/>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0"/>
  <w:drawingGridVerticalSpacing w:val="581"/>
  <w:displayHorizontalDrawingGridEvery w:val="0"/>
  <w:displayVerticalDrawingGridEvery w:val="1"/>
  <w:characterSpacingControl w:val="compressPunctuation"/>
  <w:compat>
    <w:spaceForUL/>
    <w:balanceSingleByteDoubleByteWidth/>
    <w:ulTrailSpace/>
    <w:doNotExpandShiftReturn/>
    <w:adjustLineHeightInTable/>
    <w:useFELayout/>
    <w:compatSetting w:name="compatibilityMode" w:uri="http://schemas.microsoft.com/office/word" w:val="12"/>
  </w:compat>
  <w:docVars>
    <w:docVar w:name="commondata" w:val="eyJoZGlkIjoiZmQ0OTI3MzlhNTFjZjQ3YTdjZjYzZGQ4NzMwMDBiYzQifQ=="/>
  </w:docVars>
  <w:rsids>
    <w:rsidRoot w:val="00000000"/>
    <w:rsid w:val="05D37841"/>
    <w:rsid w:val="0EB130ED"/>
    <w:rsid w:val="0FDB2835"/>
    <w:rsid w:val="141C2861"/>
    <w:rsid w:val="176D5996"/>
    <w:rsid w:val="18A63700"/>
    <w:rsid w:val="19CE0C94"/>
    <w:rsid w:val="1BE36FBF"/>
    <w:rsid w:val="1D896AF1"/>
    <w:rsid w:val="1FE13F7B"/>
    <w:rsid w:val="21B81D0F"/>
    <w:rsid w:val="27A72484"/>
    <w:rsid w:val="3269585C"/>
    <w:rsid w:val="339A6510"/>
    <w:rsid w:val="33A31D51"/>
    <w:rsid w:val="3C3C16B3"/>
    <w:rsid w:val="3F073ADC"/>
    <w:rsid w:val="4714652B"/>
    <w:rsid w:val="495F0BFF"/>
    <w:rsid w:val="4F624D5E"/>
    <w:rsid w:val="4FC77446"/>
    <w:rsid w:val="52AD4542"/>
    <w:rsid w:val="55E464CD"/>
    <w:rsid w:val="59E20F76"/>
    <w:rsid w:val="5CE80DCC"/>
    <w:rsid w:val="5E920D44"/>
    <w:rsid w:val="62562501"/>
    <w:rsid w:val="63870498"/>
    <w:rsid w:val="67283D40"/>
    <w:rsid w:val="69AB0D66"/>
    <w:rsid w:val="6BDA7CFF"/>
    <w:rsid w:val="6CD31E9D"/>
    <w:rsid w:val="6DFB3F5C"/>
    <w:rsid w:val="72880563"/>
    <w:rsid w:val="735D3E72"/>
    <w:rsid w:val="7FCE77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autoRedefine/>
    <w:qFormat/>
    <w:uiPriority w:val="0"/>
    <w:pPr>
      <w:keepNext/>
      <w:keepLines/>
      <w:widowControl w:val="0"/>
      <w:spacing w:before="340" w:after="330" w:line="578" w:lineRule="auto"/>
      <w:outlineLvl w:val="0"/>
    </w:pPr>
    <w:rPr>
      <w:b/>
      <w:bCs/>
      <w:kern w:val="44"/>
      <w:sz w:val="44"/>
    </w:rPr>
  </w:style>
  <w:style w:type="paragraph" w:styleId="3">
    <w:name w:val="heading 2"/>
    <w:basedOn w:val="1"/>
    <w:next w:val="1"/>
    <w:autoRedefine/>
    <w:qFormat/>
    <w:uiPriority w:val="0"/>
    <w:pPr>
      <w:keepNext/>
      <w:keepLines/>
      <w:widowControl w:val="0"/>
      <w:spacing w:before="260" w:after="260" w:line="415" w:lineRule="auto"/>
      <w:outlineLvl w:val="1"/>
    </w:pPr>
    <w:rPr>
      <w:rFonts w:ascii="宋体" w:hAnsi="宋体" w:eastAsia="黑体"/>
      <w:b/>
      <w:sz w:val="32"/>
    </w:rPr>
  </w:style>
  <w:style w:type="paragraph" w:styleId="4">
    <w:name w:val="heading 3"/>
    <w:basedOn w:val="1"/>
    <w:next w:val="1"/>
    <w:qFormat/>
    <w:uiPriority w:val="0"/>
    <w:pPr>
      <w:keepNext/>
      <w:keepLines/>
      <w:widowControl w:val="0"/>
      <w:spacing w:before="260" w:after="260" w:line="415" w:lineRule="auto"/>
      <w:outlineLvl w:val="2"/>
    </w:pPr>
    <w:rPr>
      <w:b/>
      <w:sz w:val="32"/>
    </w:rPr>
  </w:style>
  <w:style w:type="character" w:default="1" w:styleId="9">
    <w:name w:val="Default Paragraph Font"/>
    <w:autoRedefine/>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Microsoft</Company>
  <Pages>2</Pages>
  <Words>756</Words>
  <Characters>800</Characters>
  <Lines>22</Lines>
  <Paragraphs>16</Paragraphs>
  <TotalTime>19</TotalTime>
  <ScaleCrop>false</ScaleCrop>
  <LinksUpToDate>false</LinksUpToDate>
  <CharactersWithSpaces>800</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2019-02-12T06:26:00Z</dcterms:created>
  <dc:creator>lhn</dc:creator>
  <cp:lastModifiedBy>王多多多多</cp:lastModifiedBy>
  <cp:lastPrinted>2023-02-17T08:35:00Z</cp:lastPrinted>
  <dcterms:modified xsi:type="dcterms:W3CDTF">2024-02-04T01:17:40Z</dcterms:modified>
  <dc:title>财政支出绩效评价报告</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6473D9BFFE9541C3A4F6C7B6EC2C9EA0</vt:lpwstr>
  </property>
</Properties>
</file>