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color w:val="auto"/>
        </w:rPr>
      </w:pPr>
      <w:r>
        <w:rPr>
          <w:rFonts w:ascii="黑体" w:hAnsi="黑体" w:eastAsia="黑体" w:cs="黑体"/>
          <w:b/>
          <w:color w:val="auto"/>
          <w:sz w:val="44"/>
        </w:rPr>
        <w:t>2022年部门预算信息公开目录</w:t>
      </w:r>
    </w:p>
    <w:p>
      <w:pPr>
        <w:jc w:val="center"/>
        <w:rPr>
          <w:color w:val="auto"/>
        </w:rPr>
      </w:pPr>
      <w:r>
        <w:rPr>
          <w:rFonts w:ascii="黑体" w:hAnsi="黑体" w:eastAsia="黑体" w:cs="黑体"/>
          <w:b/>
          <w:color w:val="auto"/>
          <w:sz w:val="30"/>
        </w:rPr>
        <w:t xml:space="preserve"> </w:t>
      </w:r>
    </w:p>
    <w:p>
      <w:pPr>
        <w:jc w:val="center"/>
        <w:rPr>
          <w:color w:val="auto"/>
          <w:sz w:val="32"/>
          <w:szCs w:val="32"/>
        </w:rPr>
      </w:pPr>
      <w:r>
        <w:rPr>
          <w:rFonts w:ascii="黑体" w:hAnsi="黑体" w:eastAsia="黑体" w:cs="黑体"/>
          <w:b/>
          <w:color w:val="auto"/>
          <w:sz w:val="30"/>
        </w:rPr>
        <w:t xml:space="preserve"> </w:t>
      </w:r>
      <w:r>
        <w:rPr>
          <w:rFonts w:ascii="黑体" w:hAnsi="黑体" w:eastAsia="黑体" w:cs="黑体"/>
          <w:b/>
          <w:color w:val="auto"/>
          <w:sz w:val="32"/>
          <w:szCs w:val="32"/>
        </w:rPr>
        <w:t xml:space="preserve"> 部门预算</w:t>
      </w:r>
    </w:p>
    <w:p>
      <w:pPr>
        <w:rPr>
          <w:rFonts w:hint="eastAsia" w:ascii="宋体" w:hAnsi="宋体" w:eastAsia="宋体" w:cs="宋体"/>
          <w:color w:val="auto"/>
          <w:sz w:val="32"/>
          <w:szCs w:val="32"/>
        </w:rPr>
      </w:pPr>
      <w:r>
        <w:rPr>
          <w:rFonts w:hint="eastAsia" w:ascii="宋体" w:hAnsi="宋体" w:eastAsia="宋体" w:cs="宋体"/>
          <w:b/>
          <w:color w:val="auto"/>
          <w:sz w:val="32"/>
          <w:szCs w:val="32"/>
        </w:rPr>
        <w:t>部门预算公开表</w:t>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"2-2" \h \z \u</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_Toc5845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部门预算收支总表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_Toc5845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_Toc27385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部门预算收入总表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_Toc27385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_Toc109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部门预算支出总表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_Toc109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_Toc12705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部门预算财政拨款收支总表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_Toc12705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_Toc5062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部门预算一般公共预算财政拨款支出表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_Toc5062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_Toc27846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部门预算一般公共预算财政拨款基本支出表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_Toc27846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_Toc364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部门预算政府基金预算财政拨款支出表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_Toc364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_Toc19133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部门预算国有资本经营预算财政拨款支出表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_Toc19133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_Toc26220 </w:instrText>
      </w:r>
      <w:r>
        <w:rPr>
          <w:rFonts w:hint="eastAsia" w:ascii="宋体" w:hAnsi="宋体" w:eastAsia="宋体" w:cs="宋体"/>
          <w:sz w:val="32"/>
          <w:szCs w:val="32"/>
        </w:rPr>
        <w:fldChar w:fldCharType="separate"/>
      </w:r>
      <w:r>
        <w:rPr>
          <w:rFonts w:hint="eastAsia" w:ascii="宋体" w:hAnsi="宋体" w:eastAsia="宋体" w:cs="宋体"/>
          <w:sz w:val="32"/>
          <w:szCs w:val="32"/>
        </w:rPr>
        <w:t>部门预算财政拨款“三公”经费支出表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_Toc26220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rPr>
          <w:rFonts w:hint="eastAsia" w:ascii="宋体" w:hAnsi="宋体" w:eastAsia="宋体" w:cs="宋体"/>
          <w:color w:val="auto"/>
          <w:sz w:val="32"/>
          <w:szCs w:val="32"/>
        </w:rPr>
      </w:pPr>
      <w:r>
        <w:rPr>
          <w:rFonts w:hint="eastAsia" w:ascii="宋体" w:hAnsi="宋体" w:eastAsia="宋体" w:cs="宋体"/>
          <w:color w:val="auto"/>
          <w:sz w:val="32"/>
          <w:szCs w:val="32"/>
        </w:rPr>
        <w:fldChar w:fldCharType="end"/>
      </w:r>
    </w:p>
    <w:p>
      <w:pPr>
        <w:rPr>
          <w:rFonts w:hint="eastAsia" w:ascii="宋体" w:hAnsi="宋体" w:eastAsia="宋体" w:cs="宋体"/>
          <w:color w:val="auto"/>
          <w:sz w:val="32"/>
          <w:szCs w:val="32"/>
        </w:rPr>
      </w:pPr>
      <w:r>
        <w:rPr>
          <w:rFonts w:hint="eastAsia" w:ascii="宋体" w:hAnsi="宋体" w:eastAsia="宋体" w:cs="宋体"/>
          <w:b/>
          <w:color w:val="auto"/>
          <w:sz w:val="32"/>
          <w:szCs w:val="32"/>
        </w:rPr>
        <w:t>部门预算信息公开情况说明</w:t>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"3-3" \h \z \u</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_Toc7593 </w:instrText>
      </w:r>
      <w:r>
        <w:rPr>
          <w:rFonts w:hint="eastAsia" w:ascii="宋体" w:hAnsi="宋体" w:eastAsia="宋体" w:cs="宋体"/>
          <w:sz w:val="32"/>
          <w:szCs w:val="32"/>
        </w:rPr>
        <w:fldChar w:fldCharType="separate"/>
      </w:r>
      <w:r>
        <w:rPr>
          <w:rFonts w:hint="eastAsia" w:ascii="宋体" w:hAnsi="宋体" w:eastAsia="宋体" w:cs="宋体"/>
          <w:sz w:val="32"/>
          <w:szCs w:val="32"/>
        </w:rPr>
        <w:t>一、部门职责及机构设置情况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_Toc7593 \h </w:instrText>
      </w:r>
      <w:r>
        <w:rPr>
          <w:rFonts w:hint="eastAsia" w:ascii="宋体" w:hAnsi="宋体" w:eastAsia="宋体" w:cs="宋体"/>
          <w:sz w:val="32"/>
          <w:szCs w:val="32"/>
        </w:rPr>
        <w:fldChar w:fldCharType="separate"/>
      </w:r>
      <w:r>
        <w:rPr>
          <w:rFonts w:hint="eastAsia" w:ascii="宋体" w:hAnsi="宋体" w:eastAsia="宋体" w:cs="宋体"/>
          <w:sz w:val="32"/>
          <w:szCs w:val="32"/>
        </w:rPr>
        <w:t>17</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_Toc17945 </w:instrText>
      </w:r>
      <w:r>
        <w:rPr>
          <w:rFonts w:hint="eastAsia" w:ascii="宋体" w:hAnsi="宋体" w:eastAsia="宋体" w:cs="宋体"/>
          <w:sz w:val="32"/>
          <w:szCs w:val="32"/>
        </w:rPr>
        <w:fldChar w:fldCharType="separate"/>
      </w:r>
      <w:r>
        <w:rPr>
          <w:rFonts w:hint="eastAsia" w:ascii="宋体" w:hAnsi="宋体" w:eastAsia="宋体" w:cs="宋体"/>
          <w:sz w:val="32"/>
          <w:szCs w:val="32"/>
        </w:rPr>
        <w:t>二、部门预算安排的总体情况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_Toc17945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_Toc20177 </w:instrText>
      </w:r>
      <w:r>
        <w:rPr>
          <w:rFonts w:hint="eastAsia" w:ascii="宋体" w:hAnsi="宋体" w:eastAsia="宋体" w:cs="宋体"/>
          <w:sz w:val="32"/>
          <w:szCs w:val="32"/>
        </w:rPr>
        <w:fldChar w:fldCharType="separate"/>
      </w:r>
      <w:r>
        <w:rPr>
          <w:rFonts w:hint="eastAsia" w:ascii="宋体" w:hAnsi="宋体" w:eastAsia="宋体" w:cs="宋体"/>
          <w:sz w:val="32"/>
          <w:szCs w:val="32"/>
        </w:rPr>
        <w:t>三、机关运行经费安排情况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_Toc20177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_Toc23429 </w:instrText>
      </w:r>
      <w:r>
        <w:rPr>
          <w:rFonts w:hint="eastAsia" w:ascii="宋体" w:hAnsi="宋体" w:eastAsia="宋体" w:cs="宋体"/>
          <w:sz w:val="32"/>
          <w:szCs w:val="32"/>
        </w:rPr>
        <w:fldChar w:fldCharType="separate"/>
      </w:r>
      <w:r>
        <w:rPr>
          <w:rFonts w:hint="eastAsia" w:ascii="宋体" w:hAnsi="宋体" w:eastAsia="宋体" w:cs="宋体"/>
          <w:sz w:val="32"/>
          <w:szCs w:val="32"/>
        </w:rPr>
        <w:t>四、财政拨款“三公”经费预算情况及增减变化原因</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_Toc23429 \h </w:instrText>
      </w:r>
      <w:r>
        <w:rPr>
          <w:rFonts w:hint="eastAsia" w:ascii="宋体" w:hAnsi="宋体" w:eastAsia="宋体" w:cs="宋体"/>
          <w:sz w:val="32"/>
          <w:szCs w:val="32"/>
        </w:rPr>
        <w:fldChar w:fldCharType="separate"/>
      </w:r>
      <w:r>
        <w:rPr>
          <w:rFonts w:hint="eastAsia" w:ascii="宋体" w:hAnsi="宋体" w:eastAsia="宋体" w:cs="宋体"/>
          <w:sz w:val="32"/>
          <w:szCs w:val="32"/>
        </w:rPr>
        <w:t>19</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_Toc31235 </w:instrText>
      </w:r>
      <w:r>
        <w:rPr>
          <w:rFonts w:hint="eastAsia" w:ascii="宋体" w:hAnsi="宋体" w:eastAsia="宋体" w:cs="宋体"/>
          <w:sz w:val="32"/>
          <w:szCs w:val="32"/>
        </w:rPr>
        <w:fldChar w:fldCharType="separate"/>
      </w:r>
      <w:r>
        <w:rPr>
          <w:rFonts w:hint="eastAsia" w:ascii="宋体" w:hAnsi="宋体" w:eastAsia="宋体" w:cs="宋体"/>
          <w:sz w:val="32"/>
          <w:szCs w:val="32"/>
        </w:rPr>
        <w:t>五、预算绩效信息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_Toc31235 \h </w:instrText>
      </w:r>
      <w:r>
        <w:rPr>
          <w:rFonts w:hint="eastAsia" w:ascii="宋体" w:hAnsi="宋体" w:eastAsia="宋体" w:cs="宋体"/>
          <w:sz w:val="32"/>
          <w:szCs w:val="32"/>
        </w:rPr>
        <w:fldChar w:fldCharType="separate"/>
      </w:r>
      <w:r>
        <w:rPr>
          <w:rFonts w:hint="eastAsia" w:ascii="宋体" w:hAnsi="宋体" w:eastAsia="宋体" w:cs="宋体"/>
          <w:sz w:val="32"/>
          <w:szCs w:val="32"/>
        </w:rPr>
        <w:t>20</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_Toc25899 </w:instrText>
      </w:r>
      <w:r>
        <w:rPr>
          <w:rFonts w:hint="eastAsia" w:ascii="宋体" w:hAnsi="宋体" w:eastAsia="宋体" w:cs="宋体"/>
          <w:sz w:val="32"/>
          <w:szCs w:val="32"/>
        </w:rPr>
        <w:fldChar w:fldCharType="separate"/>
      </w:r>
      <w:r>
        <w:rPr>
          <w:rFonts w:hint="eastAsia" w:ascii="宋体" w:hAnsi="宋体" w:eastAsia="宋体" w:cs="宋体"/>
          <w:sz w:val="32"/>
          <w:szCs w:val="32"/>
        </w:rPr>
        <w:t>六、政府采购预算情况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_Toc25899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_Toc21119 </w:instrText>
      </w:r>
      <w:r>
        <w:rPr>
          <w:rFonts w:hint="eastAsia" w:ascii="宋体" w:hAnsi="宋体" w:eastAsia="宋体" w:cs="宋体"/>
          <w:sz w:val="32"/>
          <w:szCs w:val="32"/>
        </w:rPr>
        <w:fldChar w:fldCharType="separate"/>
      </w:r>
      <w:r>
        <w:rPr>
          <w:rFonts w:hint="eastAsia" w:ascii="宋体" w:hAnsi="宋体" w:eastAsia="宋体" w:cs="宋体"/>
          <w:sz w:val="32"/>
          <w:szCs w:val="32"/>
        </w:rPr>
        <w:t>七、国有资产信息</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_Toc21119 \h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_Toc13836 </w:instrText>
      </w:r>
      <w:r>
        <w:rPr>
          <w:rFonts w:hint="eastAsia" w:ascii="宋体" w:hAnsi="宋体" w:eastAsia="宋体" w:cs="宋体"/>
          <w:sz w:val="32"/>
          <w:szCs w:val="32"/>
        </w:rPr>
        <w:fldChar w:fldCharType="separate"/>
      </w:r>
      <w:r>
        <w:rPr>
          <w:rFonts w:hint="eastAsia" w:ascii="宋体" w:hAnsi="宋体" w:eastAsia="宋体" w:cs="宋体"/>
          <w:sz w:val="32"/>
          <w:szCs w:val="32"/>
        </w:rPr>
        <w:t>八、名词解释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_Toc13836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2"/>
        <w:tabs>
          <w:tab w:val="right" w:leader="dot" w:pos="14800"/>
        </w:tabs>
        <w:ind w:left="0" w:leftChars="0" w:firstLine="640" w:firstLineChars="200"/>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_Toc8444 </w:instrText>
      </w:r>
      <w:r>
        <w:rPr>
          <w:rFonts w:hint="eastAsia" w:ascii="宋体" w:hAnsi="宋体" w:eastAsia="宋体" w:cs="宋体"/>
          <w:sz w:val="32"/>
          <w:szCs w:val="32"/>
        </w:rPr>
        <w:fldChar w:fldCharType="separate"/>
      </w:r>
      <w:r>
        <w:rPr>
          <w:rFonts w:hint="eastAsia" w:ascii="宋体" w:hAnsi="宋体" w:eastAsia="宋体" w:cs="宋体"/>
          <w:sz w:val="32"/>
          <w:szCs w:val="32"/>
        </w:rPr>
        <w:t>九、其他需要说明的事项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_Toc8444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color w:val="auto"/>
          <w:sz w:val="32"/>
          <w:szCs w:val="32"/>
        </w:rPr>
      </w:pPr>
      <w:r>
        <w:rPr>
          <w:rFonts w:hint="eastAsia" w:ascii="宋体" w:hAnsi="宋体" w:eastAsia="宋体" w:cs="宋体"/>
          <w:color w:val="auto"/>
          <w:sz w:val="32"/>
          <w:szCs w:val="32"/>
        </w:rPr>
        <w:fldChar w:fldCharType="end"/>
      </w:r>
    </w:p>
    <w:p>
      <w:pPr>
        <w:pStyle w:val="3"/>
        <w:tabs>
          <w:tab w:val="right" w:leader="dot" w:pos="14800"/>
        </w:tabs>
        <w:rPr>
          <w:rFonts w:hint="eastAsia" w:ascii="宋体" w:hAnsi="宋体" w:eastAsia="宋体" w:cs="宋体"/>
          <w:color w:val="auto"/>
          <w:sz w:val="32"/>
          <w:szCs w:val="32"/>
        </w:rPr>
      </w:pPr>
    </w:p>
    <w:p>
      <w:pPr>
        <w:pStyle w:val="3"/>
        <w:tabs>
          <w:tab w:val="right" w:leader="dot" w:pos="14800"/>
        </w:tabs>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rFonts w:ascii="方正小标宋_GBK" w:hAnsi="方正小标宋_GBK" w:eastAsia="方正小标宋_GBK" w:cs="方正小标宋_GBK"/>
          <w:color w:val="auto"/>
          <w:sz w:val="44"/>
        </w:rPr>
      </w:pP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rPr>
          <w:color w:val="auto"/>
        </w:rPr>
      </w:pPr>
      <w:r>
        <w:rPr>
          <w:rFonts w:ascii="方正小标宋_GBK" w:hAnsi="方正小标宋_GBK" w:eastAsia="方正小标宋_GBK" w:cs="方正小标宋_GBK"/>
          <w:color w:val="auto"/>
          <w:sz w:val="44"/>
        </w:rPr>
        <w:t xml:space="preserve"> </w:t>
      </w:r>
    </w:p>
    <w:p>
      <w:pPr>
        <w:jc w:val="center"/>
        <w:outlineLvl w:val="0"/>
        <w:rPr>
          <w:color w:val="auto"/>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auto"/>
          <w:sz w:val="72"/>
        </w:rPr>
        <w:t xml:space="preserve">  部门预算</w:t>
      </w:r>
    </w:p>
    <w:p>
      <w:pPr>
        <w:jc w:val="center"/>
        <w:outlineLvl w:val="1"/>
        <w:rPr>
          <w:color w:val="auto"/>
        </w:rPr>
      </w:pPr>
      <w:bookmarkStart w:id="0" w:name="_Toc5845"/>
      <w:r>
        <w:rPr>
          <w:rFonts w:ascii="方正小标宋_GBK" w:hAnsi="方正小标宋_GBK" w:eastAsia="方正小标宋_GBK" w:cs="方正小标宋_GBK"/>
          <w:color w:val="auto"/>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126"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6661" w:type="dxa"/>
            <w:gridSpan w:val="2"/>
            <w:vAlign w:val="center"/>
          </w:tcPr>
          <w:p>
            <w:pPr>
              <w:pStyle w:val="10"/>
              <w:rPr>
                <w:color w:val="auto"/>
              </w:rPr>
            </w:pPr>
            <w:r>
              <w:rPr>
                <w:color w:val="auto"/>
              </w:rPr>
              <w:t>收入</w:t>
            </w:r>
          </w:p>
        </w:tc>
        <w:tc>
          <w:tcPr>
            <w:tcW w:w="6661" w:type="dxa"/>
            <w:gridSpan w:val="2"/>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4535" w:type="dxa"/>
            <w:vAlign w:val="center"/>
          </w:tcPr>
          <w:p>
            <w:pPr>
              <w:pStyle w:val="10"/>
              <w:rPr>
                <w:color w:val="auto"/>
              </w:rPr>
            </w:pPr>
            <w:r>
              <w:rPr>
                <w:color w:val="auto"/>
              </w:rPr>
              <w:t>1</w:t>
            </w:r>
          </w:p>
        </w:tc>
        <w:tc>
          <w:tcPr>
            <w:tcW w:w="2126" w:type="dxa"/>
            <w:vAlign w:val="center"/>
          </w:tcPr>
          <w:p>
            <w:pPr>
              <w:pStyle w:val="10"/>
              <w:rPr>
                <w:color w:val="auto"/>
              </w:rPr>
            </w:pPr>
            <w:r>
              <w:rPr>
                <w:color w:val="auto"/>
              </w:rPr>
              <w:t>2</w:t>
            </w:r>
          </w:p>
        </w:tc>
        <w:tc>
          <w:tcPr>
            <w:tcW w:w="4535" w:type="dxa"/>
            <w:vAlign w:val="center"/>
          </w:tcPr>
          <w:p>
            <w:pPr>
              <w:pStyle w:val="10"/>
              <w:rPr>
                <w:color w:val="auto"/>
              </w:rPr>
            </w:pPr>
            <w:r>
              <w:rPr>
                <w:color w:val="auto"/>
              </w:rPr>
              <w:t>3</w:t>
            </w:r>
          </w:p>
        </w:tc>
        <w:tc>
          <w:tcPr>
            <w:tcW w:w="2126" w:type="dxa"/>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4535" w:type="dxa"/>
            <w:vAlign w:val="center"/>
          </w:tcPr>
          <w:p>
            <w:pPr>
              <w:pStyle w:val="12"/>
              <w:rPr>
                <w:color w:val="auto"/>
              </w:rPr>
            </w:pPr>
            <w:r>
              <w:rPr>
                <w:color w:val="auto"/>
              </w:rPr>
              <w:t>一、一般公共预算拨款收入</w:t>
            </w:r>
          </w:p>
        </w:tc>
        <w:tc>
          <w:tcPr>
            <w:tcW w:w="2126" w:type="dxa"/>
            <w:vAlign w:val="center"/>
          </w:tcPr>
          <w:p>
            <w:pPr>
              <w:pStyle w:val="11"/>
              <w:rPr>
                <w:color w:val="auto"/>
              </w:rPr>
            </w:pPr>
            <w:r>
              <w:rPr>
                <w:color w:val="auto"/>
              </w:rPr>
              <w:t>1788.56</w:t>
            </w:r>
          </w:p>
        </w:tc>
        <w:tc>
          <w:tcPr>
            <w:tcW w:w="4535" w:type="dxa"/>
            <w:vAlign w:val="center"/>
          </w:tcPr>
          <w:p>
            <w:pPr>
              <w:pStyle w:val="12"/>
              <w:rPr>
                <w:color w:val="auto"/>
              </w:rPr>
            </w:pPr>
            <w:r>
              <w:rPr>
                <w:color w:val="auto"/>
              </w:rPr>
              <w:t>一、一般公共服务支出</w:t>
            </w:r>
          </w:p>
        </w:tc>
        <w:tc>
          <w:tcPr>
            <w:tcW w:w="2126" w:type="dxa"/>
            <w:vAlign w:val="center"/>
          </w:tcPr>
          <w:p>
            <w:pPr>
              <w:pStyle w:val="11"/>
              <w:rPr>
                <w:color w:val="auto"/>
              </w:rPr>
            </w:pPr>
            <w:r>
              <w:rPr>
                <w:color w:val="auto"/>
              </w:rPr>
              <w:t>1652.93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4535" w:type="dxa"/>
            <w:vAlign w:val="center"/>
          </w:tcPr>
          <w:p>
            <w:pPr>
              <w:pStyle w:val="12"/>
              <w:rPr>
                <w:color w:val="auto"/>
              </w:rPr>
            </w:pPr>
            <w:r>
              <w:rPr>
                <w:color w:val="auto"/>
              </w:rPr>
              <w:t>二、政府性基金预算拨款收入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二、外交支出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4535" w:type="dxa"/>
            <w:vAlign w:val="center"/>
          </w:tcPr>
          <w:p>
            <w:pPr>
              <w:pStyle w:val="12"/>
              <w:rPr>
                <w:color w:val="auto"/>
              </w:rPr>
            </w:pPr>
            <w:r>
              <w:rPr>
                <w:color w:val="auto"/>
              </w:rPr>
              <w:t>三、国有资本经营预算拨款收入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三、国防支出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4535" w:type="dxa"/>
            <w:vAlign w:val="center"/>
          </w:tcPr>
          <w:p>
            <w:pPr>
              <w:pStyle w:val="12"/>
              <w:rPr>
                <w:color w:val="auto"/>
              </w:rPr>
            </w:pPr>
            <w:r>
              <w:rPr>
                <w:color w:val="auto"/>
              </w:rPr>
              <w:t>四、财政专户管理资金收入</w:t>
            </w:r>
          </w:p>
        </w:tc>
        <w:tc>
          <w:tcPr>
            <w:tcW w:w="2126" w:type="dxa"/>
            <w:vAlign w:val="center"/>
          </w:tcPr>
          <w:p>
            <w:pPr>
              <w:pStyle w:val="11"/>
              <w:rPr>
                <w:color w:val="auto"/>
              </w:rPr>
            </w:pPr>
          </w:p>
        </w:tc>
        <w:tc>
          <w:tcPr>
            <w:tcW w:w="4535" w:type="dxa"/>
            <w:vAlign w:val="center"/>
          </w:tcPr>
          <w:p>
            <w:pPr>
              <w:pStyle w:val="12"/>
              <w:rPr>
                <w:color w:val="auto"/>
              </w:rPr>
            </w:pPr>
            <w:r>
              <w:rPr>
                <w:color w:val="auto"/>
              </w:rPr>
              <w:t>四、公共安全支出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4535" w:type="dxa"/>
            <w:vAlign w:val="center"/>
          </w:tcPr>
          <w:p>
            <w:pPr>
              <w:pStyle w:val="12"/>
              <w:rPr>
                <w:color w:val="auto"/>
              </w:rPr>
            </w:pPr>
            <w:r>
              <w:rPr>
                <w:color w:val="auto"/>
              </w:rPr>
              <w:t>五、事业收入</w:t>
            </w:r>
          </w:p>
        </w:tc>
        <w:tc>
          <w:tcPr>
            <w:tcW w:w="2126" w:type="dxa"/>
            <w:vAlign w:val="center"/>
          </w:tcPr>
          <w:p>
            <w:pPr>
              <w:pStyle w:val="11"/>
              <w:rPr>
                <w:color w:val="auto"/>
              </w:rPr>
            </w:pPr>
          </w:p>
        </w:tc>
        <w:tc>
          <w:tcPr>
            <w:tcW w:w="4535" w:type="dxa"/>
            <w:vAlign w:val="center"/>
          </w:tcPr>
          <w:p>
            <w:pPr>
              <w:pStyle w:val="12"/>
              <w:rPr>
                <w:color w:val="auto"/>
              </w:rPr>
            </w:pPr>
            <w:r>
              <w:rPr>
                <w:color w:val="auto"/>
              </w:rPr>
              <w:t>五、教育支出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4535" w:type="dxa"/>
            <w:vAlign w:val="center"/>
          </w:tcPr>
          <w:p>
            <w:pPr>
              <w:pStyle w:val="12"/>
              <w:rPr>
                <w:color w:val="auto"/>
              </w:rPr>
            </w:pPr>
            <w:r>
              <w:rPr>
                <w:color w:val="auto"/>
              </w:rPr>
              <w:t>六、事业单位经营收入</w:t>
            </w:r>
          </w:p>
        </w:tc>
        <w:tc>
          <w:tcPr>
            <w:tcW w:w="2126" w:type="dxa"/>
            <w:vAlign w:val="center"/>
          </w:tcPr>
          <w:p>
            <w:pPr>
              <w:pStyle w:val="11"/>
              <w:rPr>
                <w:color w:val="auto"/>
              </w:rPr>
            </w:pPr>
          </w:p>
        </w:tc>
        <w:tc>
          <w:tcPr>
            <w:tcW w:w="4535" w:type="dxa"/>
            <w:vAlign w:val="center"/>
          </w:tcPr>
          <w:p>
            <w:pPr>
              <w:pStyle w:val="12"/>
              <w:rPr>
                <w:color w:val="auto"/>
              </w:rPr>
            </w:pPr>
            <w:r>
              <w:rPr>
                <w:color w:val="auto"/>
              </w:rPr>
              <w:t>六、科学技术支出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4535" w:type="dxa"/>
            <w:vAlign w:val="center"/>
          </w:tcPr>
          <w:p>
            <w:pPr>
              <w:pStyle w:val="12"/>
              <w:rPr>
                <w:color w:val="auto"/>
              </w:rPr>
            </w:pPr>
            <w:r>
              <w:rPr>
                <w:color w:val="auto"/>
              </w:rPr>
              <w:t>七、上级补助收入</w:t>
            </w:r>
          </w:p>
        </w:tc>
        <w:tc>
          <w:tcPr>
            <w:tcW w:w="2126" w:type="dxa"/>
            <w:vAlign w:val="center"/>
          </w:tcPr>
          <w:p>
            <w:pPr>
              <w:pStyle w:val="11"/>
              <w:rPr>
                <w:color w:val="auto"/>
              </w:rPr>
            </w:pPr>
          </w:p>
        </w:tc>
        <w:tc>
          <w:tcPr>
            <w:tcW w:w="4535" w:type="dxa"/>
            <w:vAlign w:val="center"/>
          </w:tcPr>
          <w:p>
            <w:pPr>
              <w:pStyle w:val="12"/>
              <w:rPr>
                <w:color w:val="auto"/>
              </w:rPr>
            </w:pPr>
            <w:r>
              <w:rPr>
                <w:color w:val="auto"/>
              </w:rPr>
              <w:t>七、文化旅游体育与传媒支出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4535" w:type="dxa"/>
            <w:vAlign w:val="center"/>
          </w:tcPr>
          <w:p>
            <w:pPr>
              <w:pStyle w:val="12"/>
              <w:rPr>
                <w:color w:val="auto"/>
              </w:rPr>
            </w:pPr>
            <w:r>
              <w:rPr>
                <w:color w:val="auto"/>
              </w:rPr>
              <w:t>八、附属单位上缴收入</w:t>
            </w:r>
          </w:p>
        </w:tc>
        <w:tc>
          <w:tcPr>
            <w:tcW w:w="2126" w:type="dxa"/>
            <w:vAlign w:val="center"/>
          </w:tcPr>
          <w:p>
            <w:pPr>
              <w:pStyle w:val="11"/>
              <w:rPr>
                <w:color w:val="auto"/>
              </w:rPr>
            </w:pPr>
          </w:p>
        </w:tc>
        <w:tc>
          <w:tcPr>
            <w:tcW w:w="4535" w:type="dxa"/>
            <w:vAlign w:val="center"/>
          </w:tcPr>
          <w:p>
            <w:pPr>
              <w:pStyle w:val="12"/>
              <w:rPr>
                <w:color w:val="auto"/>
              </w:rPr>
            </w:pPr>
            <w:r>
              <w:rPr>
                <w:color w:val="auto"/>
              </w:rPr>
              <w:t>八、社会保障和就业支出</w:t>
            </w:r>
          </w:p>
        </w:tc>
        <w:tc>
          <w:tcPr>
            <w:tcW w:w="2126" w:type="dxa"/>
            <w:vAlign w:val="center"/>
          </w:tcPr>
          <w:p>
            <w:pPr>
              <w:pStyle w:val="11"/>
              <w:rPr>
                <w:color w:val="auto"/>
              </w:rPr>
            </w:pPr>
            <w:r>
              <w:rPr>
                <w:color w:val="auto"/>
              </w:rPr>
              <w:t>45.51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4535" w:type="dxa"/>
            <w:vAlign w:val="center"/>
          </w:tcPr>
          <w:p>
            <w:pPr>
              <w:pStyle w:val="12"/>
              <w:rPr>
                <w:color w:val="auto"/>
              </w:rPr>
            </w:pPr>
            <w:r>
              <w:rPr>
                <w:color w:val="auto"/>
              </w:rPr>
              <w:t>九、其他收入</w:t>
            </w:r>
          </w:p>
        </w:tc>
        <w:tc>
          <w:tcPr>
            <w:tcW w:w="2126" w:type="dxa"/>
            <w:vAlign w:val="center"/>
          </w:tcPr>
          <w:p>
            <w:pPr>
              <w:pStyle w:val="11"/>
              <w:rPr>
                <w:color w:val="auto"/>
              </w:rPr>
            </w:pPr>
          </w:p>
        </w:tc>
        <w:tc>
          <w:tcPr>
            <w:tcW w:w="4535" w:type="dxa"/>
            <w:vAlign w:val="center"/>
          </w:tcPr>
          <w:p>
            <w:pPr>
              <w:pStyle w:val="12"/>
              <w:rPr>
                <w:color w:val="auto"/>
              </w:rPr>
            </w:pPr>
            <w:r>
              <w:rPr>
                <w:color w:val="auto"/>
              </w:rPr>
              <w:t>九、社会保险基金支出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十、卫生健康支出</w:t>
            </w:r>
          </w:p>
        </w:tc>
        <w:tc>
          <w:tcPr>
            <w:tcW w:w="2126" w:type="dxa"/>
            <w:vAlign w:val="center"/>
          </w:tcPr>
          <w:p>
            <w:pPr>
              <w:pStyle w:val="11"/>
              <w:rPr>
                <w:color w:val="auto"/>
              </w:rPr>
            </w:pPr>
            <w:r>
              <w:rPr>
                <w:color w:val="auto"/>
              </w:rPr>
              <w:t>54.91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十一、节能环保支出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十二、城乡社区支出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十三、农林水支出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十四、交通运输支出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十五、资源勘探工业信息等支出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十六、商业服务业等支出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十七、金融支出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十八、援助其他地区支出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十九、自然资源海洋气象等支出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二十、住房保障支出</w:t>
            </w:r>
          </w:p>
        </w:tc>
        <w:tc>
          <w:tcPr>
            <w:tcW w:w="2126" w:type="dxa"/>
            <w:vAlign w:val="center"/>
          </w:tcPr>
          <w:p>
            <w:pPr>
              <w:pStyle w:val="11"/>
              <w:rPr>
                <w:color w:val="auto"/>
              </w:rPr>
            </w:pPr>
            <w:r>
              <w:rPr>
                <w:color w:val="auto"/>
              </w:rPr>
              <w:t>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二十一、粮油物资储备支出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二十二、国有资本经营预算支出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二十三、灾害防治及应急管理支出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二十四、预备费</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二十五、其他支出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二十六、转移性支出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二十七、债务还本支出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二十八、债务付息支出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二十九、债务发行费用支出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4535"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三十、抗疫特别国债安排的支出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4535" w:type="dxa"/>
            <w:vAlign w:val="center"/>
          </w:tcPr>
          <w:p>
            <w:pPr>
              <w:pStyle w:val="14"/>
              <w:rPr>
                <w:color w:val="auto"/>
              </w:rPr>
            </w:pPr>
            <w:r>
              <w:rPr>
                <w:color w:val="auto"/>
              </w:rPr>
              <w:t>本年收入合计</w:t>
            </w:r>
          </w:p>
        </w:tc>
        <w:tc>
          <w:tcPr>
            <w:tcW w:w="2126" w:type="dxa"/>
            <w:vAlign w:val="center"/>
          </w:tcPr>
          <w:p>
            <w:pPr>
              <w:pStyle w:val="15"/>
              <w:rPr>
                <w:color w:val="auto"/>
              </w:rPr>
            </w:pPr>
            <w:r>
              <w:rPr>
                <w:color w:val="auto"/>
              </w:rPr>
              <w:t>1788.56</w:t>
            </w:r>
          </w:p>
        </w:tc>
        <w:tc>
          <w:tcPr>
            <w:tcW w:w="4535" w:type="dxa"/>
            <w:vAlign w:val="center"/>
          </w:tcPr>
          <w:p>
            <w:pPr>
              <w:pStyle w:val="14"/>
              <w:rPr>
                <w:color w:val="auto"/>
              </w:rPr>
            </w:pPr>
            <w:r>
              <w:rPr>
                <w:color w:val="auto"/>
              </w:rPr>
              <w:t>本年支出合计</w:t>
            </w:r>
          </w:p>
        </w:tc>
        <w:tc>
          <w:tcPr>
            <w:tcW w:w="2126" w:type="dxa"/>
            <w:vAlign w:val="center"/>
          </w:tcPr>
          <w:p>
            <w:pPr>
              <w:pStyle w:val="15"/>
              <w:rPr>
                <w:color w:val="auto"/>
              </w:rPr>
            </w:pPr>
            <w:r>
              <w:rPr>
                <w:color w:val="auto"/>
              </w:rPr>
              <w:t>1788.56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4535" w:type="dxa"/>
            <w:vAlign w:val="center"/>
          </w:tcPr>
          <w:p>
            <w:pPr>
              <w:pStyle w:val="12"/>
              <w:rPr>
                <w:color w:val="auto"/>
              </w:rPr>
            </w:pPr>
            <w:r>
              <w:rPr>
                <w:color w:val="auto"/>
              </w:rPr>
              <w:t>上年结转结余</w:t>
            </w:r>
          </w:p>
        </w:tc>
        <w:tc>
          <w:tcPr>
            <w:tcW w:w="2126" w:type="dxa"/>
            <w:vAlign w:val="center"/>
          </w:tcPr>
          <w:p>
            <w:pPr>
              <w:pStyle w:val="11"/>
              <w:rPr>
                <w:color w:val="auto"/>
              </w:rPr>
            </w:pPr>
          </w:p>
        </w:tc>
        <w:tc>
          <w:tcPr>
            <w:tcW w:w="4535" w:type="dxa"/>
            <w:vAlign w:val="center"/>
          </w:tcPr>
          <w:p>
            <w:pPr>
              <w:pStyle w:val="12"/>
              <w:rPr>
                <w:color w:val="auto"/>
              </w:rPr>
            </w:pPr>
            <w:r>
              <w:rPr>
                <w:color w:val="auto"/>
              </w:rPr>
              <w:t>年终结转结余</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4535" w:type="dxa"/>
            <w:vAlign w:val="center"/>
          </w:tcPr>
          <w:p>
            <w:pPr>
              <w:pStyle w:val="14"/>
              <w:rPr>
                <w:color w:val="auto"/>
              </w:rPr>
            </w:pPr>
            <w:r>
              <w:rPr>
                <w:color w:val="auto"/>
              </w:rPr>
              <w:t>收入总计</w:t>
            </w:r>
          </w:p>
        </w:tc>
        <w:tc>
          <w:tcPr>
            <w:tcW w:w="2126" w:type="dxa"/>
            <w:vAlign w:val="center"/>
          </w:tcPr>
          <w:p>
            <w:pPr>
              <w:pStyle w:val="15"/>
              <w:rPr>
                <w:color w:val="auto"/>
              </w:rPr>
            </w:pPr>
            <w:r>
              <w:rPr>
                <w:color w:val="auto"/>
              </w:rPr>
              <w:t>1788.56</w:t>
            </w:r>
          </w:p>
        </w:tc>
        <w:tc>
          <w:tcPr>
            <w:tcW w:w="4535" w:type="dxa"/>
            <w:vAlign w:val="center"/>
          </w:tcPr>
          <w:p>
            <w:pPr>
              <w:pStyle w:val="14"/>
              <w:rPr>
                <w:color w:val="auto"/>
              </w:rPr>
            </w:pPr>
            <w:r>
              <w:rPr>
                <w:color w:val="auto"/>
              </w:rPr>
              <w:t>支出总计</w:t>
            </w:r>
          </w:p>
        </w:tc>
        <w:tc>
          <w:tcPr>
            <w:tcW w:w="2126" w:type="dxa"/>
            <w:vAlign w:val="center"/>
          </w:tcPr>
          <w:p>
            <w:pPr>
              <w:pStyle w:val="15"/>
              <w:rPr>
                <w:color w:val="auto"/>
              </w:rPr>
            </w:pPr>
            <w:r>
              <w:rPr>
                <w:color w:val="auto"/>
              </w:rPr>
              <w:t>1788.56</w:t>
            </w: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1" w:name="_Toc27385"/>
      <w:r>
        <w:rPr>
          <w:rFonts w:ascii="方正小标宋_GBK" w:hAnsi="方正小标宋_GBK" w:eastAsia="方正小标宋_GBK" w:cs="方正小标宋_GBK"/>
          <w:color w:val="auto"/>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3402" w:type="dxa"/>
            <w:gridSpan w:val="3"/>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color w:val="auto"/>
              </w:rPr>
            </w:pPr>
            <w:r>
              <w:rPr>
                <w:color w:val="auto"/>
              </w:rPr>
              <w:t>序号</w:t>
            </w:r>
          </w:p>
        </w:tc>
        <w:tc>
          <w:tcPr>
            <w:tcW w:w="2551" w:type="dxa"/>
            <w:gridSpan w:val="2"/>
            <w:vAlign w:val="center"/>
          </w:tcPr>
          <w:p>
            <w:pPr>
              <w:pStyle w:val="10"/>
              <w:rPr>
                <w:color w:val="auto"/>
              </w:rPr>
            </w:pPr>
            <w:r>
              <w:rPr>
                <w:color w:val="auto"/>
              </w:rPr>
              <w:t>功能分类科目</w:t>
            </w:r>
          </w:p>
        </w:tc>
        <w:tc>
          <w:tcPr>
            <w:tcW w:w="1134" w:type="dxa"/>
            <w:vMerge w:val="restart"/>
            <w:vAlign w:val="center"/>
          </w:tcPr>
          <w:p>
            <w:pPr>
              <w:pStyle w:val="10"/>
              <w:rPr>
                <w:color w:val="auto"/>
              </w:rPr>
            </w:pPr>
            <w:r>
              <w:rPr>
                <w:color w:val="auto"/>
              </w:rPr>
              <w:t>合计</w:t>
            </w:r>
          </w:p>
        </w:tc>
        <w:tc>
          <w:tcPr>
            <w:tcW w:w="9071" w:type="dxa"/>
            <w:gridSpan w:val="8"/>
            <w:vAlign w:val="center"/>
          </w:tcPr>
          <w:p>
            <w:pPr>
              <w:pStyle w:val="10"/>
              <w:rPr>
                <w:color w:val="auto"/>
              </w:rPr>
            </w:pPr>
            <w:r>
              <w:rPr>
                <w:color w:val="auto"/>
              </w:rPr>
              <w:t>本年收入</w:t>
            </w:r>
          </w:p>
        </w:tc>
        <w:tc>
          <w:tcPr>
            <w:tcW w:w="1134" w:type="dxa"/>
            <w:vMerge w:val="restart"/>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0"/>
              <w:rPr>
                <w:color w:val="auto"/>
              </w:rPr>
            </w:pPr>
            <w:r>
              <w:rPr>
                <w:color w:val="auto"/>
              </w:rPr>
              <w:t>科目    编码</w:t>
            </w:r>
          </w:p>
        </w:tc>
        <w:tc>
          <w:tcPr>
            <w:tcW w:w="1559" w:type="dxa"/>
            <w:vAlign w:val="center"/>
          </w:tcPr>
          <w:p>
            <w:pPr>
              <w:pStyle w:val="10"/>
              <w:rPr>
                <w:color w:val="auto"/>
              </w:rPr>
            </w:pPr>
            <w:r>
              <w:rPr>
                <w:color w:val="auto"/>
              </w:rPr>
              <w:t>科目名称</w:t>
            </w:r>
          </w:p>
        </w:tc>
        <w:tc>
          <w:tcPr>
            <w:tcW w:w="1134" w:type="dxa"/>
            <w:vMerge w:val="continue"/>
          </w:tcPr>
          <w:p>
            <w:pPr>
              <w:rPr>
                <w:color w:val="auto"/>
              </w:rPr>
            </w:pPr>
          </w:p>
        </w:tc>
        <w:tc>
          <w:tcPr>
            <w:tcW w:w="1134" w:type="dxa"/>
            <w:vAlign w:val="center"/>
          </w:tcPr>
          <w:p>
            <w:pPr>
              <w:pStyle w:val="10"/>
              <w:rPr>
                <w:color w:val="auto"/>
              </w:rPr>
            </w:pPr>
            <w:r>
              <w:rPr>
                <w:color w:val="auto"/>
              </w:rPr>
              <w:t>小计</w:t>
            </w:r>
          </w:p>
        </w:tc>
        <w:tc>
          <w:tcPr>
            <w:tcW w:w="1134" w:type="dxa"/>
            <w:vAlign w:val="center"/>
          </w:tcPr>
          <w:p>
            <w:pPr>
              <w:pStyle w:val="10"/>
              <w:rPr>
                <w:color w:val="auto"/>
              </w:rPr>
            </w:pPr>
            <w:r>
              <w:rPr>
                <w:color w:val="auto"/>
              </w:rPr>
              <w:t>财政拨款 收入</w:t>
            </w:r>
          </w:p>
        </w:tc>
        <w:tc>
          <w:tcPr>
            <w:tcW w:w="1134" w:type="dxa"/>
            <w:vAlign w:val="center"/>
          </w:tcPr>
          <w:p>
            <w:pPr>
              <w:pStyle w:val="10"/>
              <w:rPr>
                <w:color w:val="auto"/>
              </w:rPr>
            </w:pPr>
            <w:r>
              <w:rPr>
                <w:color w:val="auto"/>
              </w:rPr>
              <w:t>财政专户 收入</w:t>
            </w:r>
          </w:p>
        </w:tc>
        <w:tc>
          <w:tcPr>
            <w:tcW w:w="1134" w:type="dxa"/>
            <w:vAlign w:val="center"/>
          </w:tcPr>
          <w:p>
            <w:pPr>
              <w:pStyle w:val="10"/>
              <w:rPr>
                <w:color w:val="auto"/>
              </w:rPr>
            </w:pPr>
            <w:r>
              <w:rPr>
                <w:color w:val="auto"/>
              </w:rPr>
              <w:t>事业收入</w:t>
            </w:r>
          </w:p>
        </w:tc>
        <w:tc>
          <w:tcPr>
            <w:tcW w:w="1134" w:type="dxa"/>
            <w:vAlign w:val="center"/>
          </w:tcPr>
          <w:p>
            <w:pPr>
              <w:pStyle w:val="10"/>
              <w:rPr>
                <w:color w:val="auto"/>
              </w:rPr>
            </w:pPr>
            <w:r>
              <w:rPr>
                <w:color w:val="auto"/>
              </w:rPr>
              <w:t>经营收入</w:t>
            </w:r>
          </w:p>
        </w:tc>
        <w:tc>
          <w:tcPr>
            <w:tcW w:w="1134" w:type="dxa"/>
            <w:vAlign w:val="center"/>
          </w:tcPr>
          <w:p>
            <w:pPr>
              <w:pStyle w:val="10"/>
              <w:rPr>
                <w:color w:val="auto"/>
              </w:rPr>
            </w:pPr>
            <w:r>
              <w:rPr>
                <w:color w:val="auto"/>
              </w:rPr>
              <w:t>上级补助收入</w:t>
            </w:r>
          </w:p>
        </w:tc>
        <w:tc>
          <w:tcPr>
            <w:tcW w:w="1134" w:type="dxa"/>
            <w:vAlign w:val="center"/>
          </w:tcPr>
          <w:p>
            <w:pPr>
              <w:pStyle w:val="10"/>
              <w:rPr>
                <w:color w:val="auto"/>
              </w:rPr>
            </w:pPr>
            <w:r>
              <w:rPr>
                <w:color w:val="auto"/>
              </w:rPr>
              <w:t>附属单位上缴收入</w:t>
            </w:r>
          </w:p>
        </w:tc>
        <w:tc>
          <w:tcPr>
            <w:tcW w:w="1134" w:type="dxa"/>
            <w:vAlign w:val="center"/>
          </w:tcPr>
          <w:p>
            <w:pPr>
              <w:pStyle w:val="10"/>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1559" w:type="dxa"/>
            <w:vAlign w:val="center"/>
          </w:tcPr>
          <w:p>
            <w:pPr>
              <w:pStyle w:val="10"/>
              <w:rPr>
                <w:color w:val="auto"/>
              </w:rPr>
            </w:pPr>
            <w:r>
              <w:rPr>
                <w:color w:val="auto"/>
              </w:rPr>
              <w:t>2</w:t>
            </w:r>
          </w:p>
        </w:tc>
        <w:tc>
          <w:tcPr>
            <w:tcW w:w="1134" w:type="dxa"/>
            <w:vAlign w:val="center"/>
          </w:tcPr>
          <w:p>
            <w:pPr>
              <w:pStyle w:val="10"/>
              <w:rPr>
                <w:color w:val="auto"/>
              </w:rPr>
            </w:pPr>
            <w:r>
              <w:rPr>
                <w:color w:val="auto"/>
              </w:rPr>
              <w:t>3</w:t>
            </w:r>
          </w:p>
        </w:tc>
        <w:tc>
          <w:tcPr>
            <w:tcW w:w="1134" w:type="dxa"/>
            <w:vAlign w:val="center"/>
          </w:tcPr>
          <w:p>
            <w:pPr>
              <w:pStyle w:val="10"/>
              <w:rPr>
                <w:color w:val="auto"/>
              </w:rPr>
            </w:pPr>
            <w:r>
              <w:rPr>
                <w:color w:val="auto"/>
              </w:rPr>
              <w:t>4</w:t>
            </w:r>
          </w:p>
        </w:tc>
        <w:tc>
          <w:tcPr>
            <w:tcW w:w="1134" w:type="dxa"/>
            <w:vAlign w:val="center"/>
          </w:tcPr>
          <w:p>
            <w:pPr>
              <w:pStyle w:val="10"/>
              <w:rPr>
                <w:color w:val="auto"/>
              </w:rPr>
            </w:pPr>
            <w:r>
              <w:rPr>
                <w:color w:val="auto"/>
              </w:rPr>
              <w:t>5</w:t>
            </w:r>
          </w:p>
        </w:tc>
        <w:tc>
          <w:tcPr>
            <w:tcW w:w="1134" w:type="dxa"/>
            <w:vAlign w:val="center"/>
          </w:tcPr>
          <w:p>
            <w:pPr>
              <w:pStyle w:val="10"/>
              <w:rPr>
                <w:color w:val="auto"/>
              </w:rPr>
            </w:pPr>
            <w:r>
              <w:rPr>
                <w:color w:val="auto"/>
              </w:rPr>
              <w:t>6</w:t>
            </w:r>
          </w:p>
        </w:tc>
        <w:tc>
          <w:tcPr>
            <w:tcW w:w="1134" w:type="dxa"/>
            <w:vAlign w:val="center"/>
          </w:tcPr>
          <w:p>
            <w:pPr>
              <w:pStyle w:val="10"/>
              <w:rPr>
                <w:color w:val="auto"/>
              </w:rPr>
            </w:pPr>
            <w:r>
              <w:rPr>
                <w:color w:val="auto"/>
              </w:rPr>
              <w:t>7</w:t>
            </w:r>
          </w:p>
        </w:tc>
        <w:tc>
          <w:tcPr>
            <w:tcW w:w="1134" w:type="dxa"/>
            <w:vAlign w:val="center"/>
          </w:tcPr>
          <w:p>
            <w:pPr>
              <w:pStyle w:val="10"/>
              <w:rPr>
                <w:color w:val="auto"/>
              </w:rPr>
            </w:pPr>
            <w:r>
              <w:rPr>
                <w:color w:val="auto"/>
              </w:rPr>
              <w:t>8</w:t>
            </w:r>
          </w:p>
        </w:tc>
        <w:tc>
          <w:tcPr>
            <w:tcW w:w="1134" w:type="dxa"/>
            <w:vAlign w:val="center"/>
          </w:tcPr>
          <w:p>
            <w:pPr>
              <w:pStyle w:val="10"/>
              <w:rPr>
                <w:color w:val="auto"/>
              </w:rPr>
            </w:pPr>
            <w:r>
              <w:rPr>
                <w:color w:val="auto"/>
              </w:rPr>
              <w:t>9</w:t>
            </w:r>
          </w:p>
        </w:tc>
        <w:tc>
          <w:tcPr>
            <w:tcW w:w="1134" w:type="dxa"/>
            <w:vAlign w:val="center"/>
          </w:tcPr>
          <w:p>
            <w:pPr>
              <w:pStyle w:val="10"/>
              <w:rPr>
                <w:color w:val="auto"/>
              </w:rPr>
            </w:pPr>
            <w:r>
              <w:rPr>
                <w:color w:val="auto"/>
              </w:rPr>
              <w:t>10</w:t>
            </w:r>
          </w:p>
        </w:tc>
        <w:tc>
          <w:tcPr>
            <w:tcW w:w="1134" w:type="dxa"/>
            <w:vAlign w:val="center"/>
          </w:tcPr>
          <w:p>
            <w:pPr>
              <w:pStyle w:val="10"/>
              <w:rPr>
                <w:color w:val="auto"/>
              </w:rPr>
            </w:pPr>
            <w:r>
              <w:rPr>
                <w:color w:val="auto"/>
              </w:rPr>
              <w:t>11</w:t>
            </w:r>
          </w:p>
        </w:tc>
        <w:tc>
          <w:tcPr>
            <w:tcW w:w="1134" w:type="dxa"/>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w:t>
            </w:r>
          </w:p>
        </w:tc>
        <w:tc>
          <w:tcPr>
            <w:tcW w:w="992" w:type="dxa"/>
            <w:vAlign w:val="center"/>
          </w:tcPr>
          <w:p>
            <w:pPr>
              <w:pStyle w:val="16"/>
              <w:rPr>
                <w:color w:val="auto"/>
              </w:rPr>
            </w:pPr>
          </w:p>
        </w:tc>
        <w:tc>
          <w:tcPr>
            <w:tcW w:w="1559" w:type="dxa"/>
            <w:vAlign w:val="center"/>
          </w:tcPr>
          <w:p>
            <w:pPr>
              <w:pStyle w:val="14"/>
              <w:rPr>
                <w:color w:val="auto"/>
              </w:rPr>
            </w:pPr>
            <w:r>
              <w:rPr>
                <w:color w:val="auto"/>
              </w:rPr>
              <w:t>合计</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r>
              <w:rPr>
                <w:color w:val="auto"/>
              </w:rPr>
              <w:t>1788.56</w:t>
            </w: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2</w:t>
            </w:r>
          </w:p>
        </w:tc>
        <w:tc>
          <w:tcPr>
            <w:tcW w:w="992" w:type="dxa"/>
            <w:vAlign w:val="center"/>
          </w:tcPr>
          <w:p>
            <w:pPr>
              <w:pStyle w:val="12"/>
              <w:rPr>
                <w:color w:val="auto"/>
              </w:rPr>
            </w:pPr>
            <w:r>
              <w:rPr>
                <w:color w:val="auto"/>
              </w:rPr>
              <w:t>201</w:t>
            </w:r>
          </w:p>
        </w:tc>
        <w:tc>
          <w:tcPr>
            <w:tcW w:w="1559" w:type="dxa"/>
            <w:vAlign w:val="center"/>
          </w:tcPr>
          <w:p>
            <w:pPr>
              <w:pStyle w:val="12"/>
              <w:rPr>
                <w:color w:val="auto"/>
              </w:rPr>
            </w:pPr>
            <w:r>
              <w:rPr>
                <w:color w:val="auto"/>
              </w:rPr>
              <w:t>一般公共服务支出</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3</w:t>
            </w:r>
          </w:p>
        </w:tc>
        <w:tc>
          <w:tcPr>
            <w:tcW w:w="992" w:type="dxa"/>
            <w:vAlign w:val="center"/>
          </w:tcPr>
          <w:p>
            <w:pPr>
              <w:pStyle w:val="12"/>
              <w:rPr>
                <w:color w:val="auto"/>
              </w:rPr>
            </w:pPr>
            <w:r>
              <w:rPr>
                <w:color w:val="auto"/>
              </w:rPr>
              <w:t>20103</w:t>
            </w:r>
          </w:p>
        </w:tc>
        <w:tc>
          <w:tcPr>
            <w:tcW w:w="1559" w:type="dxa"/>
            <w:vAlign w:val="center"/>
          </w:tcPr>
          <w:p>
            <w:pPr>
              <w:pStyle w:val="12"/>
              <w:rPr>
                <w:color w:val="auto"/>
              </w:rPr>
            </w:pPr>
            <w:r>
              <w:rPr>
                <w:color w:val="auto"/>
              </w:rPr>
              <w:t>政府办公厅（室）及相关机构事务</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r>
              <w:rPr>
                <w:color w:val="auto"/>
              </w:rPr>
              <w:t>1652.93</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4</w:t>
            </w:r>
          </w:p>
        </w:tc>
        <w:tc>
          <w:tcPr>
            <w:tcW w:w="992" w:type="dxa"/>
            <w:vAlign w:val="center"/>
          </w:tcPr>
          <w:p>
            <w:pPr>
              <w:pStyle w:val="12"/>
              <w:rPr>
                <w:color w:val="auto"/>
              </w:rPr>
            </w:pPr>
            <w:r>
              <w:rPr>
                <w:color w:val="auto"/>
              </w:rPr>
              <w:t>2010301</w:t>
            </w:r>
          </w:p>
        </w:tc>
        <w:tc>
          <w:tcPr>
            <w:tcW w:w="1559" w:type="dxa"/>
            <w:vAlign w:val="center"/>
          </w:tcPr>
          <w:p>
            <w:pPr>
              <w:pStyle w:val="12"/>
              <w:rPr>
                <w:color w:val="auto"/>
              </w:rPr>
            </w:pPr>
            <w:r>
              <w:rPr>
                <w:color w:val="auto"/>
              </w:rPr>
              <w:t>行政运行</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r>
              <w:rPr>
                <w:color w:val="auto"/>
              </w:rPr>
              <w:t>1458.27</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5</w:t>
            </w:r>
          </w:p>
        </w:tc>
        <w:tc>
          <w:tcPr>
            <w:tcW w:w="992" w:type="dxa"/>
            <w:vAlign w:val="center"/>
          </w:tcPr>
          <w:p>
            <w:pPr>
              <w:pStyle w:val="12"/>
              <w:rPr>
                <w:color w:val="auto"/>
              </w:rPr>
            </w:pPr>
            <w:r>
              <w:rPr>
                <w:color w:val="auto"/>
              </w:rPr>
              <w:t>2010302</w:t>
            </w:r>
          </w:p>
        </w:tc>
        <w:tc>
          <w:tcPr>
            <w:tcW w:w="1559" w:type="dxa"/>
            <w:vAlign w:val="center"/>
          </w:tcPr>
          <w:p>
            <w:pPr>
              <w:pStyle w:val="12"/>
              <w:rPr>
                <w:color w:val="auto"/>
              </w:rPr>
            </w:pPr>
            <w:r>
              <w:rPr>
                <w:color w:val="auto"/>
              </w:rPr>
              <w:t>一般行政管理事务</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r>
              <w:rPr>
                <w:color w:val="auto"/>
              </w:rPr>
              <w:t>194.66</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6</w:t>
            </w:r>
          </w:p>
        </w:tc>
        <w:tc>
          <w:tcPr>
            <w:tcW w:w="992" w:type="dxa"/>
            <w:vAlign w:val="center"/>
          </w:tcPr>
          <w:p>
            <w:pPr>
              <w:pStyle w:val="12"/>
              <w:rPr>
                <w:color w:val="auto"/>
              </w:rPr>
            </w:pPr>
            <w:r>
              <w:rPr>
                <w:color w:val="auto"/>
              </w:rPr>
              <w:t>208</w:t>
            </w:r>
          </w:p>
        </w:tc>
        <w:tc>
          <w:tcPr>
            <w:tcW w:w="1559" w:type="dxa"/>
            <w:vAlign w:val="center"/>
          </w:tcPr>
          <w:p>
            <w:pPr>
              <w:pStyle w:val="12"/>
              <w:rPr>
                <w:color w:val="auto"/>
              </w:rPr>
            </w:pPr>
            <w:r>
              <w:rPr>
                <w:color w:val="auto"/>
              </w:rPr>
              <w:t>社会保障和就业支出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7</w:t>
            </w:r>
          </w:p>
        </w:tc>
        <w:tc>
          <w:tcPr>
            <w:tcW w:w="992" w:type="dxa"/>
            <w:vAlign w:val="center"/>
          </w:tcPr>
          <w:p>
            <w:pPr>
              <w:pStyle w:val="12"/>
              <w:rPr>
                <w:color w:val="auto"/>
              </w:rPr>
            </w:pPr>
            <w:r>
              <w:rPr>
                <w:color w:val="auto"/>
              </w:rPr>
              <w:t>20805</w:t>
            </w:r>
          </w:p>
        </w:tc>
        <w:tc>
          <w:tcPr>
            <w:tcW w:w="1559" w:type="dxa"/>
            <w:vAlign w:val="center"/>
          </w:tcPr>
          <w:p>
            <w:pPr>
              <w:pStyle w:val="12"/>
              <w:rPr>
                <w:color w:val="auto"/>
              </w:rPr>
            </w:pPr>
            <w:r>
              <w:rPr>
                <w:color w:val="auto"/>
              </w:rPr>
              <w:t>行政事业单位养老支出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8</w:t>
            </w:r>
          </w:p>
        </w:tc>
        <w:tc>
          <w:tcPr>
            <w:tcW w:w="992" w:type="dxa"/>
            <w:vAlign w:val="center"/>
          </w:tcPr>
          <w:p>
            <w:pPr>
              <w:pStyle w:val="12"/>
              <w:rPr>
                <w:color w:val="auto"/>
              </w:rPr>
            </w:pPr>
            <w:r>
              <w:rPr>
                <w:color w:val="auto"/>
              </w:rPr>
              <w:t>2080505</w:t>
            </w:r>
          </w:p>
        </w:tc>
        <w:tc>
          <w:tcPr>
            <w:tcW w:w="1559" w:type="dxa"/>
            <w:vAlign w:val="center"/>
          </w:tcPr>
          <w:p>
            <w:pPr>
              <w:pStyle w:val="12"/>
              <w:rPr>
                <w:color w:val="auto"/>
              </w:rPr>
            </w:pPr>
            <w:r>
              <w:rPr>
                <w:color w:val="auto"/>
              </w:rPr>
              <w:t>机关事业单位基本养老保险缴费支出</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r>
              <w:rPr>
                <w:color w:val="auto"/>
              </w:rPr>
              <w:t>45.51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9</w:t>
            </w:r>
          </w:p>
        </w:tc>
        <w:tc>
          <w:tcPr>
            <w:tcW w:w="992" w:type="dxa"/>
            <w:vAlign w:val="center"/>
          </w:tcPr>
          <w:p>
            <w:pPr>
              <w:pStyle w:val="12"/>
              <w:rPr>
                <w:color w:val="auto"/>
              </w:rPr>
            </w:pPr>
            <w:r>
              <w:rPr>
                <w:color w:val="auto"/>
              </w:rPr>
              <w:t>210</w:t>
            </w:r>
          </w:p>
        </w:tc>
        <w:tc>
          <w:tcPr>
            <w:tcW w:w="1559" w:type="dxa"/>
            <w:vAlign w:val="center"/>
          </w:tcPr>
          <w:p>
            <w:pPr>
              <w:pStyle w:val="12"/>
              <w:rPr>
                <w:color w:val="auto"/>
              </w:rPr>
            </w:pPr>
            <w:r>
              <w:rPr>
                <w:color w:val="auto"/>
              </w:rPr>
              <w:t>卫生健康支出</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10</w:t>
            </w:r>
          </w:p>
        </w:tc>
        <w:tc>
          <w:tcPr>
            <w:tcW w:w="992" w:type="dxa"/>
            <w:vAlign w:val="center"/>
          </w:tcPr>
          <w:p>
            <w:pPr>
              <w:pStyle w:val="12"/>
              <w:rPr>
                <w:color w:val="auto"/>
              </w:rPr>
            </w:pPr>
            <w:r>
              <w:rPr>
                <w:color w:val="auto"/>
              </w:rPr>
              <w:t>21011</w:t>
            </w:r>
          </w:p>
        </w:tc>
        <w:tc>
          <w:tcPr>
            <w:tcW w:w="1559" w:type="dxa"/>
            <w:vAlign w:val="center"/>
          </w:tcPr>
          <w:p>
            <w:pPr>
              <w:pStyle w:val="12"/>
              <w:rPr>
                <w:color w:val="auto"/>
              </w:rPr>
            </w:pPr>
            <w:r>
              <w:rPr>
                <w:color w:val="auto"/>
              </w:rPr>
              <w:t>行政事业单位医疗</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r>
              <w:rPr>
                <w:color w:val="auto"/>
              </w:rPr>
              <w:t>54.91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11</w:t>
            </w:r>
          </w:p>
        </w:tc>
        <w:tc>
          <w:tcPr>
            <w:tcW w:w="992" w:type="dxa"/>
            <w:vAlign w:val="center"/>
          </w:tcPr>
          <w:p>
            <w:pPr>
              <w:pStyle w:val="12"/>
              <w:rPr>
                <w:color w:val="auto"/>
              </w:rPr>
            </w:pPr>
            <w:r>
              <w:rPr>
                <w:color w:val="auto"/>
              </w:rPr>
              <w:t>2101101</w:t>
            </w:r>
          </w:p>
        </w:tc>
        <w:tc>
          <w:tcPr>
            <w:tcW w:w="1559" w:type="dxa"/>
            <w:vAlign w:val="center"/>
          </w:tcPr>
          <w:p>
            <w:pPr>
              <w:pStyle w:val="12"/>
              <w:rPr>
                <w:color w:val="auto"/>
              </w:rPr>
            </w:pPr>
            <w:r>
              <w:rPr>
                <w:color w:val="auto"/>
              </w:rPr>
              <w:t>行政单位医疗</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r>
              <w:rPr>
                <w:color w:val="auto"/>
              </w:rPr>
              <w:t>24.36</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12</w:t>
            </w:r>
          </w:p>
        </w:tc>
        <w:tc>
          <w:tcPr>
            <w:tcW w:w="992" w:type="dxa"/>
            <w:vAlign w:val="center"/>
          </w:tcPr>
          <w:p>
            <w:pPr>
              <w:pStyle w:val="12"/>
              <w:rPr>
                <w:color w:val="auto"/>
              </w:rPr>
            </w:pPr>
            <w:r>
              <w:rPr>
                <w:color w:val="auto"/>
              </w:rPr>
              <w:t>2101103</w:t>
            </w:r>
          </w:p>
        </w:tc>
        <w:tc>
          <w:tcPr>
            <w:tcW w:w="1559" w:type="dxa"/>
            <w:vAlign w:val="center"/>
          </w:tcPr>
          <w:p>
            <w:pPr>
              <w:pStyle w:val="12"/>
              <w:rPr>
                <w:color w:val="auto"/>
              </w:rPr>
            </w:pPr>
            <w:r>
              <w:rPr>
                <w:color w:val="auto"/>
              </w:rPr>
              <w:t>公务员医疗补助</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r>
              <w:rPr>
                <w:color w:val="auto"/>
              </w:rPr>
              <w:t>30.55</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13</w:t>
            </w:r>
          </w:p>
        </w:tc>
        <w:tc>
          <w:tcPr>
            <w:tcW w:w="992" w:type="dxa"/>
            <w:vAlign w:val="center"/>
          </w:tcPr>
          <w:p>
            <w:pPr>
              <w:pStyle w:val="12"/>
              <w:rPr>
                <w:color w:val="auto"/>
              </w:rPr>
            </w:pPr>
            <w:r>
              <w:rPr>
                <w:color w:val="auto"/>
              </w:rPr>
              <w:t>221</w:t>
            </w:r>
          </w:p>
        </w:tc>
        <w:tc>
          <w:tcPr>
            <w:tcW w:w="1559" w:type="dxa"/>
            <w:vAlign w:val="center"/>
          </w:tcPr>
          <w:p>
            <w:pPr>
              <w:pStyle w:val="12"/>
              <w:rPr>
                <w:color w:val="auto"/>
              </w:rPr>
            </w:pPr>
            <w:r>
              <w:rPr>
                <w:color w:val="auto"/>
              </w:rPr>
              <w:t>住房保障支出</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14</w:t>
            </w:r>
          </w:p>
        </w:tc>
        <w:tc>
          <w:tcPr>
            <w:tcW w:w="992" w:type="dxa"/>
            <w:vAlign w:val="center"/>
          </w:tcPr>
          <w:p>
            <w:pPr>
              <w:pStyle w:val="12"/>
              <w:rPr>
                <w:color w:val="auto"/>
              </w:rPr>
            </w:pPr>
            <w:r>
              <w:rPr>
                <w:color w:val="auto"/>
              </w:rPr>
              <w:t>22102</w:t>
            </w:r>
          </w:p>
        </w:tc>
        <w:tc>
          <w:tcPr>
            <w:tcW w:w="1559" w:type="dxa"/>
            <w:vAlign w:val="center"/>
          </w:tcPr>
          <w:p>
            <w:pPr>
              <w:pStyle w:val="12"/>
              <w:rPr>
                <w:color w:val="auto"/>
              </w:rPr>
            </w:pPr>
            <w:r>
              <w:rPr>
                <w:color w:val="auto"/>
              </w:rPr>
              <w:t>住房改革支出</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15</w:t>
            </w:r>
          </w:p>
        </w:tc>
        <w:tc>
          <w:tcPr>
            <w:tcW w:w="992" w:type="dxa"/>
            <w:vAlign w:val="center"/>
          </w:tcPr>
          <w:p>
            <w:pPr>
              <w:pStyle w:val="12"/>
              <w:rPr>
                <w:color w:val="auto"/>
              </w:rPr>
            </w:pPr>
            <w:r>
              <w:rPr>
                <w:color w:val="auto"/>
              </w:rPr>
              <w:t>2210201</w:t>
            </w:r>
          </w:p>
        </w:tc>
        <w:tc>
          <w:tcPr>
            <w:tcW w:w="1559" w:type="dxa"/>
            <w:vAlign w:val="center"/>
          </w:tcPr>
          <w:p>
            <w:pPr>
              <w:pStyle w:val="12"/>
              <w:rPr>
                <w:color w:val="auto"/>
              </w:rPr>
            </w:pPr>
            <w:r>
              <w:rPr>
                <w:color w:val="auto"/>
              </w:rPr>
              <w:t>住房公积金</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r>
              <w:rPr>
                <w:color w:val="auto"/>
              </w:rPr>
              <w:t>35.21</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2" w:name="_Toc109"/>
      <w:r>
        <w:rPr>
          <w:rFonts w:ascii="方正小标宋_GBK" w:hAnsi="方正小标宋_GBK" w:eastAsia="方正小标宋_GBK" w:cs="方正小标宋_GBK"/>
          <w:color w:val="auto"/>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721"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528" w:type="dxa"/>
            <w:gridSpan w:val="2"/>
            <w:vAlign w:val="center"/>
          </w:tcPr>
          <w:p>
            <w:pPr>
              <w:pStyle w:val="10"/>
              <w:rPr>
                <w:color w:val="auto"/>
              </w:rPr>
            </w:pPr>
            <w:r>
              <w:rPr>
                <w:color w:val="auto"/>
              </w:rPr>
              <w:t>功能分类科目</w:t>
            </w:r>
          </w:p>
        </w:tc>
        <w:tc>
          <w:tcPr>
            <w:tcW w:w="1361" w:type="dxa"/>
            <w:vMerge w:val="restart"/>
            <w:vAlign w:val="center"/>
          </w:tcPr>
          <w:p>
            <w:pPr>
              <w:pStyle w:val="10"/>
              <w:rPr>
                <w:color w:val="auto"/>
              </w:rPr>
            </w:pPr>
            <w:r>
              <w:rPr>
                <w:color w:val="auto"/>
              </w:rPr>
              <w:t>合计</w:t>
            </w:r>
          </w:p>
        </w:tc>
        <w:tc>
          <w:tcPr>
            <w:tcW w:w="1361" w:type="dxa"/>
            <w:vMerge w:val="restart"/>
            <w:vAlign w:val="center"/>
          </w:tcPr>
          <w:p>
            <w:pPr>
              <w:pStyle w:val="10"/>
              <w:rPr>
                <w:color w:val="auto"/>
              </w:rPr>
            </w:pPr>
            <w:r>
              <w:rPr>
                <w:color w:val="auto"/>
              </w:rPr>
              <w:t>基本支出</w:t>
            </w:r>
          </w:p>
        </w:tc>
        <w:tc>
          <w:tcPr>
            <w:tcW w:w="1361" w:type="dxa"/>
            <w:vMerge w:val="restart"/>
            <w:vAlign w:val="center"/>
          </w:tcPr>
          <w:p>
            <w:pPr>
              <w:pStyle w:val="10"/>
              <w:rPr>
                <w:color w:val="auto"/>
              </w:rPr>
            </w:pPr>
            <w:r>
              <w:rPr>
                <w:color w:val="auto"/>
              </w:rPr>
              <w:t>项目支出</w:t>
            </w:r>
          </w:p>
        </w:tc>
        <w:tc>
          <w:tcPr>
            <w:tcW w:w="1361" w:type="dxa"/>
            <w:vMerge w:val="restart"/>
            <w:vAlign w:val="center"/>
          </w:tcPr>
          <w:p>
            <w:pPr>
              <w:pStyle w:val="10"/>
              <w:rPr>
                <w:color w:val="auto"/>
              </w:rPr>
            </w:pPr>
            <w:r>
              <w:rPr>
                <w:color w:val="auto"/>
              </w:rPr>
              <w:t>经营支出</w:t>
            </w:r>
          </w:p>
        </w:tc>
        <w:tc>
          <w:tcPr>
            <w:tcW w:w="1361" w:type="dxa"/>
            <w:vMerge w:val="restart"/>
            <w:vAlign w:val="center"/>
          </w:tcPr>
          <w:p>
            <w:pPr>
              <w:pStyle w:val="10"/>
              <w:rPr>
                <w:color w:val="auto"/>
              </w:rPr>
            </w:pPr>
            <w:r>
              <w:rPr>
                <w:color w:val="auto"/>
              </w:rPr>
              <w:t>上解上级     支出</w:t>
            </w:r>
          </w:p>
        </w:tc>
        <w:tc>
          <w:tcPr>
            <w:tcW w:w="1361" w:type="dxa"/>
            <w:vMerge w:val="restart"/>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0"/>
              <w:rPr>
                <w:color w:val="auto"/>
              </w:rPr>
            </w:pPr>
            <w:r>
              <w:rPr>
                <w:color w:val="auto"/>
              </w:rPr>
              <w:t>科目    编码</w:t>
            </w:r>
          </w:p>
        </w:tc>
        <w:tc>
          <w:tcPr>
            <w:tcW w:w="4535" w:type="dxa"/>
            <w:vAlign w:val="center"/>
          </w:tcPr>
          <w:p>
            <w:pPr>
              <w:pStyle w:val="10"/>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1361" w:type="dxa"/>
            <w:vAlign w:val="center"/>
          </w:tcPr>
          <w:p>
            <w:pPr>
              <w:pStyle w:val="10"/>
              <w:rPr>
                <w:color w:val="auto"/>
              </w:rPr>
            </w:pPr>
            <w:r>
              <w:rPr>
                <w:color w:val="auto"/>
              </w:rPr>
              <w:t>3</w:t>
            </w:r>
          </w:p>
        </w:tc>
        <w:tc>
          <w:tcPr>
            <w:tcW w:w="1361" w:type="dxa"/>
            <w:vAlign w:val="center"/>
          </w:tcPr>
          <w:p>
            <w:pPr>
              <w:pStyle w:val="10"/>
              <w:rPr>
                <w:color w:val="auto"/>
              </w:rPr>
            </w:pPr>
            <w:r>
              <w:rPr>
                <w:color w:val="auto"/>
              </w:rPr>
              <w:t>4</w:t>
            </w:r>
          </w:p>
        </w:tc>
        <w:tc>
          <w:tcPr>
            <w:tcW w:w="1361" w:type="dxa"/>
            <w:vAlign w:val="center"/>
          </w:tcPr>
          <w:p>
            <w:pPr>
              <w:pStyle w:val="10"/>
              <w:rPr>
                <w:color w:val="auto"/>
              </w:rPr>
            </w:pPr>
            <w:r>
              <w:rPr>
                <w:color w:val="auto"/>
              </w:rPr>
              <w:t>5</w:t>
            </w:r>
          </w:p>
        </w:tc>
        <w:tc>
          <w:tcPr>
            <w:tcW w:w="1361" w:type="dxa"/>
            <w:vAlign w:val="center"/>
          </w:tcPr>
          <w:p>
            <w:pPr>
              <w:pStyle w:val="10"/>
              <w:rPr>
                <w:color w:val="auto"/>
              </w:rPr>
            </w:pPr>
            <w:r>
              <w:rPr>
                <w:color w:val="auto"/>
              </w:rPr>
              <w:t>6</w:t>
            </w:r>
          </w:p>
        </w:tc>
        <w:tc>
          <w:tcPr>
            <w:tcW w:w="1361" w:type="dxa"/>
            <w:vAlign w:val="center"/>
          </w:tcPr>
          <w:p>
            <w:pPr>
              <w:pStyle w:val="10"/>
              <w:rPr>
                <w:color w:val="auto"/>
              </w:rPr>
            </w:pPr>
            <w:r>
              <w:rPr>
                <w:color w:val="auto"/>
              </w:rPr>
              <w:t>7</w:t>
            </w:r>
          </w:p>
        </w:tc>
        <w:tc>
          <w:tcPr>
            <w:tcW w:w="1361" w:type="dxa"/>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992" w:type="dxa"/>
            <w:vAlign w:val="center"/>
          </w:tcPr>
          <w:p>
            <w:pPr>
              <w:pStyle w:val="16"/>
              <w:rPr>
                <w:color w:val="auto"/>
              </w:rPr>
            </w:pPr>
          </w:p>
        </w:tc>
        <w:tc>
          <w:tcPr>
            <w:tcW w:w="4535" w:type="dxa"/>
            <w:vAlign w:val="center"/>
          </w:tcPr>
          <w:p>
            <w:pPr>
              <w:pStyle w:val="14"/>
              <w:rPr>
                <w:color w:val="auto"/>
              </w:rPr>
            </w:pPr>
            <w:r>
              <w:rPr>
                <w:color w:val="auto"/>
              </w:rPr>
              <w:t>合计</w:t>
            </w:r>
          </w:p>
        </w:tc>
        <w:tc>
          <w:tcPr>
            <w:tcW w:w="1361" w:type="dxa"/>
            <w:vAlign w:val="center"/>
          </w:tcPr>
          <w:p>
            <w:pPr>
              <w:pStyle w:val="15"/>
              <w:rPr>
                <w:color w:val="auto"/>
              </w:rPr>
            </w:pPr>
            <w:r>
              <w:rPr>
                <w:color w:val="auto"/>
              </w:rPr>
              <w:t>1788.56</w:t>
            </w:r>
          </w:p>
        </w:tc>
        <w:tc>
          <w:tcPr>
            <w:tcW w:w="1361" w:type="dxa"/>
            <w:vAlign w:val="center"/>
          </w:tcPr>
          <w:p>
            <w:pPr>
              <w:pStyle w:val="15"/>
              <w:rPr>
                <w:color w:val="auto"/>
              </w:rPr>
            </w:pPr>
            <w:r>
              <w:rPr>
                <w:color w:val="auto"/>
              </w:rPr>
              <w:t>1593.90</w:t>
            </w:r>
          </w:p>
        </w:tc>
        <w:tc>
          <w:tcPr>
            <w:tcW w:w="1361" w:type="dxa"/>
            <w:vAlign w:val="center"/>
          </w:tcPr>
          <w:p>
            <w:pPr>
              <w:pStyle w:val="15"/>
              <w:rPr>
                <w:color w:val="auto"/>
              </w:rPr>
            </w:pPr>
            <w:r>
              <w:rPr>
                <w:color w:val="auto"/>
              </w:rPr>
              <w:t>194.66</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992" w:type="dxa"/>
            <w:vAlign w:val="center"/>
          </w:tcPr>
          <w:p>
            <w:pPr>
              <w:pStyle w:val="12"/>
              <w:rPr>
                <w:color w:val="auto"/>
              </w:rPr>
            </w:pPr>
            <w:r>
              <w:rPr>
                <w:color w:val="auto"/>
              </w:rPr>
              <w:t>201</w:t>
            </w:r>
          </w:p>
        </w:tc>
        <w:tc>
          <w:tcPr>
            <w:tcW w:w="4535" w:type="dxa"/>
            <w:vAlign w:val="center"/>
          </w:tcPr>
          <w:p>
            <w:pPr>
              <w:pStyle w:val="12"/>
              <w:rPr>
                <w:color w:val="auto"/>
              </w:rPr>
            </w:pPr>
            <w:r>
              <w:rPr>
                <w:color w:val="auto"/>
              </w:rPr>
              <w:t>一般公共服务支出</w:t>
            </w:r>
          </w:p>
        </w:tc>
        <w:tc>
          <w:tcPr>
            <w:tcW w:w="1361" w:type="dxa"/>
            <w:vAlign w:val="center"/>
          </w:tcPr>
          <w:p>
            <w:pPr>
              <w:pStyle w:val="11"/>
              <w:rPr>
                <w:color w:val="auto"/>
              </w:rPr>
            </w:pPr>
            <w:r>
              <w:rPr>
                <w:color w:val="auto"/>
              </w:rPr>
              <w:t>1652.93</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992" w:type="dxa"/>
            <w:vAlign w:val="center"/>
          </w:tcPr>
          <w:p>
            <w:pPr>
              <w:pStyle w:val="12"/>
              <w:rPr>
                <w:color w:val="auto"/>
              </w:rPr>
            </w:pPr>
            <w:r>
              <w:rPr>
                <w:color w:val="auto"/>
              </w:rPr>
              <w:t>20103</w:t>
            </w:r>
          </w:p>
        </w:tc>
        <w:tc>
          <w:tcPr>
            <w:tcW w:w="4535" w:type="dxa"/>
            <w:vAlign w:val="center"/>
          </w:tcPr>
          <w:p>
            <w:pPr>
              <w:pStyle w:val="12"/>
              <w:rPr>
                <w:color w:val="auto"/>
              </w:rPr>
            </w:pPr>
            <w:r>
              <w:rPr>
                <w:color w:val="auto"/>
              </w:rPr>
              <w:t>政府办公厅（室）及相关机构事务</w:t>
            </w:r>
          </w:p>
        </w:tc>
        <w:tc>
          <w:tcPr>
            <w:tcW w:w="1361" w:type="dxa"/>
            <w:vAlign w:val="center"/>
          </w:tcPr>
          <w:p>
            <w:pPr>
              <w:pStyle w:val="11"/>
              <w:rPr>
                <w:color w:val="auto"/>
              </w:rPr>
            </w:pPr>
            <w:r>
              <w:rPr>
                <w:color w:val="auto"/>
              </w:rPr>
              <w:t>1652.93</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992" w:type="dxa"/>
            <w:vAlign w:val="center"/>
          </w:tcPr>
          <w:p>
            <w:pPr>
              <w:pStyle w:val="12"/>
              <w:rPr>
                <w:color w:val="auto"/>
              </w:rPr>
            </w:pPr>
            <w:r>
              <w:rPr>
                <w:color w:val="auto"/>
              </w:rPr>
              <w:t>2010301</w:t>
            </w:r>
          </w:p>
        </w:tc>
        <w:tc>
          <w:tcPr>
            <w:tcW w:w="4535" w:type="dxa"/>
            <w:vAlign w:val="center"/>
          </w:tcPr>
          <w:p>
            <w:pPr>
              <w:pStyle w:val="12"/>
              <w:rPr>
                <w:color w:val="auto"/>
              </w:rPr>
            </w:pPr>
            <w:r>
              <w:rPr>
                <w:color w:val="auto"/>
              </w:rPr>
              <w:t>行政运行</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r>
              <w:rPr>
                <w:color w:val="auto"/>
              </w:rPr>
              <w:t>1458.27</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992" w:type="dxa"/>
            <w:vAlign w:val="center"/>
          </w:tcPr>
          <w:p>
            <w:pPr>
              <w:pStyle w:val="12"/>
              <w:rPr>
                <w:color w:val="auto"/>
              </w:rPr>
            </w:pPr>
            <w:r>
              <w:rPr>
                <w:color w:val="auto"/>
              </w:rPr>
              <w:t>2010302</w:t>
            </w:r>
          </w:p>
        </w:tc>
        <w:tc>
          <w:tcPr>
            <w:tcW w:w="4535" w:type="dxa"/>
            <w:vAlign w:val="center"/>
          </w:tcPr>
          <w:p>
            <w:pPr>
              <w:pStyle w:val="12"/>
              <w:rPr>
                <w:color w:val="auto"/>
              </w:rPr>
            </w:pPr>
            <w:r>
              <w:rPr>
                <w:color w:val="auto"/>
              </w:rPr>
              <w:t>一般行政管理事务</w:t>
            </w: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r>
              <w:rPr>
                <w:color w:val="auto"/>
              </w:rPr>
              <w:t>194.66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992" w:type="dxa"/>
            <w:vAlign w:val="center"/>
          </w:tcPr>
          <w:p>
            <w:pPr>
              <w:pStyle w:val="12"/>
              <w:rPr>
                <w:color w:val="auto"/>
              </w:rPr>
            </w:pPr>
            <w:r>
              <w:rPr>
                <w:color w:val="auto"/>
              </w:rPr>
              <w:t>208</w:t>
            </w:r>
          </w:p>
        </w:tc>
        <w:tc>
          <w:tcPr>
            <w:tcW w:w="4535" w:type="dxa"/>
            <w:vAlign w:val="center"/>
          </w:tcPr>
          <w:p>
            <w:pPr>
              <w:pStyle w:val="12"/>
              <w:rPr>
                <w:color w:val="auto"/>
              </w:rPr>
            </w:pPr>
            <w:r>
              <w:rPr>
                <w:color w:val="auto"/>
              </w:rPr>
              <w:t>社会保障和就业支出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992" w:type="dxa"/>
            <w:vAlign w:val="center"/>
          </w:tcPr>
          <w:p>
            <w:pPr>
              <w:pStyle w:val="12"/>
              <w:rPr>
                <w:color w:val="auto"/>
              </w:rPr>
            </w:pPr>
            <w:r>
              <w:rPr>
                <w:color w:val="auto"/>
              </w:rPr>
              <w:t>20805</w:t>
            </w:r>
          </w:p>
        </w:tc>
        <w:tc>
          <w:tcPr>
            <w:tcW w:w="4535" w:type="dxa"/>
            <w:vAlign w:val="center"/>
          </w:tcPr>
          <w:p>
            <w:pPr>
              <w:pStyle w:val="12"/>
              <w:rPr>
                <w:color w:val="auto"/>
              </w:rPr>
            </w:pPr>
            <w:r>
              <w:rPr>
                <w:color w:val="auto"/>
              </w:rPr>
              <w:t>行政事业单位养老支出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992" w:type="dxa"/>
            <w:vAlign w:val="center"/>
          </w:tcPr>
          <w:p>
            <w:pPr>
              <w:pStyle w:val="12"/>
              <w:rPr>
                <w:color w:val="auto"/>
              </w:rPr>
            </w:pPr>
            <w:r>
              <w:rPr>
                <w:color w:val="auto"/>
              </w:rPr>
              <w:t>2080505</w:t>
            </w:r>
          </w:p>
        </w:tc>
        <w:tc>
          <w:tcPr>
            <w:tcW w:w="4535" w:type="dxa"/>
            <w:vAlign w:val="center"/>
          </w:tcPr>
          <w:p>
            <w:pPr>
              <w:pStyle w:val="12"/>
              <w:rPr>
                <w:color w:val="auto"/>
              </w:rPr>
            </w:pPr>
            <w:r>
              <w:rPr>
                <w:color w:val="auto"/>
              </w:rPr>
              <w:t>机关事业单位基本养老保险缴费支出</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r>
              <w:rPr>
                <w:color w:val="auto"/>
              </w:rPr>
              <w:t>45.51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992" w:type="dxa"/>
            <w:vAlign w:val="center"/>
          </w:tcPr>
          <w:p>
            <w:pPr>
              <w:pStyle w:val="12"/>
              <w:rPr>
                <w:color w:val="auto"/>
              </w:rPr>
            </w:pPr>
            <w:r>
              <w:rPr>
                <w:color w:val="auto"/>
              </w:rPr>
              <w:t>210</w:t>
            </w:r>
          </w:p>
        </w:tc>
        <w:tc>
          <w:tcPr>
            <w:tcW w:w="4535" w:type="dxa"/>
            <w:vAlign w:val="center"/>
          </w:tcPr>
          <w:p>
            <w:pPr>
              <w:pStyle w:val="12"/>
              <w:rPr>
                <w:color w:val="auto"/>
              </w:rPr>
            </w:pPr>
            <w:r>
              <w:rPr>
                <w:color w:val="auto"/>
              </w:rPr>
              <w:t>卫生健康支出</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992" w:type="dxa"/>
            <w:vAlign w:val="center"/>
          </w:tcPr>
          <w:p>
            <w:pPr>
              <w:pStyle w:val="12"/>
              <w:rPr>
                <w:color w:val="auto"/>
              </w:rPr>
            </w:pPr>
            <w:r>
              <w:rPr>
                <w:color w:val="auto"/>
              </w:rPr>
              <w:t>21011</w:t>
            </w:r>
          </w:p>
        </w:tc>
        <w:tc>
          <w:tcPr>
            <w:tcW w:w="4535" w:type="dxa"/>
            <w:vAlign w:val="center"/>
          </w:tcPr>
          <w:p>
            <w:pPr>
              <w:pStyle w:val="12"/>
              <w:rPr>
                <w:color w:val="auto"/>
              </w:rPr>
            </w:pPr>
            <w:r>
              <w:rPr>
                <w:color w:val="auto"/>
              </w:rPr>
              <w:t>行政事业单位医疗</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r>
              <w:rPr>
                <w:color w:val="auto"/>
              </w:rPr>
              <w:t>54.91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992" w:type="dxa"/>
            <w:vAlign w:val="center"/>
          </w:tcPr>
          <w:p>
            <w:pPr>
              <w:pStyle w:val="12"/>
              <w:rPr>
                <w:color w:val="auto"/>
              </w:rPr>
            </w:pPr>
            <w:r>
              <w:rPr>
                <w:color w:val="auto"/>
              </w:rPr>
              <w:t>2101101</w:t>
            </w:r>
          </w:p>
        </w:tc>
        <w:tc>
          <w:tcPr>
            <w:tcW w:w="4535" w:type="dxa"/>
            <w:vAlign w:val="center"/>
          </w:tcPr>
          <w:p>
            <w:pPr>
              <w:pStyle w:val="12"/>
              <w:rPr>
                <w:color w:val="auto"/>
              </w:rPr>
            </w:pPr>
            <w:r>
              <w:rPr>
                <w:color w:val="auto"/>
              </w:rPr>
              <w:t>行政单位医疗</w:t>
            </w:r>
          </w:p>
        </w:tc>
        <w:tc>
          <w:tcPr>
            <w:tcW w:w="1361" w:type="dxa"/>
            <w:vAlign w:val="center"/>
          </w:tcPr>
          <w:p>
            <w:pPr>
              <w:pStyle w:val="11"/>
              <w:rPr>
                <w:color w:val="auto"/>
              </w:rPr>
            </w:pPr>
            <w:r>
              <w:rPr>
                <w:color w:val="auto"/>
              </w:rPr>
              <w:t>24.36</w:t>
            </w:r>
          </w:p>
        </w:tc>
        <w:tc>
          <w:tcPr>
            <w:tcW w:w="1361" w:type="dxa"/>
            <w:vAlign w:val="center"/>
          </w:tcPr>
          <w:p>
            <w:pPr>
              <w:pStyle w:val="11"/>
              <w:rPr>
                <w:color w:val="auto"/>
              </w:rPr>
            </w:pPr>
            <w:r>
              <w:rPr>
                <w:color w:val="auto"/>
              </w:rPr>
              <w:t>24.36</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992" w:type="dxa"/>
            <w:vAlign w:val="center"/>
          </w:tcPr>
          <w:p>
            <w:pPr>
              <w:pStyle w:val="12"/>
              <w:rPr>
                <w:color w:val="auto"/>
              </w:rPr>
            </w:pPr>
            <w:r>
              <w:rPr>
                <w:color w:val="auto"/>
              </w:rPr>
              <w:t>2101103</w:t>
            </w:r>
          </w:p>
        </w:tc>
        <w:tc>
          <w:tcPr>
            <w:tcW w:w="4535" w:type="dxa"/>
            <w:vAlign w:val="center"/>
          </w:tcPr>
          <w:p>
            <w:pPr>
              <w:pStyle w:val="12"/>
              <w:rPr>
                <w:color w:val="auto"/>
              </w:rPr>
            </w:pPr>
            <w:r>
              <w:rPr>
                <w:color w:val="auto"/>
              </w:rPr>
              <w:t>公务员医疗补助</w:t>
            </w:r>
          </w:p>
        </w:tc>
        <w:tc>
          <w:tcPr>
            <w:tcW w:w="1361" w:type="dxa"/>
            <w:vAlign w:val="center"/>
          </w:tcPr>
          <w:p>
            <w:pPr>
              <w:pStyle w:val="11"/>
              <w:rPr>
                <w:color w:val="auto"/>
              </w:rPr>
            </w:pPr>
            <w:r>
              <w:rPr>
                <w:color w:val="auto"/>
              </w:rPr>
              <w:t>30.55</w:t>
            </w:r>
          </w:p>
        </w:tc>
        <w:tc>
          <w:tcPr>
            <w:tcW w:w="1361" w:type="dxa"/>
            <w:vAlign w:val="center"/>
          </w:tcPr>
          <w:p>
            <w:pPr>
              <w:pStyle w:val="11"/>
              <w:rPr>
                <w:color w:val="auto"/>
              </w:rPr>
            </w:pPr>
            <w:r>
              <w:rPr>
                <w:color w:val="auto"/>
              </w:rPr>
              <w:t>30.55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992" w:type="dxa"/>
            <w:vAlign w:val="center"/>
          </w:tcPr>
          <w:p>
            <w:pPr>
              <w:pStyle w:val="12"/>
              <w:rPr>
                <w:color w:val="auto"/>
              </w:rPr>
            </w:pPr>
            <w:r>
              <w:rPr>
                <w:color w:val="auto"/>
              </w:rPr>
              <w:t>221</w:t>
            </w:r>
          </w:p>
        </w:tc>
        <w:tc>
          <w:tcPr>
            <w:tcW w:w="4535" w:type="dxa"/>
            <w:vAlign w:val="center"/>
          </w:tcPr>
          <w:p>
            <w:pPr>
              <w:pStyle w:val="12"/>
              <w:rPr>
                <w:color w:val="auto"/>
              </w:rPr>
            </w:pPr>
            <w:r>
              <w:rPr>
                <w:color w:val="auto"/>
              </w:rPr>
              <w:t>住房保障支出</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992" w:type="dxa"/>
            <w:vAlign w:val="center"/>
          </w:tcPr>
          <w:p>
            <w:pPr>
              <w:pStyle w:val="12"/>
              <w:rPr>
                <w:color w:val="auto"/>
              </w:rPr>
            </w:pPr>
            <w:r>
              <w:rPr>
                <w:color w:val="auto"/>
              </w:rPr>
              <w:t>22102</w:t>
            </w:r>
          </w:p>
        </w:tc>
        <w:tc>
          <w:tcPr>
            <w:tcW w:w="4535" w:type="dxa"/>
            <w:vAlign w:val="center"/>
          </w:tcPr>
          <w:p>
            <w:pPr>
              <w:pStyle w:val="12"/>
              <w:rPr>
                <w:color w:val="auto"/>
              </w:rPr>
            </w:pPr>
            <w:r>
              <w:rPr>
                <w:color w:val="auto"/>
              </w:rPr>
              <w:t>住房改革支出</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992" w:type="dxa"/>
            <w:vAlign w:val="center"/>
          </w:tcPr>
          <w:p>
            <w:pPr>
              <w:pStyle w:val="12"/>
              <w:rPr>
                <w:color w:val="auto"/>
              </w:rPr>
            </w:pPr>
            <w:r>
              <w:rPr>
                <w:color w:val="auto"/>
              </w:rPr>
              <w:t>2210201</w:t>
            </w:r>
          </w:p>
        </w:tc>
        <w:tc>
          <w:tcPr>
            <w:tcW w:w="4535" w:type="dxa"/>
            <w:vAlign w:val="center"/>
          </w:tcPr>
          <w:p>
            <w:pPr>
              <w:pStyle w:val="12"/>
              <w:rPr>
                <w:color w:val="auto"/>
              </w:rPr>
            </w:pPr>
            <w:r>
              <w:rPr>
                <w:color w:val="auto"/>
              </w:rPr>
              <w:t>住房公积金</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r>
              <w:rPr>
                <w:color w:val="auto"/>
              </w:rPr>
              <w:t>35.21</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3" w:name="_Toc12705"/>
      <w:r>
        <w:rPr>
          <w:rFonts w:ascii="方正小标宋_GBK" w:hAnsi="方正小标宋_GBK" w:eastAsia="方正小标宋_GBK" w:cs="方正小标宋_GBK"/>
          <w:color w:val="auto"/>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3402"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4876" w:type="dxa"/>
            <w:gridSpan w:val="2"/>
            <w:vAlign w:val="center"/>
          </w:tcPr>
          <w:p>
            <w:pPr>
              <w:pStyle w:val="10"/>
              <w:rPr>
                <w:color w:val="auto"/>
              </w:rPr>
            </w:pPr>
            <w:r>
              <w:rPr>
                <w:color w:val="auto"/>
              </w:rPr>
              <w:t>收入</w:t>
            </w:r>
          </w:p>
        </w:tc>
        <w:tc>
          <w:tcPr>
            <w:tcW w:w="9298" w:type="dxa"/>
            <w:gridSpan w:val="5"/>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金额</w:t>
            </w: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合计</w:t>
            </w:r>
          </w:p>
        </w:tc>
        <w:tc>
          <w:tcPr>
            <w:tcW w:w="1474" w:type="dxa"/>
            <w:vAlign w:val="center"/>
          </w:tcPr>
          <w:p>
            <w:pPr>
              <w:pStyle w:val="10"/>
              <w:rPr>
                <w:color w:val="auto"/>
              </w:rPr>
            </w:pPr>
            <w:r>
              <w:rPr>
                <w:color w:val="auto"/>
              </w:rPr>
              <w:t>一般公共预算财政拨款</w:t>
            </w:r>
          </w:p>
        </w:tc>
        <w:tc>
          <w:tcPr>
            <w:tcW w:w="1474" w:type="dxa"/>
            <w:vAlign w:val="center"/>
          </w:tcPr>
          <w:p>
            <w:pPr>
              <w:pStyle w:val="10"/>
              <w:rPr>
                <w:color w:val="auto"/>
              </w:rPr>
            </w:pPr>
            <w:r>
              <w:rPr>
                <w:color w:val="auto"/>
              </w:rPr>
              <w:t>政府性基金预算财政    拨款</w:t>
            </w:r>
          </w:p>
        </w:tc>
        <w:tc>
          <w:tcPr>
            <w:tcW w:w="1474" w:type="dxa"/>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3402" w:type="dxa"/>
            <w:vAlign w:val="center"/>
          </w:tcPr>
          <w:p>
            <w:pPr>
              <w:pStyle w:val="10"/>
              <w:rPr>
                <w:color w:val="auto"/>
              </w:rPr>
            </w:pPr>
            <w:r>
              <w:rPr>
                <w:color w:val="auto"/>
              </w:rPr>
              <w:t>1</w:t>
            </w:r>
          </w:p>
        </w:tc>
        <w:tc>
          <w:tcPr>
            <w:tcW w:w="1474" w:type="dxa"/>
            <w:vAlign w:val="center"/>
          </w:tcPr>
          <w:p>
            <w:pPr>
              <w:pStyle w:val="10"/>
              <w:rPr>
                <w:color w:val="auto"/>
              </w:rPr>
            </w:pPr>
            <w:r>
              <w:rPr>
                <w:color w:val="auto"/>
              </w:rPr>
              <w:t>2</w:t>
            </w:r>
          </w:p>
        </w:tc>
        <w:tc>
          <w:tcPr>
            <w:tcW w:w="3402" w:type="dxa"/>
            <w:vAlign w:val="center"/>
          </w:tcPr>
          <w:p>
            <w:pPr>
              <w:pStyle w:val="10"/>
              <w:rPr>
                <w:color w:val="auto"/>
              </w:rPr>
            </w:pPr>
            <w:r>
              <w:rPr>
                <w:color w:val="auto"/>
              </w:rPr>
              <w:t>3</w:t>
            </w:r>
          </w:p>
        </w:tc>
        <w:tc>
          <w:tcPr>
            <w:tcW w:w="1474" w:type="dxa"/>
            <w:vAlign w:val="center"/>
          </w:tcPr>
          <w:p>
            <w:pPr>
              <w:pStyle w:val="10"/>
              <w:rPr>
                <w:color w:val="auto"/>
              </w:rPr>
            </w:pPr>
            <w:r>
              <w:rPr>
                <w:color w:val="auto"/>
              </w:rPr>
              <w:t>4</w:t>
            </w:r>
          </w:p>
        </w:tc>
        <w:tc>
          <w:tcPr>
            <w:tcW w:w="1474" w:type="dxa"/>
            <w:vAlign w:val="center"/>
          </w:tcPr>
          <w:p>
            <w:pPr>
              <w:pStyle w:val="10"/>
              <w:rPr>
                <w:color w:val="auto"/>
              </w:rPr>
            </w:pPr>
            <w:r>
              <w:rPr>
                <w:color w:val="auto"/>
              </w:rPr>
              <w:t>5</w:t>
            </w:r>
          </w:p>
        </w:tc>
        <w:tc>
          <w:tcPr>
            <w:tcW w:w="1474" w:type="dxa"/>
            <w:vAlign w:val="center"/>
          </w:tcPr>
          <w:p>
            <w:pPr>
              <w:pStyle w:val="10"/>
              <w:rPr>
                <w:color w:val="auto"/>
              </w:rPr>
            </w:pPr>
            <w:r>
              <w:rPr>
                <w:color w:val="auto"/>
              </w:rPr>
              <w:t>6</w:t>
            </w:r>
          </w:p>
        </w:tc>
        <w:tc>
          <w:tcPr>
            <w:tcW w:w="1474" w:type="dxa"/>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1788.56</w:t>
            </w:r>
          </w:p>
        </w:tc>
        <w:tc>
          <w:tcPr>
            <w:tcW w:w="3402" w:type="dxa"/>
            <w:vAlign w:val="center"/>
          </w:tcPr>
          <w:p>
            <w:pPr>
              <w:pStyle w:val="12"/>
              <w:rPr>
                <w:color w:val="auto"/>
              </w:rPr>
            </w:pPr>
            <w:r>
              <w:rPr>
                <w:color w:val="auto"/>
              </w:rPr>
              <w:t>一、一般公共服务支出</w:t>
            </w:r>
          </w:p>
        </w:tc>
        <w:tc>
          <w:tcPr>
            <w:tcW w:w="1474" w:type="dxa"/>
            <w:vAlign w:val="center"/>
          </w:tcPr>
          <w:p>
            <w:pPr>
              <w:pStyle w:val="11"/>
              <w:rPr>
                <w:color w:val="auto"/>
              </w:rPr>
            </w:pPr>
            <w:r>
              <w:rPr>
                <w:color w:val="auto"/>
              </w:rPr>
              <w:t>1652.93</w:t>
            </w:r>
          </w:p>
        </w:tc>
        <w:tc>
          <w:tcPr>
            <w:tcW w:w="1474" w:type="dxa"/>
            <w:vAlign w:val="center"/>
          </w:tcPr>
          <w:p>
            <w:pPr>
              <w:pStyle w:val="11"/>
              <w:rPr>
                <w:color w:val="auto"/>
              </w:rPr>
            </w:pPr>
            <w:r>
              <w:rPr>
                <w:color w:val="auto"/>
              </w:rPr>
              <w:t>1652.93</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二、外交支出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三、国防支出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四、公共安全支出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五、教育支出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六、科学技术支出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七、文化旅游体育与传媒支出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八、社会保障和就业支出</w:t>
            </w:r>
          </w:p>
        </w:tc>
        <w:tc>
          <w:tcPr>
            <w:tcW w:w="1474" w:type="dxa"/>
            <w:vAlign w:val="center"/>
          </w:tcPr>
          <w:p>
            <w:pPr>
              <w:pStyle w:val="11"/>
              <w:rPr>
                <w:color w:val="auto"/>
              </w:rPr>
            </w:pPr>
            <w:r>
              <w:rPr>
                <w:color w:val="auto"/>
              </w:rPr>
              <w:t>45.51</w:t>
            </w:r>
          </w:p>
        </w:tc>
        <w:tc>
          <w:tcPr>
            <w:tcW w:w="1474" w:type="dxa"/>
            <w:vAlign w:val="center"/>
          </w:tcPr>
          <w:p>
            <w:pPr>
              <w:pStyle w:val="11"/>
              <w:rPr>
                <w:color w:val="auto"/>
              </w:rPr>
            </w:pPr>
            <w:r>
              <w:rPr>
                <w:color w:val="auto"/>
              </w:rPr>
              <w:t>45.51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九、社会保险基金支出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十、卫生健康支出</w:t>
            </w:r>
          </w:p>
        </w:tc>
        <w:tc>
          <w:tcPr>
            <w:tcW w:w="1474" w:type="dxa"/>
            <w:vAlign w:val="center"/>
          </w:tcPr>
          <w:p>
            <w:pPr>
              <w:pStyle w:val="11"/>
              <w:rPr>
                <w:color w:val="auto"/>
              </w:rPr>
            </w:pPr>
            <w:r>
              <w:rPr>
                <w:color w:val="auto"/>
              </w:rPr>
              <w:t>54.91</w:t>
            </w:r>
          </w:p>
        </w:tc>
        <w:tc>
          <w:tcPr>
            <w:tcW w:w="1474" w:type="dxa"/>
            <w:vAlign w:val="center"/>
          </w:tcPr>
          <w:p>
            <w:pPr>
              <w:pStyle w:val="11"/>
              <w:rPr>
                <w:color w:val="auto"/>
              </w:rPr>
            </w:pPr>
            <w:r>
              <w:rPr>
                <w:color w:val="auto"/>
              </w:rPr>
              <w:t>54.91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十一、节能环保支出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十二、城乡社区支出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十三、农林水支出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十四、交通运输支出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十五、资源勘探工业信息等支出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十六、商业服务业等支出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十七、金融支出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十八、援助其他地区支出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十九、自然资源海洋气象等支出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二十、住房保障支出</w:t>
            </w:r>
          </w:p>
        </w:tc>
        <w:tc>
          <w:tcPr>
            <w:tcW w:w="1474" w:type="dxa"/>
            <w:vAlign w:val="center"/>
          </w:tcPr>
          <w:p>
            <w:pPr>
              <w:pStyle w:val="11"/>
              <w:rPr>
                <w:color w:val="auto"/>
              </w:rPr>
            </w:pPr>
            <w:r>
              <w:rPr>
                <w:color w:val="auto"/>
              </w:rPr>
              <w:t>35.21</w:t>
            </w:r>
          </w:p>
        </w:tc>
        <w:tc>
          <w:tcPr>
            <w:tcW w:w="1474" w:type="dxa"/>
            <w:vAlign w:val="center"/>
          </w:tcPr>
          <w:p>
            <w:pPr>
              <w:pStyle w:val="11"/>
              <w:rPr>
                <w:color w:val="auto"/>
              </w:rPr>
            </w:pPr>
            <w:r>
              <w:rPr>
                <w:color w:val="auto"/>
              </w:rPr>
              <w:t>35.21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二十一、粮油物资储备支出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二十二、国有资本经营预算支出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二十三、灾害防治及应急管理支出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二十四、预备费</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二十五、其他支出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二十六、转移性支出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二十七、债务还本支出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二十八、债务付息支出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二十九、债务发行费用支出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三十、抗疫特别国债安排的支出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3402" w:type="dxa"/>
            <w:vAlign w:val="center"/>
          </w:tcPr>
          <w:p>
            <w:pPr>
              <w:pStyle w:val="14"/>
              <w:rPr>
                <w:color w:val="auto"/>
              </w:rPr>
            </w:pPr>
            <w:r>
              <w:rPr>
                <w:color w:val="auto"/>
              </w:rPr>
              <w:t>本年收入合计</w:t>
            </w:r>
          </w:p>
        </w:tc>
        <w:tc>
          <w:tcPr>
            <w:tcW w:w="1474" w:type="dxa"/>
            <w:vAlign w:val="center"/>
          </w:tcPr>
          <w:p>
            <w:pPr>
              <w:pStyle w:val="15"/>
              <w:rPr>
                <w:color w:val="auto"/>
              </w:rPr>
            </w:pPr>
            <w:r>
              <w:rPr>
                <w:color w:val="auto"/>
              </w:rPr>
              <w:t>1788.56</w:t>
            </w:r>
          </w:p>
        </w:tc>
        <w:tc>
          <w:tcPr>
            <w:tcW w:w="3402" w:type="dxa"/>
            <w:vAlign w:val="center"/>
          </w:tcPr>
          <w:p>
            <w:pPr>
              <w:pStyle w:val="14"/>
              <w:rPr>
                <w:color w:val="auto"/>
              </w:rPr>
            </w:pPr>
            <w:r>
              <w:rPr>
                <w:color w:val="auto"/>
              </w:rPr>
              <w:t>本年支出合计</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3402" w:type="dxa"/>
            <w:vAlign w:val="center"/>
          </w:tcPr>
          <w:p>
            <w:pPr>
              <w:pStyle w:val="12"/>
              <w:rPr>
                <w:color w:val="auto"/>
              </w:rPr>
            </w:pPr>
            <w:r>
              <w:rPr>
                <w:color w:val="auto"/>
              </w:rPr>
              <w:t>年初财政拨款结转和结余</w:t>
            </w:r>
          </w:p>
        </w:tc>
        <w:tc>
          <w:tcPr>
            <w:tcW w:w="1474" w:type="dxa"/>
            <w:vAlign w:val="center"/>
          </w:tcPr>
          <w:p>
            <w:pPr>
              <w:pStyle w:val="11"/>
              <w:rPr>
                <w:color w:val="auto"/>
              </w:rPr>
            </w:pPr>
          </w:p>
        </w:tc>
        <w:tc>
          <w:tcPr>
            <w:tcW w:w="3402" w:type="dxa"/>
            <w:vAlign w:val="center"/>
          </w:tcPr>
          <w:p>
            <w:pPr>
              <w:pStyle w:val="12"/>
              <w:rPr>
                <w:color w:val="auto"/>
              </w:rPr>
            </w:pPr>
            <w:r>
              <w:rPr>
                <w:color w:val="auto"/>
              </w:rPr>
              <w:t>年末财政拨款结转和结余</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3402" w:type="dxa"/>
            <w:vAlign w:val="center"/>
          </w:tcPr>
          <w:p>
            <w:pPr>
              <w:pStyle w:val="14"/>
              <w:rPr>
                <w:color w:val="auto"/>
              </w:rPr>
            </w:pPr>
            <w:r>
              <w:rPr>
                <w:color w:val="auto"/>
              </w:rPr>
              <w:t>收入总计</w:t>
            </w:r>
          </w:p>
        </w:tc>
        <w:tc>
          <w:tcPr>
            <w:tcW w:w="1474" w:type="dxa"/>
            <w:vAlign w:val="center"/>
          </w:tcPr>
          <w:p>
            <w:pPr>
              <w:pStyle w:val="15"/>
              <w:rPr>
                <w:color w:val="auto"/>
              </w:rPr>
            </w:pPr>
            <w:r>
              <w:rPr>
                <w:color w:val="auto"/>
              </w:rPr>
              <w:t>1788.56</w:t>
            </w:r>
          </w:p>
        </w:tc>
        <w:tc>
          <w:tcPr>
            <w:tcW w:w="3402" w:type="dxa"/>
            <w:vAlign w:val="center"/>
          </w:tcPr>
          <w:p>
            <w:pPr>
              <w:pStyle w:val="14"/>
              <w:rPr>
                <w:color w:val="auto"/>
              </w:rPr>
            </w:pPr>
            <w:r>
              <w:rPr>
                <w:color w:val="auto"/>
              </w:rPr>
              <w:t>支出总计</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r>
              <w:rPr>
                <w:color w:val="auto"/>
              </w:rPr>
              <w:t>1788.56</w:t>
            </w:r>
          </w:p>
        </w:tc>
        <w:tc>
          <w:tcPr>
            <w:tcW w:w="1474" w:type="dxa"/>
            <w:vAlign w:val="center"/>
          </w:tcPr>
          <w:p>
            <w:pPr>
              <w:pStyle w:val="15"/>
              <w:rPr>
                <w:color w:val="auto"/>
              </w:rPr>
            </w:pPr>
          </w:p>
        </w:tc>
        <w:tc>
          <w:tcPr>
            <w:tcW w:w="1474"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4" w:name="_Toc5062"/>
      <w:r>
        <w:rPr>
          <w:rFonts w:ascii="方正小标宋_GBK" w:hAnsi="方正小标宋_GBK" w:eastAsia="方正小标宋_GBK" w:cs="方正小标宋_GBK"/>
          <w:color w:val="auto"/>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1788.56</w:t>
            </w:r>
          </w:p>
        </w:tc>
        <w:tc>
          <w:tcPr>
            <w:tcW w:w="2551" w:type="dxa"/>
            <w:vAlign w:val="center"/>
          </w:tcPr>
          <w:p>
            <w:pPr>
              <w:pStyle w:val="15"/>
              <w:rPr>
                <w:color w:val="auto"/>
              </w:rPr>
            </w:pPr>
            <w:r>
              <w:rPr>
                <w:color w:val="auto"/>
              </w:rPr>
              <w:t>1593.90</w:t>
            </w:r>
          </w:p>
        </w:tc>
        <w:tc>
          <w:tcPr>
            <w:tcW w:w="2551" w:type="dxa"/>
            <w:vAlign w:val="center"/>
          </w:tcPr>
          <w:p>
            <w:pPr>
              <w:pStyle w:val="15"/>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201</w:t>
            </w:r>
          </w:p>
        </w:tc>
        <w:tc>
          <w:tcPr>
            <w:tcW w:w="4535" w:type="dxa"/>
            <w:vAlign w:val="center"/>
          </w:tcPr>
          <w:p>
            <w:pPr>
              <w:pStyle w:val="12"/>
              <w:rPr>
                <w:color w:val="auto"/>
              </w:rPr>
            </w:pPr>
            <w:r>
              <w:rPr>
                <w:color w:val="auto"/>
              </w:rPr>
              <w:t>一般公共服务支出</w:t>
            </w:r>
          </w:p>
        </w:tc>
        <w:tc>
          <w:tcPr>
            <w:tcW w:w="2551" w:type="dxa"/>
            <w:vAlign w:val="center"/>
          </w:tcPr>
          <w:p>
            <w:pPr>
              <w:pStyle w:val="11"/>
              <w:rPr>
                <w:color w:val="auto"/>
              </w:rPr>
            </w:pPr>
            <w:r>
              <w:rPr>
                <w:color w:val="auto"/>
              </w:rPr>
              <w:t>1652.93</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20103</w:t>
            </w:r>
          </w:p>
        </w:tc>
        <w:tc>
          <w:tcPr>
            <w:tcW w:w="4535" w:type="dxa"/>
            <w:vAlign w:val="center"/>
          </w:tcPr>
          <w:p>
            <w:pPr>
              <w:pStyle w:val="12"/>
              <w:rPr>
                <w:color w:val="auto"/>
              </w:rPr>
            </w:pPr>
            <w:r>
              <w:rPr>
                <w:color w:val="auto"/>
              </w:rPr>
              <w:t>政府办公厅（室）及相关机构事务</w:t>
            </w:r>
          </w:p>
        </w:tc>
        <w:tc>
          <w:tcPr>
            <w:tcW w:w="2551" w:type="dxa"/>
            <w:vAlign w:val="center"/>
          </w:tcPr>
          <w:p>
            <w:pPr>
              <w:pStyle w:val="11"/>
              <w:rPr>
                <w:color w:val="auto"/>
              </w:rPr>
            </w:pPr>
            <w:r>
              <w:rPr>
                <w:color w:val="auto"/>
              </w:rPr>
              <w:t>1652.93</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2010301</w:t>
            </w:r>
          </w:p>
        </w:tc>
        <w:tc>
          <w:tcPr>
            <w:tcW w:w="4535" w:type="dxa"/>
            <w:vAlign w:val="center"/>
          </w:tcPr>
          <w:p>
            <w:pPr>
              <w:pStyle w:val="12"/>
              <w:rPr>
                <w:color w:val="auto"/>
              </w:rPr>
            </w:pPr>
            <w:r>
              <w:rPr>
                <w:color w:val="auto"/>
              </w:rPr>
              <w:t>行政运行</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r>
              <w:rPr>
                <w:color w:val="auto"/>
              </w:rPr>
              <w:t>1458.27</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2010302</w:t>
            </w:r>
          </w:p>
        </w:tc>
        <w:tc>
          <w:tcPr>
            <w:tcW w:w="4535" w:type="dxa"/>
            <w:vAlign w:val="center"/>
          </w:tcPr>
          <w:p>
            <w:pPr>
              <w:pStyle w:val="12"/>
              <w:rPr>
                <w:color w:val="auto"/>
              </w:rPr>
            </w:pPr>
            <w:r>
              <w:rPr>
                <w:color w:val="auto"/>
              </w:rPr>
              <w:t>一般行政管理事务</w:t>
            </w:r>
          </w:p>
        </w:tc>
        <w:tc>
          <w:tcPr>
            <w:tcW w:w="2551" w:type="dxa"/>
            <w:vAlign w:val="center"/>
          </w:tcPr>
          <w:p>
            <w:pPr>
              <w:pStyle w:val="11"/>
              <w:rPr>
                <w:color w:val="auto"/>
              </w:rPr>
            </w:pPr>
            <w:r>
              <w:rPr>
                <w:color w:val="auto"/>
              </w:rPr>
              <w:t>194.66</w:t>
            </w:r>
          </w:p>
        </w:tc>
        <w:tc>
          <w:tcPr>
            <w:tcW w:w="2551" w:type="dxa"/>
            <w:vAlign w:val="center"/>
          </w:tcPr>
          <w:p>
            <w:pPr>
              <w:pStyle w:val="11"/>
              <w:rPr>
                <w:color w:val="auto"/>
              </w:rPr>
            </w:pPr>
          </w:p>
        </w:tc>
        <w:tc>
          <w:tcPr>
            <w:tcW w:w="2551" w:type="dxa"/>
            <w:vAlign w:val="center"/>
          </w:tcPr>
          <w:p>
            <w:pPr>
              <w:pStyle w:val="11"/>
              <w:rPr>
                <w:color w:val="auto"/>
              </w:rPr>
            </w:pPr>
            <w:r>
              <w:rPr>
                <w:color w:val="auto"/>
              </w:rPr>
              <w:t>194.66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208</w:t>
            </w:r>
          </w:p>
        </w:tc>
        <w:tc>
          <w:tcPr>
            <w:tcW w:w="4535" w:type="dxa"/>
            <w:vAlign w:val="center"/>
          </w:tcPr>
          <w:p>
            <w:pPr>
              <w:pStyle w:val="12"/>
              <w:rPr>
                <w:color w:val="auto"/>
              </w:rPr>
            </w:pPr>
            <w:r>
              <w:rPr>
                <w:color w:val="auto"/>
              </w:rPr>
              <w:t>社会保障和就业支出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20805</w:t>
            </w:r>
          </w:p>
        </w:tc>
        <w:tc>
          <w:tcPr>
            <w:tcW w:w="4535" w:type="dxa"/>
            <w:vAlign w:val="center"/>
          </w:tcPr>
          <w:p>
            <w:pPr>
              <w:pStyle w:val="12"/>
              <w:rPr>
                <w:color w:val="auto"/>
              </w:rPr>
            </w:pPr>
            <w:r>
              <w:rPr>
                <w:color w:val="auto"/>
              </w:rPr>
              <w:t>行政事业单位养老支出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2080505</w:t>
            </w:r>
          </w:p>
        </w:tc>
        <w:tc>
          <w:tcPr>
            <w:tcW w:w="4535" w:type="dxa"/>
            <w:vAlign w:val="center"/>
          </w:tcPr>
          <w:p>
            <w:pPr>
              <w:pStyle w:val="12"/>
              <w:rPr>
                <w:color w:val="auto"/>
              </w:rPr>
            </w:pPr>
            <w:r>
              <w:rPr>
                <w:color w:val="auto"/>
              </w:rPr>
              <w:t>机关事业单位基本养老保险缴费支出</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210</w:t>
            </w:r>
          </w:p>
        </w:tc>
        <w:tc>
          <w:tcPr>
            <w:tcW w:w="4535" w:type="dxa"/>
            <w:vAlign w:val="center"/>
          </w:tcPr>
          <w:p>
            <w:pPr>
              <w:pStyle w:val="12"/>
              <w:rPr>
                <w:color w:val="auto"/>
              </w:rPr>
            </w:pPr>
            <w:r>
              <w:rPr>
                <w:color w:val="auto"/>
              </w:rPr>
              <w:t>卫生健康支出</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21011</w:t>
            </w:r>
          </w:p>
        </w:tc>
        <w:tc>
          <w:tcPr>
            <w:tcW w:w="4535" w:type="dxa"/>
            <w:vAlign w:val="center"/>
          </w:tcPr>
          <w:p>
            <w:pPr>
              <w:pStyle w:val="12"/>
              <w:rPr>
                <w:color w:val="auto"/>
              </w:rPr>
            </w:pPr>
            <w:r>
              <w:rPr>
                <w:color w:val="auto"/>
              </w:rPr>
              <w:t>行政事业单位医疗</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r>
              <w:rPr>
                <w:color w:val="auto"/>
              </w:rPr>
              <w:t>54.91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2101101</w:t>
            </w:r>
          </w:p>
        </w:tc>
        <w:tc>
          <w:tcPr>
            <w:tcW w:w="4535" w:type="dxa"/>
            <w:vAlign w:val="center"/>
          </w:tcPr>
          <w:p>
            <w:pPr>
              <w:pStyle w:val="12"/>
              <w:rPr>
                <w:color w:val="auto"/>
              </w:rPr>
            </w:pPr>
            <w:r>
              <w:rPr>
                <w:color w:val="auto"/>
              </w:rPr>
              <w:t>行政单位医疗</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2101103</w:t>
            </w:r>
          </w:p>
        </w:tc>
        <w:tc>
          <w:tcPr>
            <w:tcW w:w="4535" w:type="dxa"/>
            <w:vAlign w:val="center"/>
          </w:tcPr>
          <w:p>
            <w:pPr>
              <w:pStyle w:val="12"/>
              <w:rPr>
                <w:color w:val="auto"/>
              </w:rPr>
            </w:pPr>
            <w:r>
              <w:rPr>
                <w:color w:val="auto"/>
              </w:rPr>
              <w:t>公务员医疗补助</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221</w:t>
            </w:r>
          </w:p>
        </w:tc>
        <w:tc>
          <w:tcPr>
            <w:tcW w:w="4535" w:type="dxa"/>
            <w:vAlign w:val="center"/>
          </w:tcPr>
          <w:p>
            <w:pPr>
              <w:pStyle w:val="12"/>
              <w:rPr>
                <w:color w:val="auto"/>
              </w:rPr>
            </w:pPr>
            <w:r>
              <w:rPr>
                <w:color w:val="auto"/>
              </w:rPr>
              <w:t>住房保障支出</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22102</w:t>
            </w:r>
          </w:p>
        </w:tc>
        <w:tc>
          <w:tcPr>
            <w:tcW w:w="4535" w:type="dxa"/>
            <w:vAlign w:val="center"/>
          </w:tcPr>
          <w:p>
            <w:pPr>
              <w:pStyle w:val="12"/>
              <w:rPr>
                <w:color w:val="auto"/>
              </w:rPr>
            </w:pPr>
            <w:r>
              <w:rPr>
                <w:color w:val="auto"/>
              </w:rPr>
              <w:t>住房改革支出</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2210201</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5" w:name="_Toc27846"/>
      <w:r>
        <w:rPr>
          <w:rFonts w:ascii="方正小标宋_GBK" w:hAnsi="方正小标宋_GBK" w:eastAsia="方正小标宋_GBK" w:cs="方正小标宋_GBK"/>
          <w:color w:val="auto"/>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支出部门经济分类科目</w:t>
            </w:r>
          </w:p>
        </w:tc>
        <w:tc>
          <w:tcPr>
            <w:tcW w:w="7654" w:type="dxa"/>
            <w:gridSpan w:val="3"/>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Align w:val="center"/>
          </w:tcPr>
          <w:p>
            <w:pPr>
              <w:pStyle w:val="10"/>
              <w:rPr>
                <w:color w:val="auto"/>
              </w:rPr>
            </w:pPr>
            <w:r>
              <w:rPr>
                <w:color w:val="auto"/>
              </w:rPr>
              <w:t>合计</w:t>
            </w:r>
          </w:p>
        </w:tc>
        <w:tc>
          <w:tcPr>
            <w:tcW w:w="2551" w:type="dxa"/>
            <w:vAlign w:val="center"/>
          </w:tcPr>
          <w:p>
            <w:pPr>
              <w:pStyle w:val="10"/>
              <w:rPr>
                <w:color w:val="auto"/>
              </w:rPr>
            </w:pPr>
            <w:r>
              <w:rPr>
                <w:color w:val="auto"/>
              </w:rPr>
              <w:t>人员经费</w:t>
            </w:r>
          </w:p>
        </w:tc>
        <w:tc>
          <w:tcPr>
            <w:tcW w:w="2551" w:type="dxa"/>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1593.90</w:t>
            </w:r>
          </w:p>
        </w:tc>
        <w:tc>
          <w:tcPr>
            <w:tcW w:w="2551" w:type="dxa"/>
            <w:vAlign w:val="center"/>
          </w:tcPr>
          <w:p>
            <w:pPr>
              <w:pStyle w:val="15"/>
              <w:rPr>
                <w:color w:val="auto"/>
              </w:rPr>
            </w:pPr>
            <w:r>
              <w:rPr>
                <w:color w:val="auto"/>
              </w:rPr>
              <w:t>1534.41</w:t>
            </w:r>
          </w:p>
        </w:tc>
        <w:tc>
          <w:tcPr>
            <w:tcW w:w="2551" w:type="dxa"/>
            <w:vAlign w:val="center"/>
          </w:tcPr>
          <w:p>
            <w:pPr>
              <w:pStyle w:val="15"/>
              <w:rPr>
                <w:color w:val="auto"/>
              </w:rPr>
            </w:pPr>
            <w:r>
              <w:rPr>
                <w:color w:val="auto"/>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301</w:t>
            </w:r>
          </w:p>
        </w:tc>
        <w:tc>
          <w:tcPr>
            <w:tcW w:w="4535" w:type="dxa"/>
            <w:vAlign w:val="center"/>
          </w:tcPr>
          <w:p>
            <w:pPr>
              <w:pStyle w:val="12"/>
              <w:rPr>
                <w:color w:val="auto"/>
              </w:rPr>
            </w:pPr>
            <w:r>
              <w:rPr>
                <w:color w:val="auto"/>
              </w:rPr>
              <w:t>工资福利支出</w:t>
            </w:r>
          </w:p>
        </w:tc>
        <w:tc>
          <w:tcPr>
            <w:tcW w:w="2551" w:type="dxa"/>
            <w:vAlign w:val="center"/>
          </w:tcPr>
          <w:p>
            <w:pPr>
              <w:pStyle w:val="11"/>
              <w:rPr>
                <w:color w:val="auto"/>
              </w:rPr>
            </w:pPr>
            <w:r>
              <w:rPr>
                <w:color w:val="auto"/>
              </w:rPr>
              <w:t>1522.55</w:t>
            </w:r>
          </w:p>
        </w:tc>
        <w:tc>
          <w:tcPr>
            <w:tcW w:w="2551" w:type="dxa"/>
            <w:vAlign w:val="center"/>
          </w:tcPr>
          <w:p>
            <w:pPr>
              <w:pStyle w:val="11"/>
              <w:rPr>
                <w:color w:val="auto"/>
              </w:rPr>
            </w:pPr>
            <w:r>
              <w:rPr>
                <w:color w:val="auto"/>
              </w:rPr>
              <w:t>1522.55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30101</w:t>
            </w:r>
          </w:p>
        </w:tc>
        <w:tc>
          <w:tcPr>
            <w:tcW w:w="4535" w:type="dxa"/>
            <w:vAlign w:val="center"/>
          </w:tcPr>
          <w:p>
            <w:pPr>
              <w:pStyle w:val="12"/>
              <w:rPr>
                <w:color w:val="auto"/>
              </w:rPr>
            </w:pPr>
            <w:r>
              <w:rPr>
                <w:color w:val="auto"/>
              </w:rPr>
              <w:t>基本工资</w:t>
            </w:r>
          </w:p>
        </w:tc>
        <w:tc>
          <w:tcPr>
            <w:tcW w:w="2551" w:type="dxa"/>
            <w:vAlign w:val="center"/>
          </w:tcPr>
          <w:p>
            <w:pPr>
              <w:pStyle w:val="11"/>
              <w:rPr>
                <w:color w:val="auto"/>
              </w:rPr>
            </w:pPr>
            <w:r>
              <w:rPr>
                <w:color w:val="auto"/>
              </w:rPr>
              <w:t>141.62</w:t>
            </w:r>
          </w:p>
        </w:tc>
        <w:tc>
          <w:tcPr>
            <w:tcW w:w="2551" w:type="dxa"/>
            <w:vAlign w:val="center"/>
          </w:tcPr>
          <w:p>
            <w:pPr>
              <w:pStyle w:val="11"/>
              <w:rPr>
                <w:color w:val="auto"/>
              </w:rPr>
            </w:pPr>
            <w:r>
              <w:rPr>
                <w:color w:val="auto"/>
              </w:rPr>
              <w:t>141.62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30102</w:t>
            </w:r>
          </w:p>
        </w:tc>
        <w:tc>
          <w:tcPr>
            <w:tcW w:w="4535" w:type="dxa"/>
            <w:vAlign w:val="center"/>
          </w:tcPr>
          <w:p>
            <w:pPr>
              <w:pStyle w:val="12"/>
              <w:rPr>
                <w:color w:val="auto"/>
              </w:rPr>
            </w:pPr>
            <w:r>
              <w:rPr>
                <w:color w:val="auto"/>
              </w:rPr>
              <w:t>津贴补贴</w:t>
            </w:r>
          </w:p>
        </w:tc>
        <w:tc>
          <w:tcPr>
            <w:tcW w:w="2551" w:type="dxa"/>
            <w:vAlign w:val="center"/>
          </w:tcPr>
          <w:p>
            <w:pPr>
              <w:pStyle w:val="11"/>
              <w:rPr>
                <w:color w:val="auto"/>
              </w:rPr>
            </w:pPr>
            <w:r>
              <w:rPr>
                <w:color w:val="auto"/>
              </w:rPr>
              <w:t>100.26</w:t>
            </w:r>
          </w:p>
        </w:tc>
        <w:tc>
          <w:tcPr>
            <w:tcW w:w="2551" w:type="dxa"/>
            <w:vAlign w:val="center"/>
          </w:tcPr>
          <w:p>
            <w:pPr>
              <w:pStyle w:val="11"/>
              <w:rPr>
                <w:color w:val="auto"/>
              </w:rPr>
            </w:pPr>
            <w:r>
              <w:rPr>
                <w:color w:val="auto"/>
              </w:rPr>
              <w:t>100.26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30103</w:t>
            </w:r>
          </w:p>
        </w:tc>
        <w:tc>
          <w:tcPr>
            <w:tcW w:w="4535" w:type="dxa"/>
            <w:vAlign w:val="center"/>
          </w:tcPr>
          <w:p>
            <w:pPr>
              <w:pStyle w:val="12"/>
              <w:rPr>
                <w:color w:val="auto"/>
              </w:rPr>
            </w:pPr>
            <w:r>
              <w:rPr>
                <w:color w:val="auto"/>
              </w:rPr>
              <w:t>奖金</w:t>
            </w:r>
          </w:p>
        </w:tc>
        <w:tc>
          <w:tcPr>
            <w:tcW w:w="2551" w:type="dxa"/>
            <w:vAlign w:val="center"/>
          </w:tcPr>
          <w:p>
            <w:pPr>
              <w:pStyle w:val="11"/>
              <w:rPr>
                <w:color w:val="auto"/>
              </w:rPr>
            </w:pPr>
            <w:r>
              <w:rPr>
                <w:color w:val="auto"/>
              </w:rPr>
              <w:t>6.72</w:t>
            </w:r>
          </w:p>
        </w:tc>
        <w:tc>
          <w:tcPr>
            <w:tcW w:w="2551" w:type="dxa"/>
            <w:vAlign w:val="center"/>
          </w:tcPr>
          <w:p>
            <w:pPr>
              <w:pStyle w:val="11"/>
              <w:rPr>
                <w:color w:val="auto"/>
              </w:rPr>
            </w:pPr>
            <w:r>
              <w:rPr>
                <w:color w:val="auto"/>
              </w:rPr>
              <w:t>6.72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30107</w:t>
            </w:r>
          </w:p>
        </w:tc>
        <w:tc>
          <w:tcPr>
            <w:tcW w:w="4535" w:type="dxa"/>
            <w:vAlign w:val="center"/>
          </w:tcPr>
          <w:p>
            <w:pPr>
              <w:pStyle w:val="12"/>
              <w:rPr>
                <w:color w:val="auto"/>
              </w:rPr>
            </w:pPr>
            <w:r>
              <w:rPr>
                <w:color w:val="auto"/>
              </w:rPr>
              <w:t>绩效工资</w:t>
            </w:r>
          </w:p>
        </w:tc>
        <w:tc>
          <w:tcPr>
            <w:tcW w:w="2551" w:type="dxa"/>
            <w:vAlign w:val="center"/>
          </w:tcPr>
          <w:p>
            <w:pPr>
              <w:pStyle w:val="11"/>
              <w:rPr>
                <w:color w:val="auto"/>
              </w:rPr>
            </w:pPr>
            <w:r>
              <w:rPr>
                <w:color w:val="auto"/>
              </w:rPr>
              <w:t>70.00</w:t>
            </w:r>
          </w:p>
        </w:tc>
        <w:tc>
          <w:tcPr>
            <w:tcW w:w="2551" w:type="dxa"/>
            <w:vAlign w:val="center"/>
          </w:tcPr>
          <w:p>
            <w:pPr>
              <w:pStyle w:val="11"/>
              <w:rPr>
                <w:color w:val="auto"/>
              </w:rPr>
            </w:pPr>
            <w:r>
              <w:rPr>
                <w:color w:val="auto"/>
              </w:rPr>
              <w:t>70.00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30108</w:t>
            </w:r>
          </w:p>
        </w:tc>
        <w:tc>
          <w:tcPr>
            <w:tcW w:w="4535" w:type="dxa"/>
            <w:vAlign w:val="center"/>
          </w:tcPr>
          <w:p>
            <w:pPr>
              <w:pStyle w:val="12"/>
              <w:rPr>
                <w:color w:val="auto"/>
              </w:rPr>
            </w:pPr>
            <w:r>
              <w:rPr>
                <w:color w:val="auto"/>
              </w:rPr>
              <w:t>机关事业单位基本养老保险缴费</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r>
              <w:rPr>
                <w:color w:val="auto"/>
              </w:rPr>
              <w:t>45.51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30110</w:t>
            </w:r>
          </w:p>
        </w:tc>
        <w:tc>
          <w:tcPr>
            <w:tcW w:w="4535" w:type="dxa"/>
            <w:vAlign w:val="center"/>
          </w:tcPr>
          <w:p>
            <w:pPr>
              <w:pStyle w:val="12"/>
              <w:rPr>
                <w:color w:val="auto"/>
              </w:rPr>
            </w:pPr>
            <w:r>
              <w:rPr>
                <w:color w:val="auto"/>
              </w:rPr>
              <w:t>城镇职工基本医疗保险缴费</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r>
              <w:rPr>
                <w:color w:val="auto"/>
              </w:rPr>
              <w:t>24.36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30111</w:t>
            </w:r>
          </w:p>
        </w:tc>
        <w:tc>
          <w:tcPr>
            <w:tcW w:w="4535" w:type="dxa"/>
            <w:vAlign w:val="center"/>
          </w:tcPr>
          <w:p>
            <w:pPr>
              <w:pStyle w:val="12"/>
              <w:rPr>
                <w:color w:val="auto"/>
              </w:rPr>
            </w:pPr>
            <w:r>
              <w:rPr>
                <w:color w:val="auto"/>
              </w:rPr>
              <w:t>公务员医疗补助缴费</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r>
              <w:rPr>
                <w:color w:val="auto"/>
              </w:rPr>
              <w:t>30.55</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30112</w:t>
            </w:r>
          </w:p>
        </w:tc>
        <w:tc>
          <w:tcPr>
            <w:tcW w:w="4535" w:type="dxa"/>
            <w:vAlign w:val="center"/>
          </w:tcPr>
          <w:p>
            <w:pPr>
              <w:pStyle w:val="12"/>
              <w:rPr>
                <w:color w:val="auto"/>
              </w:rPr>
            </w:pPr>
            <w:r>
              <w:rPr>
                <w:color w:val="auto"/>
              </w:rPr>
              <w:t>其他社会保障缴费</w:t>
            </w:r>
          </w:p>
        </w:tc>
        <w:tc>
          <w:tcPr>
            <w:tcW w:w="2551" w:type="dxa"/>
            <w:vAlign w:val="center"/>
          </w:tcPr>
          <w:p>
            <w:pPr>
              <w:pStyle w:val="11"/>
              <w:rPr>
                <w:color w:val="auto"/>
              </w:rPr>
            </w:pPr>
            <w:r>
              <w:rPr>
                <w:color w:val="auto"/>
              </w:rPr>
              <w:t>2.32</w:t>
            </w:r>
          </w:p>
        </w:tc>
        <w:tc>
          <w:tcPr>
            <w:tcW w:w="2551" w:type="dxa"/>
            <w:vAlign w:val="center"/>
          </w:tcPr>
          <w:p>
            <w:pPr>
              <w:pStyle w:val="11"/>
              <w:rPr>
                <w:color w:val="auto"/>
              </w:rPr>
            </w:pPr>
            <w:r>
              <w:rPr>
                <w:color w:val="auto"/>
              </w:rPr>
              <w:t>2.32</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30113</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r>
              <w:rPr>
                <w:color w:val="auto"/>
              </w:rPr>
              <w:t>35.21</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30199</w:t>
            </w:r>
          </w:p>
        </w:tc>
        <w:tc>
          <w:tcPr>
            <w:tcW w:w="4535" w:type="dxa"/>
            <w:vAlign w:val="center"/>
          </w:tcPr>
          <w:p>
            <w:pPr>
              <w:pStyle w:val="12"/>
              <w:rPr>
                <w:color w:val="auto"/>
              </w:rPr>
            </w:pPr>
            <w:r>
              <w:rPr>
                <w:color w:val="auto"/>
              </w:rPr>
              <w:t>其他工资福利支出</w:t>
            </w:r>
          </w:p>
        </w:tc>
        <w:tc>
          <w:tcPr>
            <w:tcW w:w="2551" w:type="dxa"/>
            <w:vAlign w:val="center"/>
          </w:tcPr>
          <w:p>
            <w:pPr>
              <w:pStyle w:val="11"/>
              <w:rPr>
                <w:color w:val="auto"/>
              </w:rPr>
            </w:pPr>
            <w:r>
              <w:rPr>
                <w:color w:val="auto"/>
              </w:rPr>
              <w:t>1066.00</w:t>
            </w:r>
          </w:p>
        </w:tc>
        <w:tc>
          <w:tcPr>
            <w:tcW w:w="2551" w:type="dxa"/>
            <w:vAlign w:val="center"/>
          </w:tcPr>
          <w:p>
            <w:pPr>
              <w:pStyle w:val="11"/>
              <w:rPr>
                <w:color w:val="auto"/>
              </w:rPr>
            </w:pPr>
            <w:r>
              <w:rPr>
                <w:color w:val="auto"/>
              </w:rPr>
              <w:t>1066.00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302</w:t>
            </w:r>
          </w:p>
        </w:tc>
        <w:tc>
          <w:tcPr>
            <w:tcW w:w="4535" w:type="dxa"/>
            <w:vAlign w:val="center"/>
          </w:tcPr>
          <w:p>
            <w:pPr>
              <w:pStyle w:val="12"/>
              <w:rPr>
                <w:color w:val="auto"/>
              </w:rPr>
            </w:pPr>
            <w:r>
              <w:rPr>
                <w:color w:val="auto"/>
              </w:rPr>
              <w:t>商品和服务支出</w:t>
            </w:r>
          </w:p>
        </w:tc>
        <w:tc>
          <w:tcPr>
            <w:tcW w:w="2551" w:type="dxa"/>
            <w:vAlign w:val="center"/>
          </w:tcPr>
          <w:p>
            <w:pPr>
              <w:pStyle w:val="11"/>
              <w:rPr>
                <w:color w:val="auto"/>
              </w:rPr>
            </w:pPr>
            <w:r>
              <w:rPr>
                <w:color w:val="auto"/>
              </w:rPr>
              <w:t>59.49</w:t>
            </w:r>
          </w:p>
        </w:tc>
        <w:tc>
          <w:tcPr>
            <w:tcW w:w="2551" w:type="dxa"/>
            <w:vAlign w:val="center"/>
          </w:tcPr>
          <w:p>
            <w:pPr>
              <w:pStyle w:val="11"/>
              <w:rPr>
                <w:color w:val="auto"/>
              </w:rPr>
            </w:pPr>
          </w:p>
        </w:tc>
        <w:tc>
          <w:tcPr>
            <w:tcW w:w="2551" w:type="dxa"/>
            <w:vAlign w:val="center"/>
          </w:tcPr>
          <w:p>
            <w:pPr>
              <w:pStyle w:val="11"/>
              <w:rPr>
                <w:color w:val="auto"/>
              </w:rPr>
            </w:pPr>
            <w:r>
              <w:rPr>
                <w:color w:val="auto"/>
              </w:rPr>
              <w:t>59.49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30201</w:t>
            </w:r>
          </w:p>
        </w:tc>
        <w:tc>
          <w:tcPr>
            <w:tcW w:w="4535" w:type="dxa"/>
            <w:vAlign w:val="center"/>
          </w:tcPr>
          <w:p>
            <w:pPr>
              <w:pStyle w:val="12"/>
              <w:rPr>
                <w:color w:val="auto"/>
              </w:rPr>
            </w:pPr>
            <w:r>
              <w:rPr>
                <w:color w:val="auto"/>
              </w:rPr>
              <w:t>办公费</w:t>
            </w:r>
          </w:p>
        </w:tc>
        <w:tc>
          <w:tcPr>
            <w:tcW w:w="2551" w:type="dxa"/>
            <w:vAlign w:val="center"/>
          </w:tcPr>
          <w:p>
            <w:pPr>
              <w:pStyle w:val="11"/>
              <w:rPr>
                <w:color w:val="auto"/>
              </w:rPr>
            </w:pPr>
            <w:r>
              <w:rPr>
                <w:color w:val="auto"/>
              </w:rPr>
              <w:t>8.49</w:t>
            </w:r>
          </w:p>
        </w:tc>
        <w:tc>
          <w:tcPr>
            <w:tcW w:w="2551" w:type="dxa"/>
            <w:vAlign w:val="center"/>
          </w:tcPr>
          <w:p>
            <w:pPr>
              <w:pStyle w:val="11"/>
              <w:rPr>
                <w:color w:val="auto"/>
              </w:rPr>
            </w:pPr>
          </w:p>
        </w:tc>
        <w:tc>
          <w:tcPr>
            <w:tcW w:w="2551" w:type="dxa"/>
            <w:vAlign w:val="center"/>
          </w:tcPr>
          <w:p>
            <w:pPr>
              <w:pStyle w:val="11"/>
              <w:rPr>
                <w:color w:val="auto"/>
              </w:rPr>
            </w:pPr>
            <w:r>
              <w:rPr>
                <w:color w:val="auto"/>
              </w:rP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30205</w:t>
            </w:r>
          </w:p>
        </w:tc>
        <w:tc>
          <w:tcPr>
            <w:tcW w:w="4535" w:type="dxa"/>
            <w:vAlign w:val="center"/>
          </w:tcPr>
          <w:p>
            <w:pPr>
              <w:pStyle w:val="12"/>
              <w:rPr>
                <w:color w:val="auto"/>
              </w:rPr>
            </w:pPr>
            <w:r>
              <w:rPr>
                <w:color w:val="auto"/>
              </w:rPr>
              <w:t>水费</w:t>
            </w:r>
          </w:p>
        </w:tc>
        <w:tc>
          <w:tcPr>
            <w:tcW w:w="2551" w:type="dxa"/>
            <w:vAlign w:val="center"/>
          </w:tcPr>
          <w:p>
            <w:pPr>
              <w:pStyle w:val="11"/>
              <w:rPr>
                <w:color w:val="auto"/>
              </w:rPr>
            </w:pPr>
            <w:r>
              <w:rPr>
                <w:color w:val="auto"/>
              </w:rPr>
              <w:t>1.00</w:t>
            </w:r>
          </w:p>
        </w:tc>
        <w:tc>
          <w:tcPr>
            <w:tcW w:w="2551" w:type="dxa"/>
            <w:vAlign w:val="center"/>
          </w:tcPr>
          <w:p>
            <w:pPr>
              <w:pStyle w:val="11"/>
              <w:rPr>
                <w:color w:val="auto"/>
              </w:rPr>
            </w:pPr>
          </w:p>
        </w:tc>
        <w:tc>
          <w:tcPr>
            <w:tcW w:w="2551"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1191" w:type="dxa"/>
            <w:vAlign w:val="center"/>
          </w:tcPr>
          <w:p>
            <w:pPr>
              <w:pStyle w:val="12"/>
              <w:rPr>
                <w:color w:val="auto"/>
              </w:rPr>
            </w:pPr>
            <w:r>
              <w:rPr>
                <w:color w:val="auto"/>
              </w:rPr>
              <w:t>30207</w:t>
            </w:r>
          </w:p>
        </w:tc>
        <w:tc>
          <w:tcPr>
            <w:tcW w:w="4535" w:type="dxa"/>
            <w:vAlign w:val="center"/>
          </w:tcPr>
          <w:p>
            <w:pPr>
              <w:pStyle w:val="12"/>
              <w:rPr>
                <w:color w:val="auto"/>
              </w:rPr>
            </w:pPr>
            <w:r>
              <w:rPr>
                <w:color w:val="auto"/>
              </w:rPr>
              <w:t>邮电费</w:t>
            </w:r>
          </w:p>
        </w:tc>
        <w:tc>
          <w:tcPr>
            <w:tcW w:w="2551" w:type="dxa"/>
            <w:vAlign w:val="center"/>
          </w:tcPr>
          <w:p>
            <w:pPr>
              <w:pStyle w:val="11"/>
              <w:rPr>
                <w:color w:val="auto"/>
              </w:rPr>
            </w:pPr>
            <w:r>
              <w:rPr>
                <w:color w:val="auto"/>
              </w:rPr>
              <w:t>9.83</w:t>
            </w:r>
          </w:p>
        </w:tc>
        <w:tc>
          <w:tcPr>
            <w:tcW w:w="2551" w:type="dxa"/>
            <w:vAlign w:val="center"/>
          </w:tcPr>
          <w:p>
            <w:pPr>
              <w:pStyle w:val="11"/>
              <w:rPr>
                <w:color w:val="auto"/>
              </w:rPr>
            </w:pPr>
          </w:p>
        </w:tc>
        <w:tc>
          <w:tcPr>
            <w:tcW w:w="2551" w:type="dxa"/>
            <w:vAlign w:val="center"/>
          </w:tcPr>
          <w:p>
            <w:pPr>
              <w:pStyle w:val="11"/>
              <w:rPr>
                <w:color w:val="auto"/>
              </w:rPr>
            </w:pPr>
            <w:r>
              <w:rPr>
                <w:color w:val="auto"/>
              </w:rP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1191" w:type="dxa"/>
            <w:vAlign w:val="center"/>
          </w:tcPr>
          <w:p>
            <w:pPr>
              <w:pStyle w:val="12"/>
              <w:rPr>
                <w:color w:val="auto"/>
              </w:rPr>
            </w:pPr>
            <w:r>
              <w:rPr>
                <w:color w:val="auto"/>
              </w:rPr>
              <w:t>30208</w:t>
            </w:r>
          </w:p>
        </w:tc>
        <w:tc>
          <w:tcPr>
            <w:tcW w:w="4535" w:type="dxa"/>
            <w:vAlign w:val="center"/>
          </w:tcPr>
          <w:p>
            <w:pPr>
              <w:pStyle w:val="12"/>
              <w:rPr>
                <w:color w:val="auto"/>
              </w:rPr>
            </w:pPr>
            <w:r>
              <w:rPr>
                <w:color w:val="auto"/>
              </w:rPr>
              <w:t>取暖费</w:t>
            </w:r>
          </w:p>
        </w:tc>
        <w:tc>
          <w:tcPr>
            <w:tcW w:w="2551" w:type="dxa"/>
            <w:vAlign w:val="center"/>
          </w:tcPr>
          <w:p>
            <w:pPr>
              <w:pStyle w:val="11"/>
              <w:rPr>
                <w:color w:val="auto"/>
              </w:rPr>
            </w:pPr>
            <w:r>
              <w:rPr>
                <w:color w:val="auto"/>
              </w:rPr>
              <w:t>17.53</w:t>
            </w:r>
          </w:p>
        </w:tc>
        <w:tc>
          <w:tcPr>
            <w:tcW w:w="2551" w:type="dxa"/>
            <w:vAlign w:val="center"/>
          </w:tcPr>
          <w:p>
            <w:pPr>
              <w:pStyle w:val="11"/>
              <w:rPr>
                <w:color w:val="auto"/>
              </w:rPr>
            </w:pPr>
          </w:p>
        </w:tc>
        <w:tc>
          <w:tcPr>
            <w:tcW w:w="2551" w:type="dxa"/>
            <w:vAlign w:val="center"/>
          </w:tcPr>
          <w:p>
            <w:pPr>
              <w:pStyle w:val="11"/>
              <w:rPr>
                <w:color w:val="auto"/>
              </w:rPr>
            </w:pPr>
            <w:r>
              <w:rPr>
                <w:color w:val="auto"/>
              </w:rP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1191" w:type="dxa"/>
            <w:vAlign w:val="center"/>
          </w:tcPr>
          <w:p>
            <w:pPr>
              <w:pStyle w:val="12"/>
              <w:rPr>
                <w:color w:val="auto"/>
              </w:rPr>
            </w:pPr>
            <w:r>
              <w:rPr>
                <w:color w:val="auto"/>
              </w:rPr>
              <w:t>30211</w:t>
            </w:r>
          </w:p>
        </w:tc>
        <w:tc>
          <w:tcPr>
            <w:tcW w:w="4535" w:type="dxa"/>
            <w:vAlign w:val="center"/>
          </w:tcPr>
          <w:p>
            <w:pPr>
              <w:pStyle w:val="12"/>
              <w:rPr>
                <w:color w:val="auto"/>
              </w:rPr>
            </w:pPr>
            <w:r>
              <w:rPr>
                <w:color w:val="auto"/>
              </w:rPr>
              <w:t>差旅费</w:t>
            </w:r>
          </w:p>
        </w:tc>
        <w:tc>
          <w:tcPr>
            <w:tcW w:w="2551" w:type="dxa"/>
            <w:vAlign w:val="center"/>
          </w:tcPr>
          <w:p>
            <w:pPr>
              <w:pStyle w:val="11"/>
              <w:rPr>
                <w:color w:val="auto"/>
              </w:rPr>
            </w:pPr>
            <w:r>
              <w:rPr>
                <w:color w:val="auto"/>
              </w:rPr>
              <w:t>0.40</w:t>
            </w:r>
          </w:p>
        </w:tc>
        <w:tc>
          <w:tcPr>
            <w:tcW w:w="2551" w:type="dxa"/>
            <w:vAlign w:val="center"/>
          </w:tcPr>
          <w:p>
            <w:pPr>
              <w:pStyle w:val="11"/>
              <w:rPr>
                <w:color w:val="auto"/>
              </w:rPr>
            </w:pPr>
          </w:p>
        </w:tc>
        <w:tc>
          <w:tcPr>
            <w:tcW w:w="2551" w:type="dxa"/>
            <w:vAlign w:val="center"/>
          </w:tcPr>
          <w:p>
            <w:pPr>
              <w:pStyle w:val="11"/>
              <w:rPr>
                <w:color w:val="auto"/>
              </w:rPr>
            </w:pPr>
            <w:r>
              <w:rPr>
                <w:color w:val="auto"/>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1191" w:type="dxa"/>
            <w:vAlign w:val="center"/>
          </w:tcPr>
          <w:p>
            <w:pPr>
              <w:pStyle w:val="12"/>
              <w:rPr>
                <w:color w:val="auto"/>
              </w:rPr>
            </w:pPr>
            <w:r>
              <w:rPr>
                <w:color w:val="auto"/>
              </w:rPr>
              <w:t>30226</w:t>
            </w:r>
          </w:p>
        </w:tc>
        <w:tc>
          <w:tcPr>
            <w:tcW w:w="4535" w:type="dxa"/>
            <w:vAlign w:val="center"/>
          </w:tcPr>
          <w:p>
            <w:pPr>
              <w:pStyle w:val="12"/>
              <w:rPr>
                <w:color w:val="auto"/>
              </w:rPr>
            </w:pPr>
            <w:r>
              <w:rPr>
                <w:color w:val="auto"/>
              </w:rPr>
              <w:t>劳务费</w:t>
            </w:r>
          </w:p>
        </w:tc>
        <w:tc>
          <w:tcPr>
            <w:tcW w:w="2551" w:type="dxa"/>
            <w:vAlign w:val="center"/>
          </w:tcPr>
          <w:p>
            <w:pPr>
              <w:pStyle w:val="11"/>
              <w:rPr>
                <w:color w:val="auto"/>
              </w:rPr>
            </w:pPr>
            <w:r>
              <w:rPr>
                <w:color w:val="auto"/>
              </w:rPr>
              <w:t>4.00</w:t>
            </w:r>
          </w:p>
        </w:tc>
        <w:tc>
          <w:tcPr>
            <w:tcW w:w="2551" w:type="dxa"/>
            <w:vAlign w:val="center"/>
          </w:tcPr>
          <w:p>
            <w:pPr>
              <w:pStyle w:val="11"/>
              <w:rPr>
                <w:color w:val="auto"/>
              </w:rPr>
            </w:pPr>
          </w:p>
        </w:tc>
        <w:tc>
          <w:tcPr>
            <w:tcW w:w="2551"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1191" w:type="dxa"/>
            <w:vAlign w:val="center"/>
          </w:tcPr>
          <w:p>
            <w:pPr>
              <w:pStyle w:val="12"/>
              <w:rPr>
                <w:color w:val="auto"/>
              </w:rPr>
            </w:pPr>
            <w:r>
              <w:rPr>
                <w:color w:val="auto"/>
              </w:rPr>
              <w:t>30228</w:t>
            </w:r>
          </w:p>
        </w:tc>
        <w:tc>
          <w:tcPr>
            <w:tcW w:w="4535" w:type="dxa"/>
            <w:vAlign w:val="center"/>
          </w:tcPr>
          <w:p>
            <w:pPr>
              <w:pStyle w:val="12"/>
              <w:rPr>
                <w:color w:val="auto"/>
              </w:rPr>
            </w:pPr>
            <w:r>
              <w:rPr>
                <w:color w:val="auto"/>
              </w:rPr>
              <w:t>工会经费</w:t>
            </w:r>
          </w:p>
        </w:tc>
        <w:tc>
          <w:tcPr>
            <w:tcW w:w="2551" w:type="dxa"/>
            <w:vAlign w:val="center"/>
          </w:tcPr>
          <w:p>
            <w:pPr>
              <w:pStyle w:val="11"/>
              <w:rPr>
                <w:color w:val="auto"/>
              </w:rPr>
            </w:pPr>
            <w:r>
              <w:rPr>
                <w:color w:val="auto"/>
              </w:rPr>
              <w:t>1.29</w:t>
            </w:r>
          </w:p>
        </w:tc>
        <w:tc>
          <w:tcPr>
            <w:tcW w:w="2551" w:type="dxa"/>
            <w:vAlign w:val="center"/>
          </w:tcPr>
          <w:p>
            <w:pPr>
              <w:pStyle w:val="11"/>
              <w:rPr>
                <w:color w:val="auto"/>
              </w:rPr>
            </w:pPr>
          </w:p>
        </w:tc>
        <w:tc>
          <w:tcPr>
            <w:tcW w:w="2551" w:type="dxa"/>
            <w:vAlign w:val="center"/>
          </w:tcPr>
          <w:p>
            <w:pPr>
              <w:pStyle w:val="11"/>
              <w:rPr>
                <w:color w:val="auto"/>
              </w:rPr>
            </w:pPr>
            <w:r>
              <w:rPr>
                <w:color w:val="auto"/>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1191" w:type="dxa"/>
            <w:vAlign w:val="center"/>
          </w:tcPr>
          <w:p>
            <w:pPr>
              <w:pStyle w:val="12"/>
              <w:rPr>
                <w:color w:val="auto"/>
              </w:rPr>
            </w:pPr>
            <w:r>
              <w:rPr>
                <w:color w:val="auto"/>
              </w:rPr>
              <w:t>30229</w:t>
            </w:r>
          </w:p>
        </w:tc>
        <w:tc>
          <w:tcPr>
            <w:tcW w:w="4535" w:type="dxa"/>
            <w:vAlign w:val="center"/>
          </w:tcPr>
          <w:p>
            <w:pPr>
              <w:pStyle w:val="12"/>
              <w:rPr>
                <w:color w:val="auto"/>
              </w:rPr>
            </w:pPr>
            <w:r>
              <w:rPr>
                <w:color w:val="auto"/>
              </w:rPr>
              <w:t>福利费</w:t>
            </w:r>
          </w:p>
        </w:tc>
        <w:tc>
          <w:tcPr>
            <w:tcW w:w="2551" w:type="dxa"/>
            <w:vAlign w:val="center"/>
          </w:tcPr>
          <w:p>
            <w:pPr>
              <w:pStyle w:val="11"/>
              <w:rPr>
                <w:color w:val="auto"/>
              </w:rPr>
            </w:pPr>
            <w:r>
              <w:rPr>
                <w:color w:val="auto"/>
              </w:rPr>
              <w:t>1.37</w:t>
            </w:r>
          </w:p>
        </w:tc>
        <w:tc>
          <w:tcPr>
            <w:tcW w:w="2551" w:type="dxa"/>
            <w:vAlign w:val="center"/>
          </w:tcPr>
          <w:p>
            <w:pPr>
              <w:pStyle w:val="11"/>
              <w:rPr>
                <w:color w:val="auto"/>
              </w:rPr>
            </w:pPr>
          </w:p>
        </w:tc>
        <w:tc>
          <w:tcPr>
            <w:tcW w:w="2551" w:type="dxa"/>
            <w:vAlign w:val="center"/>
          </w:tcPr>
          <w:p>
            <w:pPr>
              <w:pStyle w:val="11"/>
              <w:rPr>
                <w:color w:val="auto"/>
              </w:rPr>
            </w:pPr>
            <w:r>
              <w:rPr>
                <w:color w:val="auto"/>
              </w:rP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1191" w:type="dxa"/>
            <w:vAlign w:val="center"/>
          </w:tcPr>
          <w:p>
            <w:pPr>
              <w:pStyle w:val="12"/>
              <w:rPr>
                <w:color w:val="auto"/>
              </w:rPr>
            </w:pPr>
            <w:r>
              <w:rPr>
                <w:color w:val="auto"/>
              </w:rPr>
              <w:t>30231</w:t>
            </w:r>
          </w:p>
        </w:tc>
        <w:tc>
          <w:tcPr>
            <w:tcW w:w="4535" w:type="dxa"/>
            <w:vAlign w:val="center"/>
          </w:tcPr>
          <w:p>
            <w:pPr>
              <w:pStyle w:val="12"/>
              <w:rPr>
                <w:color w:val="auto"/>
              </w:rPr>
            </w:pPr>
            <w:r>
              <w:rPr>
                <w:color w:val="auto"/>
              </w:rPr>
              <w:t>公务用车运行维护费</w:t>
            </w:r>
          </w:p>
        </w:tc>
        <w:tc>
          <w:tcPr>
            <w:tcW w:w="2551" w:type="dxa"/>
            <w:vAlign w:val="center"/>
          </w:tcPr>
          <w:p>
            <w:pPr>
              <w:pStyle w:val="11"/>
              <w:rPr>
                <w:color w:val="auto"/>
              </w:rPr>
            </w:pPr>
            <w:r>
              <w:rPr>
                <w:color w:val="auto"/>
              </w:rPr>
              <w:t>4.00</w:t>
            </w:r>
          </w:p>
        </w:tc>
        <w:tc>
          <w:tcPr>
            <w:tcW w:w="2551" w:type="dxa"/>
            <w:vAlign w:val="center"/>
          </w:tcPr>
          <w:p>
            <w:pPr>
              <w:pStyle w:val="11"/>
              <w:rPr>
                <w:color w:val="auto"/>
              </w:rPr>
            </w:pPr>
          </w:p>
        </w:tc>
        <w:tc>
          <w:tcPr>
            <w:tcW w:w="2551"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1191" w:type="dxa"/>
            <w:vAlign w:val="center"/>
          </w:tcPr>
          <w:p>
            <w:pPr>
              <w:pStyle w:val="12"/>
              <w:rPr>
                <w:color w:val="auto"/>
              </w:rPr>
            </w:pPr>
            <w:r>
              <w:rPr>
                <w:color w:val="auto"/>
              </w:rPr>
              <w:t>30239</w:t>
            </w:r>
          </w:p>
        </w:tc>
        <w:tc>
          <w:tcPr>
            <w:tcW w:w="4535" w:type="dxa"/>
            <w:vAlign w:val="center"/>
          </w:tcPr>
          <w:p>
            <w:pPr>
              <w:pStyle w:val="12"/>
              <w:rPr>
                <w:color w:val="auto"/>
              </w:rPr>
            </w:pPr>
            <w:r>
              <w:rPr>
                <w:color w:val="auto"/>
              </w:rPr>
              <w:t>其他交通费用</w:t>
            </w:r>
          </w:p>
        </w:tc>
        <w:tc>
          <w:tcPr>
            <w:tcW w:w="2551" w:type="dxa"/>
            <w:vAlign w:val="center"/>
          </w:tcPr>
          <w:p>
            <w:pPr>
              <w:pStyle w:val="11"/>
              <w:rPr>
                <w:color w:val="auto"/>
              </w:rPr>
            </w:pPr>
            <w:r>
              <w:rPr>
                <w:color w:val="auto"/>
              </w:rPr>
              <w:t>11.58</w:t>
            </w:r>
          </w:p>
        </w:tc>
        <w:tc>
          <w:tcPr>
            <w:tcW w:w="2551" w:type="dxa"/>
            <w:vAlign w:val="center"/>
          </w:tcPr>
          <w:p>
            <w:pPr>
              <w:pStyle w:val="11"/>
              <w:rPr>
                <w:color w:val="auto"/>
              </w:rPr>
            </w:pPr>
          </w:p>
        </w:tc>
        <w:tc>
          <w:tcPr>
            <w:tcW w:w="2551" w:type="dxa"/>
            <w:vAlign w:val="center"/>
          </w:tcPr>
          <w:p>
            <w:pPr>
              <w:pStyle w:val="11"/>
              <w:rPr>
                <w:color w:val="auto"/>
              </w:rPr>
            </w:pPr>
            <w:r>
              <w:rPr>
                <w:color w:val="auto"/>
              </w:rP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1191" w:type="dxa"/>
            <w:vAlign w:val="center"/>
          </w:tcPr>
          <w:p>
            <w:pPr>
              <w:pStyle w:val="12"/>
              <w:rPr>
                <w:color w:val="auto"/>
              </w:rPr>
            </w:pPr>
            <w:r>
              <w:rPr>
                <w:color w:val="auto"/>
              </w:rPr>
              <w:t>303</w:t>
            </w:r>
          </w:p>
        </w:tc>
        <w:tc>
          <w:tcPr>
            <w:tcW w:w="4535" w:type="dxa"/>
            <w:vAlign w:val="center"/>
          </w:tcPr>
          <w:p>
            <w:pPr>
              <w:pStyle w:val="12"/>
              <w:rPr>
                <w:color w:val="auto"/>
              </w:rPr>
            </w:pPr>
            <w:r>
              <w:rPr>
                <w:color w:val="auto"/>
              </w:rPr>
              <w:t>对个人和家庭的补助</w:t>
            </w:r>
          </w:p>
        </w:tc>
        <w:tc>
          <w:tcPr>
            <w:tcW w:w="2551" w:type="dxa"/>
            <w:vAlign w:val="center"/>
          </w:tcPr>
          <w:p>
            <w:pPr>
              <w:pStyle w:val="11"/>
              <w:rPr>
                <w:color w:val="auto"/>
              </w:rPr>
            </w:pPr>
            <w:r>
              <w:rPr>
                <w:color w:val="auto"/>
              </w:rPr>
              <w:t>11.86</w:t>
            </w:r>
          </w:p>
        </w:tc>
        <w:tc>
          <w:tcPr>
            <w:tcW w:w="2551" w:type="dxa"/>
            <w:vAlign w:val="center"/>
          </w:tcPr>
          <w:p>
            <w:pPr>
              <w:pStyle w:val="11"/>
              <w:rPr>
                <w:color w:val="auto"/>
              </w:rPr>
            </w:pPr>
            <w:r>
              <w:rPr>
                <w:color w:val="auto"/>
              </w:rPr>
              <w:t>11.86</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1191" w:type="dxa"/>
            <w:vAlign w:val="center"/>
          </w:tcPr>
          <w:p>
            <w:pPr>
              <w:pStyle w:val="12"/>
              <w:rPr>
                <w:color w:val="auto"/>
              </w:rPr>
            </w:pPr>
            <w:r>
              <w:rPr>
                <w:color w:val="auto"/>
              </w:rPr>
              <w:t>30302</w:t>
            </w:r>
          </w:p>
        </w:tc>
        <w:tc>
          <w:tcPr>
            <w:tcW w:w="4535" w:type="dxa"/>
            <w:vAlign w:val="center"/>
          </w:tcPr>
          <w:p>
            <w:pPr>
              <w:pStyle w:val="12"/>
              <w:rPr>
                <w:color w:val="auto"/>
              </w:rPr>
            </w:pPr>
            <w:r>
              <w:rPr>
                <w:color w:val="auto"/>
              </w:rPr>
              <w:t>退休费</w:t>
            </w:r>
          </w:p>
        </w:tc>
        <w:tc>
          <w:tcPr>
            <w:tcW w:w="2551" w:type="dxa"/>
            <w:vAlign w:val="center"/>
          </w:tcPr>
          <w:p>
            <w:pPr>
              <w:pStyle w:val="11"/>
              <w:rPr>
                <w:color w:val="auto"/>
              </w:rPr>
            </w:pPr>
            <w:r>
              <w:rPr>
                <w:color w:val="auto"/>
              </w:rPr>
              <w:t>11.70</w:t>
            </w:r>
          </w:p>
        </w:tc>
        <w:tc>
          <w:tcPr>
            <w:tcW w:w="2551" w:type="dxa"/>
            <w:vAlign w:val="center"/>
          </w:tcPr>
          <w:p>
            <w:pPr>
              <w:pStyle w:val="11"/>
              <w:rPr>
                <w:color w:val="auto"/>
              </w:rPr>
            </w:pPr>
            <w:r>
              <w:rPr>
                <w:color w:val="auto"/>
              </w:rPr>
              <w:t>11.70</w:t>
            </w:r>
          </w:p>
        </w:tc>
        <w:tc>
          <w:tcPr>
            <w:tcW w:w="255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1191" w:type="dxa"/>
            <w:vAlign w:val="center"/>
          </w:tcPr>
          <w:p>
            <w:pPr>
              <w:pStyle w:val="12"/>
              <w:rPr>
                <w:color w:val="auto"/>
              </w:rPr>
            </w:pPr>
            <w:r>
              <w:rPr>
                <w:color w:val="auto"/>
              </w:rPr>
              <w:t>30309</w:t>
            </w:r>
          </w:p>
        </w:tc>
        <w:tc>
          <w:tcPr>
            <w:tcW w:w="4535" w:type="dxa"/>
            <w:vAlign w:val="center"/>
          </w:tcPr>
          <w:p>
            <w:pPr>
              <w:pStyle w:val="12"/>
              <w:rPr>
                <w:color w:val="auto"/>
              </w:rPr>
            </w:pPr>
            <w:r>
              <w:rPr>
                <w:color w:val="auto"/>
              </w:rPr>
              <w:t>奖励金</w:t>
            </w:r>
          </w:p>
        </w:tc>
        <w:tc>
          <w:tcPr>
            <w:tcW w:w="2551" w:type="dxa"/>
            <w:vAlign w:val="center"/>
          </w:tcPr>
          <w:p>
            <w:pPr>
              <w:pStyle w:val="11"/>
              <w:rPr>
                <w:color w:val="auto"/>
              </w:rPr>
            </w:pPr>
            <w:r>
              <w:rPr>
                <w:color w:val="auto"/>
              </w:rPr>
              <w:t>0.16</w:t>
            </w:r>
          </w:p>
        </w:tc>
        <w:tc>
          <w:tcPr>
            <w:tcW w:w="2551" w:type="dxa"/>
            <w:vAlign w:val="center"/>
          </w:tcPr>
          <w:p>
            <w:pPr>
              <w:pStyle w:val="11"/>
              <w:rPr>
                <w:color w:val="auto"/>
              </w:rPr>
            </w:pPr>
            <w:r>
              <w:rPr>
                <w:color w:val="auto"/>
              </w:rPr>
              <w:t>0.16</w:t>
            </w:r>
          </w:p>
        </w:tc>
        <w:tc>
          <w:tcPr>
            <w:tcW w:w="255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6" w:name="_Toc364"/>
      <w:r>
        <w:rPr>
          <w:rFonts w:ascii="方正小标宋_GBK" w:hAnsi="方正小标宋_GBK" w:eastAsia="方正小标宋_GBK" w:cs="方正小标宋_GBK"/>
          <w:color w:val="auto"/>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1"/>
        <w:rPr>
          <w:color w:val="auto"/>
        </w:rPr>
      </w:pPr>
      <w:bookmarkStart w:id="7" w:name="_Toc19133"/>
      <w:r>
        <w:rPr>
          <w:rFonts w:ascii="方正小标宋_GBK" w:hAnsi="方正小标宋_GBK" w:eastAsia="方正小标宋_GBK" w:cs="方正小标宋_GBK"/>
          <w:color w:val="auto"/>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1"/>
        <w:rPr>
          <w:color w:val="auto"/>
        </w:rPr>
      </w:pPr>
      <w:bookmarkStart w:id="8" w:name="_Toc26220"/>
      <w:r>
        <w:rPr>
          <w:rFonts w:ascii="方正小标宋_GBK" w:hAnsi="方正小标宋_GBK" w:eastAsia="方正小标宋_GBK" w:cs="方正小标宋_GBK"/>
          <w:color w:val="auto"/>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238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3798" w:type="dxa"/>
            <w:vMerge w:val="restart"/>
            <w:vAlign w:val="center"/>
          </w:tcPr>
          <w:p>
            <w:pPr>
              <w:pStyle w:val="10"/>
              <w:rPr>
                <w:color w:val="auto"/>
              </w:rPr>
            </w:pPr>
            <w:r>
              <w:rPr>
                <w:color w:val="auto"/>
              </w:rPr>
              <w:t>项  目</w:t>
            </w:r>
          </w:p>
        </w:tc>
        <w:tc>
          <w:tcPr>
            <w:tcW w:w="9524" w:type="dxa"/>
            <w:gridSpan w:val="4"/>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1" w:type="dxa"/>
            <w:vAlign w:val="center"/>
          </w:tcPr>
          <w:p>
            <w:pPr>
              <w:pStyle w:val="10"/>
              <w:rPr>
                <w:color w:val="auto"/>
              </w:rPr>
            </w:pPr>
            <w:r>
              <w:rPr>
                <w:color w:val="auto"/>
              </w:rPr>
              <w:t>合计</w:t>
            </w:r>
          </w:p>
        </w:tc>
        <w:tc>
          <w:tcPr>
            <w:tcW w:w="2381" w:type="dxa"/>
            <w:vAlign w:val="center"/>
          </w:tcPr>
          <w:p>
            <w:pPr>
              <w:pStyle w:val="10"/>
              <w:rPr>
                <w:color w:val="auto"/>
              </w:rPr>
            </w:pPr>
            <w:r>
              <w:rPr>
                <w:color w:val="auto"/>
              </w:rPr>
              <w:t>一般公共预算              财政拨款</w:t>
            </w:r>
          </w:p>
        </w:tc>
        <w:tc>
          <w:tcPr>
            <w:tcW w:w="2381" w:type="dxa"/>
            <w:vAlign w:val="center"/>
          </w:tcPr>
          <w:p>
            <w:pPr>
              <w:pStyle w:val="10"/>
              <w:rPr>
                <w:color w:val="auto"/>
              </w:rPr>
            </w:pPr>
            <w:r>
              <w:rPr>
                <w:color w:val="auto"/>
              </w:rPr>
              <w:t>政府性基金                  预算拨款</w:t>
            </w:r>
          </w:p>
        </w:tc>
        <w:tc>
          <w:tcPr>
            <w:tcW w:w="2381"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color w:val="auto"/>
              </w:rPr>
            </w:pPr>
            <w:r>
              <w:rPr>
                <w:color w:val="auto"/>
              </w:rPr>
              <w:t>栏次</w:t>
            </w:r>
          </w:p>
        </w:tc>
        <w:tc>
          <w:tcPr>
            <w:tcW w:w="3798" w:type="dxa"/>
            <w:vAlign w:val="center"/>
          </w:tcPr>
          <w:p>
            <w:pPr>
              <w:pStyle w:val="10"/>
              <w:rPr>
                <w:color w:val="auto"/>
              </w:rPr>
            </w:pPr>
            <w:r>
              <w:rPr>
                <w:color w:val="auto"/>
              </w:rPr>
              <w:t>1</w:t>
            </w:r>
          </w:p>
        </w:tc>
        <w:tc>
          <w:tcPr>
            <w:tcW w:w="2381" w:type="dxa"/>
            <w:vAlign w:val="center"/>
          </w:tcPr>
          <w:p>
            <w:pPr>
              <w:pStyle w:val="10"/>
              <w:rPr>
                <w:color w:val="auto"/>
              </w:rPr>
            </w:pPr>
            <w:r>
              <w:rPr>
                <w:color w:val="auto"/>
              </w:rPr>
              <w:t>2</w:t>
            </w:r>
          </w:p>
        </w:tc>
        <w:tc>
          <w:tcPr>
            <w:tcW w:w="2381" w:type="dxa"/>
            <w:vAlign w:val="center"/>
          </w:tcPr>
          <w:p>
            <w:pPr>
              <w:pStyle w:val="10"/>
              <w:rPr>
                <w:color w:val="auto"/>
              </w:rPr>
            </w:pPr>
            <w:r>
              <w:rPr>
                <w:color w:val="auto"/>
              </w:rPr>
              <w:t>3</w:t>
            </w:r>
          </w:p>
        </w:tc>
        <w:tc>
          <w:tcPr>
            <w:tcW w:w="2381" w:type="dxa"/>
            <w:vAlign w:val="center"/>
          </w:tcPr>
          <w:p>
            <w:pPr>
              <w:pStyle w:val="10"/>
              <w:rPr>
                <w:color w:val="auto"/>
              </w:rPr>
            </w:pPr>
            <w:r>
              <w:rPr>
                <w:color w:val="auto"/>
              </w:rPr>
              <w:t>4</w:t>
            </w:r>
          </w:p>
        </w:tc>
        <w:tc>
          <w:tcPr>
            <w:tcW w:w="238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w:t>
            </w:r>
          </w:p>
        </w:tc>
        <w:tc>
          <w:tcPr>
            <w:tcW w:w="3798" w:type="dxa"/>
            <w:vAlign w:val="center"/>
          </w:tcPr>
          <w:p>
            <w:pPr>
              <w:pStyle w:val="14"/>
              <w:rPr>
                <w:color w:val="auto"/>
              </w:rPr>
            </w:pPr>
            <w:r>
              <w:rPr>
                <w:color w:val="auto"/>
              </w:rPr>
              <w:t>合计</w:t>
            </w:r>
          </w:p>
        </w:tc>
        <w:tc>
          <w:tcPr>
            <w:tcW w:w="2381" w:type="dxa"/>
            <w:vAlign w:val="center"/>
          </w:tcPr>
          <w:p>
            <w:pPr>
              <w:pStyle w:val="15"/>
              <w:rPr>
                <w:color w:val="auto"/>
              </w:rPr>
            </w:pPr>
            <w:r>
              <w:rPr>
                <w:color w:val="auto"/>
              </w:rPr>
              <w:t>4.00</w:t>
            </w:r>
          </w:p>
        </w:tc>
        <w:tc>
          <w:tcPr>
            <w:tcW w:w="2381" w:type="dxa"/>
            <w:vAlign w:val="center"/>
          </w:tcPr>
          <w:p>
            <w:pPr>
              <w:pStyle w:val="15"/>
              <w:rPr>
                <w:color w:val="auto"/>
              </w:rPr>
            </w:pPr>
            <w:r>
              <w:rPr>
                <w:color w:val="auto"/>
              </w:rPr>
              <w:t>4.00</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2</w:t>
            </w:r>
          </w:p>
        </w:tc>
        <w:tc>
          <w:tcPr>
            <w:tcW w:w="3798" w:type="dxa"/>
            <w:vAlign w:val="center"/>
          </w:tcPr>
          <w:p>
            <w:pPr>
              <w:pStyle w:val="12"/>
              <w:rPr>
                <w:color w:val="auto"/>
              </w:rPr>
            </w:pPr>
            <w:r>
              <w:rPr>
                <w:color w:val="auto"/>
              </w:rPr>
              <w:t>“三公”经费小计</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3</w:t>
            </w:r>
          </w:p>
        </w:tc>
        <w:tc>
          <w:tcPr>
            <w:tcW w:w="3798" w:type="dxa"/>
            <w:vAlign w:val="center"/>
          </w:tcPr>
          <w:p>
            <w:pPr>
              <w:pStyle w:val="12"/>
              <w:rPr>
                <w:color w:val="auto"/>
              </w:rPr>
            </w:pPr>
            <w:r>
              <w:rPr>
                <w:color w:val="auto"/>
              </w:rPr>
              <w:t>一、因公出国（境）费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4</w:t>
            </w:r>
          </w:p>
        </w:tc>
        <w:tc>
          <w:tcPr>
            <w:tcW w:w="3798" w:type="dxa"/>
            <w:vAlign w:val="center"/>
          </w:tcPr>
          <w:p>
            <w:pPr>
              <w:pStyle w:val="12"/>
              <w:rPr>
                <w:color w:val="auto"/>
              </w:rPr>
            </w:pPr>
            <w:r>
              <w:rPr>
                <w:color w:val="auto"/>
              </w:rPr>
              <w:t xml:space="preserve">    其中：教学科研人员因公出国（境）费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5</w:t>
            </w:r>
          </w:p>
        </w:tc>
        <w:tc>
          <w:tcPr>
            <w:tcW w:w="3798" w:type="dxa"/>
            <w:vAlign w:val="center"/>
          </w:tcPr>
          <w:p>
            <w:pPr>
              <w:pStyle w:val="12"/>
              <w:rPr>
                <w:color w:val="auto"/>
              </w:rPr>
            </w:pPr>
            <w:r>
              <w:rPr>
                <w:color w:val="auto"/>
              </w:rPr>
              <w:t xml:space="preserve">          其他因公出国（境）费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6</w:t>
            </w:r>
          </w:p>
        </w:tc>
        <w:tc>
          <w:tcPr>
            <w:tcW w:w="3798" w:type="dxa"/>
            <w:vAlign w:val="center"/>
          </w:tcPr>
          <w:p>
            <w:pPr>
              <w:pStyle w:val="12"/>
              <w:rPr>
                <w:color w:val="auto"/>
              </w:rPr>
            </w:pPr>
            <w:r>
              <w:rPr>
                <w:color w:val="auto"/>
              </w:rPr>
              <w:t>二、公务用车购置及运维费</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7</w:t>
            </w:r>
          </w:p>
        </w:tc>
        <w:tc>
          <w:tcPr>
            <w:tcW w:w="3798" w:type="dxa"/>
            <w:vAlign w:val="center"/>
          </w:tcPr>
          <w:p>
            <w:pPr>
              <w:pStyle w:val="12"/>
              <w:rPr>
                <w:color w:val="auto"/>
              </w:rPr>
            </w:pPr>
            <w:r>
              <w:rPr>
                <w:color w:val="auto"/>
              </w:rPr>
              <w:t xml:space="preserve">    其中：公务用车购置费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8</w:t>
            </w:r>
          </w:p>
        </w:tc>
        <w:tc>
          <w:tcPr>
            <w:tcW w:w="3798" w:type="dxa"/>
            <w:vAlign w:val="center"/>
          </w:tcPr>
          <w:p>
            <w:pPr>
              <w:pStyle w:val="12"/>
              <w:rPr>
                <w:color w:val="auto"/>
              </w:rPr>
            </w:pPr>
            <w:r>
              <w:rPr>
                <w:color w:val="auto"/>
              </w:rPr>
              <w:t xml:space="preserve">          公务用车运行维护费</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r>
              <w:rPr>
                <w:color w:val="auto"/>
              </w:rPr>
              <w:t>4.00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9</w:t>
            </w:r>
          </w:p>
        </w:tc>
        <w:tc>
          <w:tcPr>
            <w:tcW w:w="3798" w:type="dxa"/>
            <w:vAlign w:val="center"/>
          </w:tcPr>
          <w:p>
            <w:pPr>
              <w:pStyle w:val="12"/>
              <w:rPr>
                <w:color w:val="auto"/>
              </w:rPr>
            </w:pPr>
            <w:r>
              <w:rPr>
                <w:color w:val="auto"/>
              </w:rPr>
              <w:t>三、公务接待费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10</w:t>
            </w:r>
          </w:p>
        </w:tc>
        <w:tc>
          <w:tcPr>
            <w:tcW w:w="3798" w:type="dxa"/>
            <w:vAlign w:val="center"/>
          </w:tcPr>
          <w:p>
            <w:pPr>
              <w:pStyle w:val="12"/>
              <w:rPr>
                <w:color w:val="auto"/>
              </w:rPr>
            </w:pPr>
            <w:r>
              <w:rPr>
                <w:color w:val="auto"/>
              </w:rPr>
              <w:t>四、会议费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11</w:t>
            </w:r>
          </w:p>
        </w:tc>
        <w:tc>
          <w:tcPr>
            <w:tcW w:w="3798" w:type="dxa"/>
            <w:vAlign w:val="center"/>
          </w:tcPr>
          <w:p>
            <w:pPr>
              <w:pStyle w:val="12"/>
              <w:rPr>
                <w:color w:val="auto"/>
              </w:rPr>
            </w:pPr>
            <w:r>
              <w:rPr>
                <w:color w:val="auto"/>
              </w:rPr>
              <w:t>五、培训费</w:t>
            </w: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bl>
    <w:p>
      <w:pPr>
        <w:jc w:val="center"/>
        <w:rPr>
          <w:color w:val="auto"/>
        </w:rPr>
      </w:pPr>
      <w:r>
        <w:rPr>
          <w:rFonts w:ascii="方正小标宋_GBK" w:hAnsi="方正小标宋_GBK" w:eastAsia="方正小标宋_GBK" w:cs="方正小标宋_GBK"/>
          <w:color w:val="auto"/>
          <w:sz w:val="44"/>
        </w:rPr>
        <w:t>丰润区燕山路办事处2022年部门预算信息公开情况说明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val="en-US" w:eastAsia="zh-CN"/>
        </w:rPr>
        <w:t>中华人民共和国</w:t>
      </w:r>
      <w:bookmarkStart w:id="18" w:name="_GoBack"/>
      <w:bookmarkEnd w:id="18"/>
      <w:r>
        <w:rPr>
          <w:rFonts w:eastAsia="方正仿宋_GBK"/>
          <w:color w:val="auto"/>
          <w:sz w:val="28"/>
        </w:rPr>
        <w:t>预算法》、《地方预决算公开操作规程》和《关于进一步推进预算公开工作的实施意见》规定，现将丰润区燕山路办事处2022年部门预算公开如下：</w:t>
      </w:r>
    </w:p>
    <w:p>
      <w:pPr>
        <w:spacing w:before="10" w:after="10" w:line="360" w:lineRule="auto"/>
        <w:ind w:firstLine="640"/>
        <w:outlineLvl w:val="2"/>
        <w:rPr>
          <w:color w:val="auto"/>
        </w:rPr>
      </w:pPr>
      <w:bookmarkStart w:id="9" w:name="_Toc7593"/>
      <w:r>
        <w:rPr>
          <w:rFonts w:ascii="黑体" w:hAnsi="黑体" w:eastAsia="黑体" w:cs="黑体"/>
          <w:color w:val="auto"/>
          <w:sz w:val="32"/>
        </w:rPr>
        <w:t>一、部门职责及机构设置情况</w:t>
      </w:r>
      <w:bookmarkEnd w:id="9"/>
    </w:p>
    <w:p>
      <w:pPr>
        <w:ind w:firstLine="640"/>
        <w:rPr>
          <w:color w:val="auto"/>
        </w:rPr>
      </w:pPr>
      <w:r>
        <w:rPr>
          <w:rFonts w:ascii="方正楷体_GBK" w:hAnsi="方正楷体_GBK" w:eastAsia="方正楷体_GBK" w:cs="方正楷体_GBK"/>
          <w:b/>
          <w:color w:val="auto"/>
          <w:sz w:val="32"/>
        </w:rPr>
        <w:t>部门职责：</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一、</w:t>
      </w:r>
      <w:r>
        <w:rPr>
          <w:rFonts w:hint="eastAsia" w:eastAsia="方正仿宋_GBK"/>
          <w:color w:val="000000"/>
          <w:sz w:val="28"/>
        </w:rPr>
        <w:t>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hint="eastAsia" w:eastAsia="方正仿宋_GBK"/>
          <w:color w:val="000000"/>
          <w:sz w:val="28"/>
        </w:rPr>
      </w:pPr>
      <w:r>
        <w:rPr>
          <w:rFonts w:hint="eastAsia" w:eastAsia="方正仿宋_GBK"/>
          <w:color w:val="000000"/>
          <w:sz w:val="28"/>
        </w:rP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spacing w:line="500" w:lineRule="exact"/>
        <w:ind w:firstLine="560"/>
        <w:rPr>
          <w:rFonts w:hint="eastAsia" w:eastAsia="方正仿宋_GBK"/>
          <w:color w:val="000000"/>
          <w:sz w:val="28"/>
        </w:rPr>
      </w:pPr>
      <w:r>
        <w:rPr>
          <w:rFonts w:hint="eastAsia" w:eastAsia="方正仿宋_GBK"/>
          <w:color w:val="000000"/>
          <w:sz w:val="28"/>
        </w:rPr>
        <w:t>三、负责办理上级人大常委会交办的监督、选举以及其他工作，做好人大代表工作，联系选民、反映群众意见和要求。</w:t>
      </w:r>
    </w:p>
    <w:p>
      <w:pPr>
        <w:spacing w:line="500" w:lineRule="exact"/>
        <w:ind w:firstLine="560"/>
        <w:rPr>
          <w:rFonts w:hint="eastAsia" w:eastAsia="方正仿宋_GBK"/>
          <w:color w:val="000000"/>
          <w:sz w:val="28"/>
        </w:rPr>
      </w:pPr>
      <w:r>
        <w:rPr>
          <w:rFonts w:hint="eastAsia" w:eastAsia="方正仿宋_GBK"/>
          <w:color w:val="000000"/>
          <w:sz w:val="28"/>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hint="eastAsia" w:eastAsia="方正仿宋_GBK"/>
          <w:color w:val="000000"/>
          <w:sz w:val="28"/>
        </w:rPr>
      </w:pPr>
      <w:r>
        <w:rPr>
          <w:rFonts w:hint="eastAsia" w:eastAsia="方正仿宋_GBK"/>
          <w:color w:val="000000"/>
          <w:sz w:val="28"/>
        </w:rPr>
        <w:t>五、街道党工委领导群团组织，加强指导和规范，支持和保证群团组织依照国家法律法规以及各自章程履行职责。坚持党管武装的根本原则和制度，协调各方力量，对街道人民武装工作实行统一领导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hint="eastAsia" w:eastAsia="方正仿宋_GBK"/>
          <w:color w:val="000000"/>
          <w:sz w:val="28"/>
        </w:rPr>
      </w:pPr>
      <w:r>
        <w:rPr>
          <w:rFonts w:hint="eastAsia" w:eastAsia="方正仿宋_GBK"/>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hint="eastAsia" w:eastAsia="方正仿宋_GBK"/>
          <w:color w:val="000000"/>
          <w:sz w:val="28"/>
        </w:rPr>
      </w:pPr>
      <w:r>
        <w:rPr>
          <w:rFonts w:hint="eastAsia" w:eastAsia="方正仿宋_GBK"/>
          <w:color w:val="000000"/>
          <w:sz w:val="28"/>
        </w:rPr>
        <w:t>七、按照管理权限，对街道机关及所属单位干部进行教育、培训、选拔、考核和监督，对上级政府职能部门派出机构的工作考核和主要负责同志任免提出意见。</w:t>
      </w:r>
    </w:p>
    <w:p>
      <w:pPr>
        <w:spacing w:line="500" w:lineRule="exact"/>
        <w:ind w:firstLine="560"/>
        <w:rPr>
          <w:rFonts w:hint="eastAsia" w:eastAsia="方正仿宋_GBK"/>
          <w:color w:val="000000"/>
          <w:sz w:val="28"/>
        </w:rPr>
      </w:pPr>
      <w:r>
        <w:rPr>
          <w:rFonts w:hint="eastAsia" w:eastAsia="方正仿宋_GBK"/>
          <w:color w:val="000000"/>
          <w:sz w:val="28"/>
        </w:rPr>
        <w:t>八、组织维护辖区安全稳定，协调推动社会治安综合治理，做好应急管理、民族宗教工作，承担民兵预备役、征兵、退役军人服务，拥军优属、防范邪教等工作。</w:t>
      </w:r>
    </w:p>
    <w:p>
      <w:pPr>
        <w:spacing w:line="500" w:lineRule="exact"/>
        <w:ind w:firstLine="560"/>
        <w:rPr>
          <w:rFonts w:hint="eastAsia" w:eastAsia="方正仿宋_GBK"/>
          <w:color w:val="000000"/>
          <w:sz w:val="28"/>
        </w:rPr>
      </w:pPr>
      <w:r>
        <w:rPr>
          <w:rFonts w:hint="eastAsia" w:eastAsia="方正仿宋_GBK"/>
          <w:color w:val="000000"/>
          <w:sz w:val="28"/>
        </w:rPr>
        <w:t>九、组织开展群众性文、体育、科普活动，开展法治宣传和社会公德教育，推动社区公益事业发展。维护老年人、妇女、未成年人、残疾人等合法权益。</w:t>
      </w:r>
    </w:p>
    <w:p>
      <w:pPr>
        <w:spacing w:line="500" w:lineRule="exact"/>
        <w:ind w:firstLine="560"/>
        <w:rPr>
          <w:rFonts w:hint="eastAsia" w:eastAsia="方正仿宋_GBK"/>
          <w:color w:val="000000"/>
          <w:sz w:val="28"/>
        </w:rPr>
      </w:pPr>
      <w:r>
        <w:rPr>
          <w:rFonts w:hint="eastAsia" w:eastAsia="方正仿宋_GBK"/>
          <w:color w:val="000000"/>
          <w:sz w:val="28"/>
        </w:rPr>
        <w:t>十、参与社区设施规划、建设和验收，综合管理、统筹调度和考核督办涉及辖区的公共事务，按照有关规定统筹使用下沉到街道社区的人财物等资源。</w:t>
      </w:r>
    </w:p>
    <w:p>
      <w:pPr>
        <w:spacing w:line="500" w:lineRule="exact"/>
        <w:ind w:firstLine="560"/>
        <w:rPr>
          <w:rFonts w:hint="eastAsia" w:eastAsia="方正仿宋_GBK"/>
          <w:color w:val="000000"/>
          <w:sz w:val="28"/>
        </w:rPr>
      </w:pPr>
      <w:r>
        <w:rPr>
          <w:rFonts w:hint="eastAsia" w:eastAsia="方正仿宋_GBK"/>
          <w:color w:val="000000"/>
          <w:sz w:val="28"/>
        </w:rPr>
        <w:t>十一、承办上级党委、人大、政府交办的其他事项。</w:t>
      </w:r>
    </w:p>
    <w:p>
      <w:pPr>
        <w:ind w:firstLine="640"/>
        <w:rPr>
          <w:color w:val="auto"/>
        </w:rPr>
      </w:pPr>
      <w:r>
        <w:rPr>
          <w:rFonts w:ascii="方正楷体_GBK" w:hAnsi="方正楷体_GBK" w:eastAsia="方正楷体_GBK" w:cs="方正楷体_GBK"/>
          <w:b/>
          <w:color w:val="auto"/>
          <w:sz w:val="32"/>
        </w:rPr>
        <w:t>机构设置：</w:t>
      </w:r>
    </w:p>
    <w:p>
      <w:pPr>
        <w:jc w:val="center"/>
        <w:rPr>
          <w:color w:val="auto"/>
        </w:rPr>
      </w:pPr>
      <w:r>
        <w:rPr>
          <w:rFonts w:ascii="方正小标宋_GBK" w:hAnsi="方正小标宋_GBK" w:eastAsia="方正小标宋_GBK" w:cs="方正小标宋_GBK"/>
          <w:color w:val="auto"/>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color w:val="auto"/>
              </w:rPr>
            </w:pPr>
            <w:r>
              <w:rPr>
                <w:color w:val="auto"/>
              </w:rPr>
              <w:t>单位名称</w:t>
            </w:r>
          </w:p>
        </w:tc>
        <w:tc>
          <w:tcPr>
            <w:tcW w:w="1843" w:type="dxa"/>
            <w:vAlign w:val="center"/>
          </w:tcPr>
          <w:p>
            <w:pPr>
              <w:pStyle w:val="10"/>
              <w:rPr>
                <w:color w:val="auto"/>
              </w:rPr>
            </w:pPr>
            <w:r>
              <w:rPr>
                <w:color w:val="auto"/>
              </w:rPr>
              <w:t>单位性质</w:t>
            </w:r>
          </w:p>
        </w:tc>
        <w:tc>
          <w:tcPr>
            <w:tcW w:w="2126" w:type="dxa"/>
            <w:vAlign w:val="center"/>
          </w:tcPr>
          <w:p>
            <w:pPr>
              <w:pStyle w:val="10"/>
              <w:rPr>
                <w:color w:val="auto"/>
              </w:rPr>
            </w:pPr>
            <w:r>
              <w:rPr>
                <w:color w:val="auto"/>
              </w:rPr>
              <w:t>单位规格</w:t>
            </w:r>
          </w:p>
        </w:tc>
        <w:tc>
          <w:tcPr>
            <w:tcW w:w="3827" w:type="dxa"/>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丰润区燕山路办事处本级</w:t>
            </w:r>
          </w:p>
        </w:tc>
        <w:tc>
          <w:tcPr>
            <w:tcW w:w="1843" w:type="dxa"/>
            <w:vAlign w:val="center"/>
          </w:tcPr>
          <w:p>
            <w:pPr>
              <w:pStyle w:val="13"/>
              <w:rPr>
                <w:color w:val="auto"/>
              </w:rPr>
            </w:pPr>
            <w:r>
              <w:rPr>
                <w:color w:val="auto"/>
              </w:rPr>
              <w:t>行政</w:t>
            </w:r>
          </w:p>
        </w:tc>
        <w:tc>
          <w:tcPr>
            <w:tcW w:w="2126" w:type="dxa"/>
            <w:vAlign w:val="center"/>
          </w:tcPr>
          <w:p>
            <w:pPr>
              <w:pStyle w:val="13"/>
              <w:rPr>
                <w:color w:val="auto"/>
              </w:rPr>
            </w:pPr>
            <w:r>
              <w:rPr>
                <w:color w:val="auto"/>
              </w:rPr>
              <w:t>正科级</w:t>
            </w:r>
          </w:p>
        </w:tc>
        <w:tc>
          <w:tcPr>
            <w:tcW w:w="3827" w:type="dxa"/>
            <w:vAlign w:val="center"/>
          </w:tcPr>
          <w:p>
            <w:pPr>
              <w:pStyle w:val="13"/>
              <w:rPr>
                <w:color w:val="auto"/>
              </w:rPr>
            </w:pPr>
            <w:r>
              <w:rPr>
                <w:color w:val="auto"/>
              </w:rPr>
              <w:t>财政拨款</w:t>
            </w:r>
          </w:p>
        </w:tc>
      </w:tr>
    </w:tbl>
    <w:p>
      <w:pPr>
        <w:spacing w:before="10" w:after="10" w:line="360" w:lineRule="auto"/>
        <w:ind w:firstLine="640"/>
        <w:outlineLvl w:val="2"/>
        <w:rPr>
          <w:color w:val="auto"/>
        </w:rPr>
      </w:pPr>
      <w:bookmarkStart w:id="10" w:name="_Toc17945"/>
      <w:r>
        <w:rPr>
          <w:rFonts w:ascii="黑体" w:hAnsi="黑体" w:eastAsia="黑体" w:cs="黑体"/>
          <w:color w:val="auto"/>
          <w:sz w:val="32"/>
        </w:rPr>
        <w:t>二、部门预算安排的总体情况</w:t>
      </w:r>
      <w:bookmarkEnd w:id="10"/>
    </w:p>
    <w:p>
      <w:pPr>
        <w:spacing w:line="500" w:lineRule="exact"/>
        <w:ind w:firstLine="560"/>
        <w:rPr>
          <w:color w:val="auto"/>
        </w:rPr>
      </w:pPr>
      <w:r>
        <w:rPr>
          <w:rFonts w:eastAsia="方正仿宋_GBK"/>
          <w:color w:val="auto"/>
          <w:sz w:val="28"/>
        </w:rPr>
        <w:t>按照预算管理有关规定，目前我部门预算的编制实行综合预算管理，即全部收入和支出都反映在预算中。丰润区燕山路办事处机关及所属事业单位的收支包含在部门预算中。</w:t>
      </w:r>
    </w:p>
    <w:p>
      <w:pPr>
        <w:spacing w:line="500" w:lineRule="exact"/>
        <w:ind w:firstLine="560"/>
        <w:rPr>
          <w:rFonts w:hint="eastAsia" w:eastAsia="方正仿宋_GBK"/>
          <w:color w:val="auto"/>
          <w:sz w:val="28"/>
        </w:rPr>
      </w:pPr>
      <w:r>
        <w:rPr>
          <w:rFonts w:hint="eastAsia" w:eastAsia="方正仿宋_GBK"/>
          <w:color w:val="auto"/>
          <w:sz w:val="28"/>
        </w:rPr>
        <w:t>1、部门预算收入情况：本部门202</w:t>
      </w:r>
      <w:r>
        <w:rPr>
          <w:rFonts w:hint="eastAsia" w:eastAsia="方正仿宋_GBK"/>
          <w:color w:val="auto"/>
          <w:sz w:val="28"/>
          <w:lang w:val="en-US" w:eastAsia="zh-CN"/>
        </w:rPr>
        <w:t>2</w:t>
      </w:r>
      <w:r>
        <w:rPr>
          <w:rFonts w:hint="eastAsia" w:eastAsia="方正仿宋_GBK"/>
          <w:color w:val="auto"/>
          <w:sz w:val="28"/>
        </w:rPr>
        <w:t>年预算收入总额</w:t>
      </w:r>
      <w:r>
        <w:rPr>
          <w:rFonts w:hint="eastAsia" w:eastAsia="方正仿宋_GBK"/>
          <w:color w:val="auto"/>
          <w:sz w:val="28"/>
          <w:lang w:val="en-US" w:eastAsia="zh-CN"/>
        </w:rPr>
        <w:t>1788.56</w:t>
      </w:r>
      <w:r>
        <w:rPr>
          <w:rFonts w:hint="eastAsia" w:eastAsia="方正仿宋_GBK"/>
          <w:color w:val="auto"/>
          <w:sz w:val="28"/>
        </w:rPr>
        <w:t>万元，全部为财政拨款收入。</w:t>
      </w:r>
    </w:p>
    <w:p>
      <w:pPr>
        <w:spacing w:line="500" w:lineRule="exact"/>
        <w:ind w:firstLine="560"/>
        <w:rPr>
          <w:rFonts w:hint="eastAsia" w:eastAsia="方正仿宋_GBK"/>
          <w:color w:val="auto"/>
          <w:sz w:val="28"/>
          <w:lang w:eastAsia="zh-CN"/>
        </w:rPr>
      </w:pPr>
      <w:r>
        <w:rPr>
          <w:rFonts w:hint="eastAsia" w:eastAsia="方正仿宋_GBK"/>
          <w:color w:val="auto"/>
          <w:sz w:val="28"/>
        </w:rPr>
        <w:t>2、部门预算支出情况：202</w:t>
      </w:r>
      <w:r>
        <w:rPr>
          <w:rFonts w:hint="eastAsia" w:eastAsia="方正仿宋_GBK"/>
          <w:color w:val="auto"/>
          <w:sz w:val="28"/>
          <w:lang w:val="en-US" w:eastAsia="zh-CN"/>
        </w:rPr>
        <w:t>2</w:t>
      </w:r>
      <w:r>
        <w:rPr>
          <w:rFonts w:hint="eastAsia" w:eastAsia="方正仿宋_GBK"/>
          <w:color w:val="auto"/>
          <w:sz w:val="28"/>
        </w:rPr>
        <w:t>年根据本单位职责和工作任务规划，共安排部门预算支出</w:t>
      </w:r>
      <w:r>
        <w:rPr>
          <w:rFonts w:hint="eastAsia" w:eastAsia="方正仿宋_GBK"/>
          <w:color w:val="auto"/>
          <w:sz w:val="28"/>
          <w:lang w:val="en-US" w:eastAsia="zh-CN"/>
        </w:rPr>
        <w:t>1788.56</w:t>
      </w:r>
      <w:r>
        <w:rPr>
          <w:rFonts w:hint="eastAsia" w:eastAsia="方正仿宋_GBK"/>
          <w:color w:val="auto"/>
          <w:sz w:val="28"/>
        </w:rPr>
        <w:t>万元，其中基本支出</w:t>
      </w:r>
      <w:r>
        <w:rPr>
          <w:rFonts w:hint="eastAsia" w:eastAsia="方正仿宋_GBK"/>
          <w:color w:val="auto"/>
          <w:sz w:val="28"/>
          <w:lang w:val="en-US" w:eastAsia="zh-CN"/>
        </w:rPr>
        <w:t>1593.90</w:t>
      </w:r>
      <w:r>
        <w:rPr>
          <w:rFonts w:hint="eastAsia" w:eastAsia="方正仿宋_GBK"/>
          <w:color w:val="auto"/>
          <w:sz w:val="28"/>
        </w:rPr>
        <w:t>万元，项目支出</w:t>
      </w:r>
      <w:r>
        <w:rPr>
          <w:rFonts w:hint="eastAsia" w:eastAsia="方正仿宋_GBK"/>
          <w:color w:val="auto"/>
          <w:sz w:val="28"/>
          <w:lang w:val="en-US" w:eastAsia="zh-CN"/>
        </w:rPr>
        <w:t>194.66</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lang w:val="en-US" w:eastAsia="zh-CN"/>
        </w:rPr>
        <w:t>其中大型项目支出“社区工作经费”140万元。</w:t>
      </w:r>
    </w:p>
    <w:p>
      <w:pPr>
        <w:pStyle w:val="26"/>
        <w:rPr>
          <w:rFonts w:hint="default" w:eastAsia="方正仿宋_GBK"/>
          <w:color w:val="auto"/>
          <w:sz w:val="28"/>
          <w:lang w:val="en-US"/>
        </w:rPr>
      </w:pPr>
      <w:r>
        <w:rPr>
          <w:rFonts w:hint="eastAsia" w:eastAsia="方正仿宋_GBK"/>
          <w:color w:val="auto"/>
          <w:sz w:val="28"/>
        </w:rPr>
        <w:t>3、比上年增减变动情况：本部门</w:t>
      </w:r>
      <w:r>
        <w:rPr>
          <w:rFonts w:hint="eastAsia"/>
          <w:color w:val="auto"/>
          <w:sz w:val="28"/>
          <w:lang w:val="en-US" w:eastAsia="zh-CN"/>
        </w:rPr>
        <w:t>2022年</w:t>
      </w:r>
      <w:r>
        <w:rPr>
          <w:rFonts w:hint="eastAsia" w:eastAsia="方正仿宋_GBK"/>
          <w:color w:val="auto"/>
          <w:sz w:val="28"/>
        </w:rPr>
        <w:t>预算安排与</w:t>
      </w:r>
      <w:r>
        <w:rPr>
          <w:rFonts w:hint="eastAsia"/>
          <w:color w:val="auto"/>
          <w:sz w:val="28"/>
          <w:lang w:val="en-US" w:eastAsia="zh-CN"/>
        </w:rPr>
        <w:t>2021年</w:t>
      </w:r>
      <w:r>
        <w:rPr>
          <w:rFonts w:hint="eastAsia" w:eastAsia="方正仿宋_GBK"/>
          <w:color w:val="auto"/>
          <w:sz w:val="28"/>
        </w:rPr>
        <w:t>相比增加了</w:t>
      </w:r>
      <w:r>
        <w:rPr>
          <w:rFonts w:hint="eastAsia"/>
          <w:color w:val="auto"/>
          <w:sz w:val="28"/>
          <w:lang w:val="en-US" w:eastAsia="zh-CN"/>
        </w:rPr>
        <w:t>610.27</w:t>
      </w:r>
      <w:r>
        <w:rPr>
          <w:rFonts w:hint="eastAsia" w:eastAsia="方正仿宋_GBK"/>
          <w:color w:val="auto"/>
          <w:sz w:val="28"/>
        </w:rPr>
        <w:t>万元，其中：人员经费增加</w:t>
      </w:r>
      <w:r>
        <w:rPr>
          <w:rFonts w:hint="eastAsia"/>
          <w:color w:val="auto"/>
          <w:sz w:val="28"/>
          <w:lang w:val="en-US" w:eastAsia="zh-CN"/>
        </w:rPr>
        <w:t>571.04</w:t>
      </w:r>
      <w:r>
        <w:rPr>
          <w:rFonts w:hint="eastAsia" w:eastAsia="方正仿宋_GBK"/>
          <w:color w:val="auto"/>
          <w:sz w:val="28"/>
        </w:rPr>
        <w:t>万元，用于</w:t>
      </w:r>
      <w:r>
        <w:rPr>
          <w:rFonts w:hint="eastAsia"/>
          <w:color w:val="auto"/>
          <w:sz w:val="28"/>
          <w:lang w:val="en-US" w:eastAsia="zh-CN"/>
        </w:rPr>
        <w:t>120名社区工作者调薪，新增2名公务员及4个事业编工作人员的工资、保险；</w:t>
      </w:r>
      <w:r>
        <w:rPr>
          <w:rFonts w:hint="eastAsia" w:eastAsia="方正仿宋_GBK"/>
          <w:color w:val="auto"/>
          <w:sz w:val="28"/>
        </w:rPr>
        <w:t>正常公用经费增加</w:t>
      </w:r>
      <w:r>
        <w:rPr>
          <w:rFonts w:hint="eastAsia"/>
          <w:color w:val="auto"/>
          <w:sz w:val="28"/>
          <w:lang w:val="en-US" w:eastAsia="zh-CN"/>
        </w:rPr>
        <w:t>19.23</w:t>
      </w:r>
      <w:r>
        <w:rPr>
          <w:rFonts w:hint="eastAsia" w:eastAsia="方正仿宋_GBK"/>
          <w:color w:val="auto"/>
          <w:sz w:val="28"/>
        </w:rPr>
        <w:t>万元</w:t>
      </w:r>
      <w:r>
        <w:rPr>
          <w:rFonts w:hint="eastAsia"/>
          <w:color w:val="auto"/>
          <w:sz w:val="28"/>
          <w:lang w:eastAsia="zh-CN"/>
        </w:rPr>
        <w:t>，</w:t>
      </w:r>
      <w:r>
        <w:rPr>
          <w:rFonts w:hint="eastAsia"/>
          <w:color w:val="auto"/>
          <w:sz w:val="28"/>
          <w:lang w:val="en-US" w:eastAsia="zh-CN"/>
        </w:rPr>
        <w:t>用于政务大厅新址的</w:t>
      </w:r>
      <w:r>
        <w:rPr>
          <w:rFonts w:hint="eastAsia" w:eastAsia="方正仿宋_GBK"/>
          <w:color w:val="auto"/>
          <w:sz w:val="28"/>
          <w:lang w:eastAsia="zh-CN"/>
        </w:rPr>
        <w:t>办公取暖费</w:t>
      </w:r>
      <w:r>
        <w:rPr>
          <w:rFonts w:hint="eastAsia" w:eastAsia="方正仿宋_GBK"/>
          <w:color w:val="auto"/>
          <w:sz w:val="28"/>
          <w:lang w:val="en-US" w:eastAsia="zh-CN"/>
        </w:rPr>
        <w:t>，</w:t>
      </w:r>
      <w:r>
        <w:rPr>
          <w:rFonts w:hint="eastAsia"/>
          <w:color w:val="auto"/>
          <w:sz w:val="28"/>
          <w:lang w:val="en-US" w:eastAsia="zh-CN"/>
        </w:rPr>
        <w:t>新增2名公务员及4个事业编工作人员的工会福利费；</w:t>
      </w:r>
      <w:r>
        <w:rPr>
          <w:rFonts w:hint="eastAsia" w:eastAsia="方正仿宋_GBK"/>
          <w:color w:val="auto"/>
          <w:sz w:val="28"/>
        </w:rPr>
        <w:t>项目支出与上年相比增加</w:t>
      </w:r>
      <w:r>
        <w:rPr>
          <w:rFonts w:hint="eastAsia"/>
          <w:color w:val="auto"/>
          <w:sz w:val="28"/>
          <w:lang w:val="en-US" w:eastAsia="zh-CN"/>
        </w:rPr>
        <w:t>20</w:t>
      </w:r>
      <w:r>
        <w:rPr>
          <w:rFonts w:hint="eastAsia" w:eastAsia="方正仿宋_GBK"/>
          <w:color w:val="auto"/>
          <w:sz w:val="28"/>
        </w:rPr>
        <w:t>万元，</w:t>
      </w:r>
      <w:r>
        <w:rPr>
          <w:rFonts w:hint="eastAsia"/>
          <w:color w:val="auto"/>
          <w:sz w:val="28"/>
          <w:lang w:val="en-US" w:eastAsia="zh-CN"/>
        </w:rPr>
        <w:t>因为增加了省专班环保工作经费。</w:t>
      </w:r>
    </w:p>
    <w:p>
      <w:pPr>
        <w:pStyle w:val="18"/>
        <w:rPr>
          <w:color w:val="auto"/>
        </w:rPr>
      </w:pPr>
    </w:p>
    <w:p>
      <w:pPr>
        <w:spacing w:before="10" w:after="10" w:line="360" w:lineRule="auto"/>
        <w:ind w:firstLine="640"/>
        <w:outlineLvl w:val="2"/>
        <w:rPr>
          <w:color w:val="auto"/>
        </w:rPr>
      </w:pPr>
      <w:bookmarkStart w:id="11" w:name="_Toc20177"/>
      <w:r>
        <w:rPr>
          <w:rFonts w:ascii="黑体" w:hAnsi="黑体" w:eastAsia="黑体" w:cs="黑体"/>
          <w:color w:val="auto"/>
          <w:sz w:val="32"/>
        </w:rPr>
        <w:t>三、机关运行经费安排情况</w:t>
      </w:r>
      <w:bookmarkEnd w:id="11"/>
    </w:p>
    <w:p>
      <w:pPr>
        <w:spacing w:line="500" w:lineRule="exact"/>
        <w:ind w:firstLine="560"/>
        <w:rPr>
          <w:rFonts w:ascii="黑体" w:hAnsi="黑体" w:eastAsia="黑体" w:cs="黑体"/>
          <w:color w:val="auto"/>
          <w:sz w:val="32"/>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年安排日常公用经费支出总计</w:t>
      </w:r>
      <w:r>
        <w:rPr>
          <w:rFonts w:hint="eastAsia" w:eastAsia="方正仿宋_GBK"/>
          <w:color w:val="auto"/>
          <w:sz w:val="28"/>
          <w:lang w:val="en-US" w:eastAsia="zh-CN"/>
        </w:rPr>
        <w:t>59.49</w:t>
      </w:r>
      <w:r>
        <w:rPr>
          <w:rFonts w:hint="eastAsia" w:eastAsia="方正仿宋_GBK"/>
          <w:color w:val="auto"/>
          <w:sz w:val="28"/>
        </w:rPr>
        <w:t>万元。其中：办公费：</w:t>
      </w:r>
      <w:r>
        <w:rPr>
          <w:rFonts w:hint="eastAsia" w:eastAsia="方正仿宋_GBK"/>
          <w:color w:val="auto"/>
          <w:sz w:val="28"/>
          <w:lang w:val="en-US" w:eastAsia="zh-CN"/>
        </w:rPr>
        <w:t>8.49</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水电费：</w:t>
      </w:r>
      <w:r>
        <w:rPr>
          <w:rFonts w:eastAsia="方正仿宋_GBK"/>
          <w:color w:val="auto"/>
          <w:sz w:val="28"/>
        </w:rPr>
        <w:t>1</w:t>
      </w:r>
      <w:r>
        <w:rPr>
          <w:rFonts w:hint="eastAsia" w:eastAsia="方正仿宋_GBK"/>
          <w:color w:val="auto"/>
          <w:sz w:val="28"/>
        </w:rPr>
        <w:t>.</w:t>
      </w:r>
      <w:r>
        <w:rPr>
          <w:rFonts w:eastAsia="方正仿宋_GBK"/>
          <w:color w:val="auto"/>
          <w:sz w:val="28"/>
        </w:rPr>
        <w:t>00</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邮电费：</w:t>
      </w:r>
      <w:r>
        <w:rPr>
          <w:rFonts w:hint="eastAsia" w:eastAsia="方正仿宋_GBK"/>
          <w:color w:val="auto"/>
          <w:sz w:val="28"/>
          <w:lang w:val="en-US" w:eastAsia="zh-CN"/>
        </w:rPr>
        <w:t>9.83</w:t>
      </w:r>
      <w:r>
        <w:rPr>
          <w:rFonts w:hint="eastAsia" w:eastAsia="方正仿宋_GBK"/>
          <w:color w:val="auto"/>
          <w:sz w:val="28"/>
        </w:rPr>
        <w:t>万元</w:t>
      </w:r>
      <w:r>
        <w:rPr>
          <w:rFonts w:hint="eastAsia" w:eastAsia="方正仿宋_GBK"/>
          <w:color w:val="auto"/>
          <w:sz w:val="28"/>
          <w:lang w:eastAsia="zh-CN"/>
        </w:rPr>
        <w:t>、取暖费：</w:t>
      </w:r>
      <w:r>
        <w:rPr>
          <w:rFonts w:hint="eastAsia" w:eastAsia="方正仿宋_GBK"/>
          <w:color w:val="auto"/>
          <w:sz w:val="28"/>
          <w:lang w:val="en-US" w:eastAsia="zh-CN"/>
        </w:rPr>
        <w:t>17.53万元、</w:t>
      </w:r>
      <w:r>
        <w:rPr>
          <w:rFonts w:hint="eastAsia" w:eastAsia="方正仿宋_GBK"/>
          <w:color w:val="auto"/>
          <w:sz w:val="28"/>
        </w:rPr>
        <w:t>差旅费：</w:t>
      </w:r>
      <w:r>
        <w:rPr>
          <w:rFonts w:hint="eastAsia" w:eastAsia="方正仿宋_GBK"/>
          <w:color w:val="auto"/>
          <w:sz w:val="28"/>
          <w:lang w:val="en-US" w:eastAsia="zh-CN"/>
        </w:rPr>
        <w:t>0.4</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公务接待费：0元</w:t>
      </w:r>
      <w:r>
        <w:rPr>
          <w:rFonts w:hint="eastAsia" w:eastAsia="方正仿宋_GBK"/>
          <w:color w:val="auto"/>
          <w:sz w:val="28"/>
          <w:lang w:eastAsia="zh-CN"/>
        </w:rPr>
        <w:t>、</w:t>
      </w:r>
      <w:r>
        <w:rPr>
          <w:rFonts w:hint="eastAsia" w:eastAsia="方正仿宋_GBK"/>
          <w:color w:val="auto"/>
          <w:sz w:val="28"/>
        </w:rPr>
        <w:t>劳务费：4万元</w:t>
      </w:r>
      <w:r>
        <w:rPr>
          <w:rFonts w:hint="eastAsia" w:eastAsia="方正仿宋_GBK"/>
          <w:color w:val="auto"/>
          <w:sz w:val="28"/>
          <w:lang w:eastAsia="zh-CN"/>
        </w:rPr>
        <w:t>、</w:t>
      </w:r>
      <w:r>
        <w:rPr>
          <w:rFonts w:hint="eastAsia" w:eastAsia="方正仿宋_GBK"/>
          <w:color w:val="auto"/>
          <w:sz w:val="28"/>
        </w:rPr>
        <w:t>工会经费:</w:t>
      </w:r>
      <w:r>
        <w:rPr>
          <w:rFonts w:hint="eastAsia" w:eastAsia="方正仿宋_GBK"/>
          <w:color w:val="auto"/>
          <w:sz w:val="28"/>
          <w:lang w:val="en-US" w:eastAsia="zh-CN"/>
        </w:rPr>
        <w:t>1.29</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福利费：</w:t>
      </w:r>
      <w:r>
        <w:rPr>
          <w:rFonts w:hint="eastAsia" w:eastAsia="方正仿宋_GBK"/>
          <w:color w:val="auto"/>
          <w:sz w:val="28"/>
          <w:lang w:val="en-US" w:eastAsia="zh-CN"/>
        </w:rPr>
        <w:t>1.37</w:t>
      </w:r>
      <w:r>
        <w:rPr>
          <w:rFonts w:hint="eastAsia" w:eastAsia="方正仿宋_GBK"/>
          <w:color w:val="auto"/>
          <w:sz w:val="28"/>
        </w:rPr>
        <w:t>万元</w:t>
      </w:r>
      <w:r>
        <w:rPr>
          <w:rFonts w:hint="eastAsia" w:eastAsia="方正仿宋_GBK"/>
          <w:color w:val="auto"/>
          <w:sz w:val="28"/>
          <w:lang w:eastAsia="zh-CN"/>
        </w:rPr>
        <w:t>、</w:t>
      </w:r>
      <w:r>
        <w:rPr>
          <w:rFonts w:hint="eastAsia" w:eastAsia="方正仿宋_GBK"/>
          <w:color w:val="auto"/>
          <w:sz w:val="28"/>
        </w:rPr>
        <w:t>公务用车运行维护费：4万元、其他交通费（公务交通补贴）：</w:t>
      </w:r>
      <w:r>
        <w:rPr>
          <w:rFonts w:hint="eastAsia" w:eastAsia="方正仿宋_GBK"/>
          <w:color w:val="auto"/>
          <w:sz w:val="28"/>
          <w:lang w:val="en-US" w:eastAsia="zh-CN"/>
        </w:rPr>
        <w:t>11.58</w:t>
      </w:r>
      <w:r>
        <w:rPr>
          <w:rFonts w:hint="eastAsia" w:eastAsia="方正仿宋_GBK"/>
          <w:color w:val="auto"/>
          <w:sz w:val="28"/>
        </w:rPr>
        <w:t>万元</w:t>
      </w:r>
      <w:r>
        <w:rPr>
          <w:rFonts w:hint="eastAsia" w:eastAsia="方正仿宋_GBK"/>
          <w:color w:val="auto"/>
          <w:sz w:val="28"/>
          <w:lang w:eastAsia="zh-CN"/>
        </w:rPr>
        <w:t>。</w:t>
      </w:r>
    </w:p>
    <w:p>
      <w:pPr>
        <w:pStyle w:val="19"/>
        <w:rPr>
          <w:color w:val="auto"/>
        </w:rPr>
      </w:pPr>
      <w:r>
        <w:rPr>
          <w:rFonts w:hint="eastAsia" w:eastAsia="方正仿宋_GBK"/>
          <w:color w:val="auto"/>
          <w:sz w:val="28"/>
          <w:lang w:val="en-US" w:eastAsia="zh-CN"/>
        </w:rPr>
        <w:t>同202</w:t>
      </w:r>
      <w:r>
        <w:rPr>
          <w:rFonts w:hint="eastAsia"/>
          <w:color w:val="auto"/>
          <w:sz w:val="28"/>
          <w:lang w:val="en-US" w:eastAsia="zh-CN"/>
        </w:rPr>
        <w:t>1</w:t>
      </w:r>
      <w:r>
        <w:rPr>
          <w:rFonts w:hint="eastAsia" w:eastAsia="方正仿宋_GBK"/>
          <w:color w:val="auto"/>
          <w:sz w:val="28"/>
          <w:lang w:val="en-US" w:eastAsia="zh-CN"/>
        </w:rPr>
        <w:t>年相比，</w:t>
      </w:r>
      <w:r>
        <w:rPr>
          <w:rFonts w:hint="eastAsia" w:eastAsia="方正仿宋_GBK"/>
          <w:color w:val="auto"/>
          <w:sz w:val="28"/>
        </w:rPr>
        <w:t>正常公用经费增加</w:t>
      </w:r>
      <w:r>
        <w:rPr>
          <w:rFonts w:hint="eastAsia"/>
          <w:color w:val="auto"/>
          <w:sz w:val="28"/>
          <w:lang w:val="en-US" w:eastAsia="zh-CN"/>
        </w:rPr>
        <w:t>19.23</w:t>
      </w:r>
      <w:r>
        <w:rPr>
          <w:rFonts w:hint="eastAsia" w:eastAsia="方正仿宋_GBK"/>
          <w:color w:val="auto"/>
          <w:sz w:val="28"/>
        </w:rPr>
        <w:t>万元</w:t>
      </w:r>
      <w:r>
        <w:rPr>
          <w:rFonts w:hint="eastAsia"/>
          <w:color w:val="auto"/>
          <w:sz w:val="28"/>
          <w:lang w:eastAsia="zh-CN"/>
        </w:rPr>
        <w:t>，</w:t>
      </w:r>
      <w:r>
        <w:rPr>
          <w:rFonts w:hint="eastAsia"/>
          <w:color w:val="auto"/>
          <w:sz w:val="28"/>
          <w:lang w:val="en-US" w:eastAsia="zh-CN"/>
        </w:rPr>
        <w:t>用于政务大厅新址的</w:t>
      </w:r>
      <w:r>
        <w:rPr>
          <w:rFonts w:hint="eastAsia" w:eastAsia="方正仿宋_GBK"/>
          <w:color w:val="auto"/>
          <w:sz w:val="28"/>
          <w:lang w:eastAsia="zh-CN"/>
        </w:rPr>
        <w:t>办公取暖费</w:t>
      </w:r>
      <w:r>
        <w:rPr>
          <w:rFonts w:hint="eastAsia" w:eastAsia="方正仿宋_GBK"/>
          <w:color w:val="auto"/>
          <w:sz w:val="28"/>
          <w:lang w:val="en-US" w:eastAsia="zh-CN"/>
        </w:rPr>
        <w:t>，</w:t>
      </w:r>
      <w:r>
        <w:rPr>
          <w:rFonts w:hint="eastAsia"/>
          <w:color w:val="auto"/>
          <w:sz w:val="28"/>
          <w:lang w:val="en-US" w:eastAsia="zh-CN"/>
        </w:rPr>
        <w:t>新增2名公务员及4个事业编工作人员的工会福利费。</w:t>
      </w:r>
    </w:p>
    <w:p>
      <w:pPr>
        <w:numPr>
          <w:ilvl w:val="0"/>
          <w:numId w:val="1"/>
        </w:numPr>
        <w:spacing w:before="10" w:after="10" w:line="360" w:lineRule="auto"/>
        <w:ind w:firstLine="640"/>
        <w:outlineLvl w:val="2"/>
        <w:rPr>
          <w:rFonts w:ascii="黑体" w:hAnsi="黑体" w:eastAsia="黑体" w:cs="黑体"/>
          <w:color w:val="auto"/>
          <w:sz w:val="32"/>
        </w:rPr>
      </w:pPr>
      <w:bookmarkStart w:id="12" w:name="_Toc23429"/>
      <w:r>
        <w:rPr>
          <w:rFonts w:ascii="黑体" w:hAnsi="黑体" w:eastAsia="黑体" w:cs="黑体"/>
          <w:color w:val="auto"/>
          <w:sz w:val="32"/>
        </w:rPr>
        <w:t>财政拨款“三公”经费预算情况及增减变化原因</w:t>
      </w:r>
      <w:bookmarkEnd w:id="12"/>
    </w:p>
    <w:p>
      <w:pPr>
        <w:spacing w:line="500" w:lineRule="exact"/>
        <w:ind w:firstLine="560"/>
        <w:rPr>
          <w:rFonts w:hint="eastAsia" w:eastAsia="方正仿宋_GBK"/>
          <w:color w:val="auto"/>
          <w:sz w:val="28"/>
          <w:lang w:eastAsia="zh-CN"/>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年“三公”经费预算4万元，与202</w:t>
      </w:r>
      <w:r>
        <w:rPr>
          <w:rFonts w:hint="eastAsia" w:eastAsia="方正仿宋_GBK"/>
          <w:color w:val="auto"/>
          <w:sz w:val="28"/>
          <w:lang w:val="en-US" w:eastAsia="zh-CN"/>
        </w:rPr>
        <w:t>1</w:t>
      </w:r>
      <w:r>
        <w:rPr>
          <w:rFonts w:hint="eastAsia" w:eastAsia="方正仿宋_GBK"/>
          <w:color w:val="auto"/>
          <w:sz w:val="28"/>
        </w:rPr>
        <w:t>年预算相比无变化</w:t>
      </w:r>
      <w:r>
        <w:rPr>
          <w:rFonts w:hint="eastAsia" w:eastAsia="方正仿宋_GBK"/>
          <w:color w:val="auto"/>
          <w:sz w:val="28"/>
          <w:lang w:eastAsia="zh-CN"/>
        </w:rPr>
        <w:t>。</w:t>
      </w:r>
    </w:p>
    <w:p>
      <w:pPr>
        <w:spacing w:line="500" w:lineRule="exact"/>
        <w:ind w:firstLine="560"/>
        <w:rPr>
          <w:rFonts w:hint="eastAsia" w:eastAsia="方正仿宋_GBK"/>
          <w:color w:val="auto"/>
          <w:sz w:val="28"/>
        </w:rPr>
      </w:pPr>
      <w:r>
        <w:rPr>
          <w:rFonts w:eastAsia="方正仿宋_GBK"/>
          <w:color w:val="auto"/>
          <w:sz w:val="28"/>
        </w:rPr>
        <w:t>公务用车运行维护费为</w:t>
      </w:r>
      <w:r>
        <w:rPr>
          <w:rFonts w:hint="eastAsia" w:eastAsia="方正仿宋_GBK"/>
          <w:color w:val="auto"/>
          <w:sz w:val="28"/>
        </w:rPr>
        <w:t>4万</w:t>
      </w:r>
      <w:r>
        <w:rPr>
          <w:rFonts w:eastAsia="方正仿宋_GBK"/>
          <w:color w:val="auto"/>
          <w:sz w:val="28"/>
        </w:rPr>
        <w:t>元，</w:t>
      </w:r>
      <w:r>
        <w:rPr>
          <w:rFonts w:hint="eastAsia" w:eastAsia="方正仿宋_GBK"/>
          <w:color w:val="auto"/>
          <w:sz w:val="28"/>
        </w:rPr>
        <w:t>现有车辆2辆，其中：</w:t>
      </w:r>
      <w:r>
        <w:rPr>
          <w:rFonts w:eastAsia="方正仿宋_GBK"/>
          <w:color w:val="auto"/>
          <w:sz w:val="28"/>
        </w:rPr>
        <w:t>公务用车</w:t>
      </w:r>
      <w:r>
        <w:rPr>
          <w:rFonts w:hint="eastAsia" w:eastAsia="方正仿宋_GBK"/>
          <w:color w:val="auto"/>
          <w:sz w:val="28"/>
        </w:rPr>
        <w:t>1</w:t>
      </w:r>
      <w:r>
        <w:rPr>
          <w:rFonts w:eastAsia="方正仿宋_GBK"/>
          <w:color w:val="auto"/>
          <w:sz w:val="28"/>
        </w:rPr>
        <w:t>辆</w:t>
      </w:r>
      <w:r>
        <w:rPr>
          <w:rFonts w:hint="eastAsia" w:eastAsia="方正仿宋_GBK"/>
          <w:color w:val="auto"/>
          <w:sz w:val="28"/>
        </w:rPr>
        <w:t>，其他车辆1辆。公务用车运行维护费与202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hint="eastAsia" w:eastAsia="方正仿宋_GBK"/>
          <w:color w:val="auto"/>
          <w:sz w:val="28"/>
        </w:rPr>
      </w:pPr>
      <w:r>
        <w:rPr>
          <w:rFonts w:hint="eastAsia" w:eastAsia="方正仿宋_GBK"/>
          <w:color w:val="auto"/>
          <w:sz w:val="28"/>
        </w:rPr>
        <w:t>202</w:t>
      </w:r>
      <w:r>
        <w:rPr>
          <w:rFonts w:hint="eastAsia" w:eastAsia="方正仿宋_GBK"/>
          <w:color w:val="auto"/>
          <w:sz w:val="28"/>
          <w:lang w:val="en-US" w:eastAsia="zh-CN"/>
        </w:rPr>
        <w:t>2</w:t>
      </w:r>
      <w:r>
        <w:rPr>
          <w:rFonts w:hint="eastAsia" w:eastAsia="方正仿宋_GBK"/>
          <w:color w:val="auto"/>
          <w:sz w:val="28"/>
        </w:rPr>
        <w:t>年预算未安排公务车购置费，与202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hint="eastAsia" w:eastAsia="方正仿宋_GBK"/>
          <w:color w:val="auto"/>
          <w:sz w:val="28"/>
        </w:rPr>
      </w:pPr>
      <w:r>
        <w:rPr>
          <w:rFonts w:hint="eastAsia" w:eastAsia="方正仿宋_GBK"/>
          <w:color w:val="auto"/>
          <w:sz w:val="28"/>
        </w:rPr>
        <w:t>公务接待费0元。</w:t>
      </w:r>
      <w:r>
        <w:rPr>
          <w:rFonts w:eastAsia="方正仿宋_GBK"/>
          <w:color w:val="auto"/>
          <w:sz w:val="28"/>
        </w:rPr>
        <w:t>20</w:t>
      </w:r>
      <w:r>
        <w:rPr>
          <w:rFonts w:hint="eastAsia" w:eastAsia="方正仿宋_GBK"/>
          <w:color w:val="auto"/>
          <w:sz w:val="28"/>
        </w:rPr>
        <w:t>2</w:t>
      </w:r>
      <w:r>
        <w:rPr>
          <w:rFonts w:hint="eastAsia" w:eastAsia="方正仿宋_GBK"/>
          <w:color w:val="auto"/>
          <w:sz w:val="28"/>
          <w:lang w:val="en-US" w:eastAsia="zh-CN"/>
        </w:rPr>
        <w:t>2</w:t>
      </w:r>
      <w:r>
        <w:rPr>
          <w:rFonts w:eastAsia="方正仿宋_GBK"/>
          <w:color w:val="auto"/>
          <w:sz w:val="28"/>
        </w:rPr>
        <w:t>年</w:t>
      </w:r>
      <w:r>
        <w:rPr>
          <w:rFonts w:hint="eastAsia" w:eastAsia="方正仿宋_GBK"/>
          <w:color w:val="auto"/>
          <w:sz w:val="28"/>
        </w:rPr>
        <w:t>预算未安排</w:t>
      </w:r>
      <w:r>
        <w:rPr>
          <w:rFonts w:eastAsia="方正仿宋_GBK"/>
          <w:color w:val="auto"/>
          <w:sz w:val="28"/>
        </w:rPr>
        <w:t>公务招待费</w:t>
      </w:r>
      <w:r>
        <w:rPr>
          <w:rFonts w:hint="eastAsia" w:eastAsia="方正仿宋_GBK"/>
          <w:color w:val="auto"/>
          <w:sz w:val="28"/>
        </w:rPr>
        <w:t>，与202</w:t>
      </w:r>
      <w:r>
        <w:rPr>
          <w:rFonts w:hint="eastAsia" w:eastAsia="方正仿宋_GBK"/>
          <w:color w:val="auto"/>
          <w:sz w:val="28"/>
          <w:lang w:val="en-US" w:eastAsia="zh-CN"/>
        </w:rPr>
        <w:t>1</w:t>
      </w:r>
      <w:r>
        <w:rPr>
          <w:rFonts w:hint="eastAsia" w:eastAsia="方正仿宋_GBK"/>
          <w:color w:val="auto"/>
          <w:sz w:val="28"/>
        </w:rPr>
        <w:t>年预算相比无变化。</w:t>
      </w:r>
    </w:p>
    <w:p>
      <w:pPr>
        <w:spacing w:line="500" w:lineRule="exact"/>
        <w:ind w:firstLine="560"/>
        <w:rPr>
          <w:rFonts w:ascii="黑体" w:hAnsi="黑体" w:eastAsia="黑体" w:cs="黑体"/>
          <w:color w:val="auto"/>
          <w:sz w:val="32"/>
        </w:rPr>
      </w:pPr>
      <w:r>
        <w:rPr>
          <w:rFonts w:hint="eastAsia" w:eastAsia="方正仿宋_GBK"/>
          <w:color w:val="auto"/>
          <w:sz w:val="28"/>
        </w:rPr>
        <w:t>因公出国（境）费和公务车购置费0元。与202</w:t>
      </w:r>
      <w:r>
        <w:rPr>
          <w:rFonts w:hint="eastAsia" w:eastAsia="方正仿宋_GBK"/>
          <w:color w:val="auto"/>
          <w:sz w:val="28"/>
          <w:lang w:val="en-US" w:eastAsia="zh-CN"/>
        </w:rPr>
        <w:t>1</w:t>
      </w:r>
      <w:r>
        <w:rPr>
          <w:rFonts w:hint="eastAsia" w:eastAsia="方正仿宋_GBK"/>
          <w:color w:val="auto"/>
          <w:sz w:val="28"/>
        </w:rPr>
        <w:t>年相比无变化。</w:t>
      </w:r>
    </w:p>
    <w:p>
      <w:pPr>
        <w:numPr>
          <w:ilvl w:val="0"/>
          <w:numId w:val="0"/>
        </w:numPr>
        <w:spacing w:before="10" w:after="10" w:line="360" w:lineRule="auto"/>
        <w:outlineLvl w:val="2"/>
        <w:rPr>
          <w:rFonts w:ascii="黑体" w:hAnsi="黑体" w:eastAsia="黑体" w:cs="黑体"/>
          <w:color w:val="auto"/>
          <w:sz w:val="32"/>
        </w:rPr>
      </w:pPr>
    </w:p>
    <w:p>
      <w:pPr>
        <w:pStyle w:val="20"/>
        <w:rPr>
          <w:color w:val="auto"/>
        </w:rPr>
      </w:pPr>
    </w:p>
    <w:p>
      <w:pPr>
        <w:spacing w:before="10" w:after="10" w:line="360" w:lineRule="auto"/>
        <w:ind w:firstLine="640"/>
        <w:outlineLvl w:val="2"/>
        <w:rPr>
          <w:color w:val="auto"/>
        </w:rPr>
      </w:pPr>
      <w:bookmarkStart w:id="13" w:name="_Toc31235"/>
      <w:r>
        <w:rPr>
          <w:rFonts w:ascii="黑体" w:hAnsi="黑体" w:eastAsia="黑体" w:cs="黑体"/>
          <w:color w:val="auto"/>
          <w:sz w:val="32"/>
        </w:rPr>
        <w:t>五、预算绩效信息</w:t>
      </w:r>
      <w:bookmarkEnd w:id="13"/>
    </w:p>
    <w:p>
      <w:pPr>
        <w:ind w:firstLine="640"/>
        <w:rPr>
          <w:color w:val="auto"/>
        </w:rPr>
      </w:pPr>
      <w:r>
        <w:rPr>
          <w:rFonts w:ascii="方正楷体_GBK" w:hAnsi="方正楷体_GBK" w:eastAsia="方正楷体_GBK" w:cs="方正楷体_GBK"/>
          <w:b/>
          <w:color w:val="auto"/>
          <w:sz w:val="32"/>
        </w:rPr>
        <w:t>第一部分 部门整体绩效目标</w:t>
      </w:r>
    </w:p>
    <w:p>
      <w:pPr>
        <w:spacing w:line="500" w:lineRule="exact"/>
        <w:ind w:firstLine="560"/>
        <w:rPr>
          <w:color w:val="auto"/>
        </w:rPr>
      </w:pPr>
      <w:r>
        <w:rPr>
          <w:rFonts w:eastAsia="方正仿宋_GBK"/>
          <w:color w:val="auto"/>
          <w:sz w:val="28"/>
        </w:rPr>
        <w:t>（一）总体绩效目标</w:t>
      </w:r>
    </w:p>
    <w:p>
      <w:pPr>
        <w:pStyle w:val="21"/>
        <w:rPr>
          <w:color w:val="auto"/>
        </w:rPr>
      </w:pPr>
      <w:r>
        <w:rPr>
          <w:color w:val="auto"/>
        </w:rPr>
        <w:t>唐山市丰润区燕山路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15次，街道机关支部及社区支部组织召开专题会20次，开展</w:t>
      </w:r>
      <w:r>
        <w:rPr>
          <w:rFonts w:hint="eastAsia"/>
          <w:color w:val="auto"/>
          <w:lang w:val="en-US" w:eastAsia="zh-CN"/>
        </w:rPr>
        <w:t>社会主义</w:t>
      </w:r>
      <w:r>
        <w:rPr>
          <w:color w:val="auto"/>
        </w:rPr>
        <w:t>核心价值观宣传教育、公益广告宣传、志愿服务等活动5次以上，按上级要求，加大环保巡查，杜绝影响辖区空气质量的问题发生，及时解决各类信访问题，化解信访事项全年不少于10件，构建社区治理机制，承办上级党委、人大、政府交办的其它工作任务。</w:t>
      </w:r>
    </w:p>
    <w:p>
      <w:pPr>
        <w:spacing w:line="500" w:lineRule="exact"/>
        <w:ind w:firstLine="560"/>
        <w:rPr>
          <w:color w:val="auto"/>
        </w:rPr>
      </w:pPr>
      <w:r>
        <w:rPr>
          <w:rFonts w:eastAsia="方正仿宋_GBK"/>
          <w:color w:val="auto"/>
          <w:sz w:val="28"/>
        </w:rPr>
        <w:t>（二）分项绩效目标</w:t>
      </w:r>
    </w:p>
    <w:p>
      <w:pPr>
        <w:pStyle w:val="22"/>
        <w:rPr>
          <w:color w:val="auto"/>
        </w:rPr>
      </w:pPr>
    </w:p>
    <w:p>
      <w:pPr>
        <w:pStyle w:val="22"/>
        <w:rPr>
          <w:color w:val="auto"/>
        </w:rPr>
      </w:pPr>
      <w:r>
        <w:rPr>
          <w:color w:val="auto"/>
        </w:rPr>
        <w:t>（一）基层党建</w:t>
      </w:r>
    </w:p>
    <w:p>
      <w:pPr>
        <w:pStyle w:val="22"/>
        <w:rPr>
          <w:color w:val="auto"/>
        </w:rPr>
      </w:pPr>
      <w:r>
        <w:rPr>
          <w:color w:val="auto"/>
        </w:rPr>
        <w:t>绩效目标：加强基层领导班子建设</w:t>
      </w:r>
    </w:p>
    <w:p>
      <w:pPr>
        <w:pStyle w:val="22"/>
        <w:rPr>
          <w:color w:val="auto"/>
        </w:rPr>
      </w:pPr>
      <w:r>
        <w:rPr>
          <w:color w:val="auto"/>
        </w:rPr>
        <w:t>绩效指标：开展党员远程教育工作，发挥先进社区示范带动作用，创建我街道“一街一品”特色占工作任务的比例大于等于95%。</w:t>
      </w:r>
    </w:p>
    <w:p>
      <w:pPr>
        <w:pStyle w:val="22"/>
        <w:rPr>
          <w:color w:val="auto"/>
        </w:rPr>
      </w:pPr>
      <w:r>
        <w:rPr>
          <w:color w:val="auto"/>
        </w:rPr>
        <w:t>（二）干部队伍管理和干部教育培训</w:t>
      </w:r>
    </w:p>
    <w:p>
      <w:pPr>
        <w:pStyle w:val="22"/>
        <w:rPr>
          <w:color w:val="auto"/>
        </w:rPr>
      </w:pPr>
      <w:r>
        <w:rPr>
          <w:color w:val="auto"/>
        </w:rPr>
        <w:t>绩效目标：加强办事处干部队伍管理，干部教育培训</w:t>
      </w:r>
    </w:p>
    <w:p>
      <w:pPr>
        <w:pStyle w:val="22"/>
        <w:rPr>
          <w:color w:val="auto"/>
        </w:rPr>
      </w:pPr>
      <w:r>
        <w:rPr>
          <w:color w:val="auto"/>
        </w:rPr>
        <w:t>绩效指标：对领导班子和领导干部的考核工作制订干部教育工作的方针、政策、规划组织党员干部进行理论学习占工作任务的比例大于等于90%。</w:t>
      </w:r>
    </w:p>
    <w:p>
      <w:pPr>
        <w:pStyle w:val="22"/>
        <w:rPr>
          <w:color w:val="auto"/>
        </w:rPr>
      </w:pPr>
      <w:r>
        <w:rPr>
          <w:color w:val="auto"/>
        </w:rPr>
        <w:t>（三）宣传思想工作</w:t>
      </w:r>
    </w:p>
    <w:p>
      <w:pPr>
        <w:pStyle w:val="22"/>
        <w:rPr>
          <w:color w:val="auto"/>
        </w:rPr>
      </w:pPr>
      <w:r>
        <w:rPr>
          <w:color w:val="auto"/>
        </w:rPr>
        <w:t>绩效目标：部署思想政治工作任务，践行社会主义核心价值观，宣传推广先进典型，加强爱国主义教育基地建设和全民国防教育，加强基层党员教育，组织开展系列宣传教育活动。</w:t>
      </w:r>
    </w:p>
    <w:p>
      <w:pPr>
        <w:pStyle w:val="22"/>
        <w:rPr>
          <w:color w:val="auto"/>
        </w:rPr>
      </w:pPr>
      <w:r>
        <w:rPr>
          <w:color w:val="auto"/>
        </w:rPr>
        <w:t>绩效指标：开展</w:t>
      </w:r>
      <w:r>
        <w:rPr>
          <w:rFonts w:hint="eastAsia"/>
          <w:color w:val="auto"/>
          <w:lang w:val="en-US" w:eastAsia="zh-CN"/>
        </w:rPr>
        <w:t>社会主义</w:t>
      </w:r>
      <w:r>
        <w:rPr>
          <w:color w:val="auto"/>
        </w:rPr>
        <w:t>核心价值观宣传教育、公益广告宣传、志愿服务等活动占工作任务的比例大于等于95%。</w:t>
      </w:r>
    </w:p>
    <w:p>
      <w:pPr>
        <w:pStyle w:val="22"/>
        <w:rPr>
          <w:color w:val="auto"/>
        </w:rPr>
      </w:pPr>
      <w:r>
        <w:rPr>
          <w:color w:val="auto"/>
        </w:rPr>
        <w:t>（四）案件查办</w:t>
      </w:r>
    </w:p>
    <w:p>
      <w:pPr>
        <w:pStyle w:val="22"/>
        <w:rPr>
          <w:color w:val="auto"/>
        </w:rPr>
      </w:pPr>
      <w:r>
        <w:rPr>
          <w:color w:val="auto"/>
        </w:rPr>
        <w:t>绩效目标：受理信访、举报，集中管理问题线索、组织协调案件查办，调查、审查违纪违法案件。</w:t>
      </w:r>
    </w:p>
    <w:p>
      <w:pPr>
        <w:pStyle w:val="22"/>
        <w:rPr>
          <w:color w:val="auto"/>
        </w:rPr>
      </w:pPr>
      <w:r>
        <w:rPr>
          <w:color w:val="auto"/>
        </w:rPr>
        <w:t>绩效指标：街道党政领导包联化解信访事项全年不少于5件，认真落实初信初访首接首办责任，力争初信初访化解占工作任务的比例大于等于100%。</w:t>
      </w:r>
    </w:p>
    <w:p>
      <w:pPr>
        <w:pStyle w:val="22"/>
        <w:rPr>
          <w:color w:val="auto"/>
        </w:rPr>
      </w:pPr>
      <w:r>
        <w:rPr>
          <w:color w:val="auto"/>
        </w:rPr>
        <w:t>（五）社会管理与服务</w:t>
      </w:r>
    </w:p>
    <w:p>
      <w:pPr>
        <w:pStyle w:val="22"/>
        <w:rPr>
          <w:color w:val="auto"/>
        </w:rPr>
      </w:pPr>
      <w:r>
        <w:rPr>
          <w:color w:val="auto"/>
        </w:rPr>
        <w:t>绩效目标：组织指导社区干部培训</w:t>
      </w:r>
    </w:p>
    <w:p>
      <w:pPr>
        <w:pStyle w:val="22"/>
        <w:rPr>
          <w:color w:val="auto"/>
        </w:rPr>
      </w:pPr>
      <w:r>
        <w:rPr>
          <w:color w:val="auto"/>
        </w:rPr>
        <w:t>绩效指标：指导各社区民主决策、民主管理、民主监督以及居务公开占工作任务的比例大于等于90%。</w:t>
      </w:r>
    </w:p>
    <w:p>
      <w:pPr>
        <w:pStyle w:val="22"/>
        <w:rPr>
          <w:color w:val="auto"/>
        </w:rPr>
      </w:pPr>
      <w:r>
        <w:rPr>
          <w:color w:val="auto"/>
        </w:rPr>
        <w:t>（六）卫计政务管理</w:t>
      </w:r>
    </w:p>
    <w:p>
      <w:pPr>
        <w:pStyle w:val="22"/>
        <w:rPr>
          <w:color w:val="auto"/>
        </w:rPr>
      </w:pPr>
      <w:r>
        <w:rPr>
          <w:color w:val="auto"/>
        </w:rPr>
        <w:t>绩效目标：监督政策落实，落实政务公开和业务宣传工作，加强卫生计生能力建设。</w:t>
      </w:r>
    </w:p>
    <w:p>
      <w:pPr>
        <w:pStyle w:val="22"/>
        <w:rPr>
          <w:color w:val="auto"/>
        </w:rPr>
      </w:pPr>
      <w:r>
        <w:rPr>
          <w:color w:val="auto"/>
        </w:rPr>
        <w:t>绩效指标：开展卫生计生规划、统计、法制、政策研究、宣传教育占工作任务的比例大于等于85%。</w:t>
      </w:r>
    </w:p>
    <w:p>
      <w:pPr>
        <w:pStyle w:val="22"/>
        <w:rPr>
          <w:color w:val="auto"/>
        </w:rPr>
      </w:pPr>
      <w:r>
        <w:rPr>
          <w:color w:val="auto"/>
        </w:rPr>
        <w:t>（七）应急管理</w:t>
      </w:r>
    </w:p>
    <w:p>
      <w:pPr>
        <w:pStyle w:val="22"/>
        <w:rPr>
          <w:color w:val="auto"/>
        </w:rPr>
      </w:pPr>
      <w:r>
        <w:rPr>
          <w:color w:val="auto"/>
        </w:rPr>
        <w:t>绩效目标：加强办事处值班工作，传达和督促落实办事处领导指示。</w:t>
      </w:r>
    </w:p>
    <w:p>
      <w:pPr>
        <w:pStyle w:val="22"/>
        <w:rPr>
          <w:color w:val="auto"/>
        </w:rPr>
      </w:pPr>
      <w:r>
        <w:rPr>
          <w:color w:val="auto"/>
        </w:rPr>
        <w:t>绩效指标：有效保证办事处日常应急值守和突发事件应对处置工作等，各项综合业务工作完成占工作任务的比例大于等于95%。</w:t>
      </w:r>
    </w:p>
    <w:p>
      <w:pPr>
        <w:spacing w:line="500" w:lineRule="exact"/>
        <w:ind w:firstLine="560"/>
        <w:rPr>
          <w:color w:val="auto"/>
        </w:rPr>
      </w:pPr>
      <w:r>
        <w:rPr>
          <w:rFonts w:eastAsia="方正仿宋_GBK"/>
          <w:color w:val="auto"/>
          <w:sz w:val="28"/>
        </w:rPr>
        <w:t>（三）工作保障措施</w:t>
      </w:r>
    </w:p>
    <w:p>
      <w:pPr>
        <w:pStyle w:val="23"/>
        <w:rPr>
          <w:color w:val="auto"/>
        </w:rPr>
      </w:pPr>
      <w:r>
        <w:rPr>
          <w:color w:val="auto"/>
        </w:rPr>
        <w:t>（一）长远谋划，明确定位。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rPr>
          <w:color w:val="auto"/>
        </w:rPr>
      </w:pPr>
      <w:r>
        <w:rPr>
          <w:color w:val="auto"/>
        </w:rPr>
        <w:t>（二）发展街道便民服务，吸收辖区各方面的人才组成专兼结合的街道公益性服务队伍，依托社区便民服务中心，有计划的组织对街道公益性服务人员进行集中学习培训，不断提高社区服务人员的业务水平，切实增强工作的责任感和使命感，培育公益性社会经济和便民服务产业的人才生力军。</w:t>
      </w:r>
    </w:p>
    <w:p>
      <w:pPr>
        <w:pStyle w:val="23"/>
        <w:rPr>
          <w:color w:val="auto"/>
        </w:rPr>
      </w:pPr>
      <w:r>
        <w:rPr>
          <w:color w:val="auto"/>
        </w:rPr>
        <w:t>（三）加大社区组织建设和环境建设。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3"/>
        <w:rPr>
          <w:color w:val="auto"/>
        </w:rPr>
      </w:pPr>
      <w:r>
        <w:rPr>
          <w:color w:val="auto"/>
        </w:rPr>
        <w:t>（四）加强队伍建设，提高机关干部工作的自觉性和主动性。按照年初岗位工作目标推进各项工作落实，最大限度地调动机关干部的积极性。同时，加强制度建设，修订完善各项规章制度，并严格贯彻落实，做到用制度管人管事，加大培训力度，提高为民服务水平。</w:t>
      </w:r>
    </w:p>
    <w:p>
      <w:pPr>
        <w:pStyle w:val="23"/>
        <w:rPr>
          <w:color w:val="auto"/>
        </w:rPr>
      </w:pPr>
      <w:r>
        <w:rPr>
          <w:color w:val="auto"/>
        </w:rPr>
        <w:t>1.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3"/>
        <w:rPr>
          <w:color w:val="auto"/>
        </w:rPr>
      </w:pPr>
      <w:r>
        <w:rPr>
          <w:color w:val="auto"/>
        </w:rPr>
        <w:t>2.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rPr>
          <w:color w:val="auto"/>
        </w:rPr>
      </w:pPr>
      <w:r>
        <w:rPr>
          <w:color w:val="auto"/>
        </w:rPr>
        <w:t>3.加强绩效运行监控。按要求开展绩效运行监控，发现问题及时采取措施，确保绩效目标如期保质实现。</w:t>
      </w:r>
    </w:p>
    <w:p>
      <w:pPr>
        <w:pStyle w:val="23"/>
        <w:rPr>
          <w:color w:val="auto"/>
        </w:rPr>
      </w:pPr>
      <w:r>
        <w:rPr>
          <w:color w:val="auto"/>
        </w:rPr>
        <w:t>4.做好绩效自评。按要求开展上年度部门预算绩效自评和重点评价工作，对评价中发现的问题及时整改，调整优化支出结构，提高财政资金使用效益。</w:t>
      </w:r>
    </w:p>
    <w:p>
      <w:pPr>
        <w:pStyle w:val="23"/>
        <w:rPr>
          <w:color w:val="auto"/>
        </w:rPr>
      </w:pPr>
      <w:r>
        <w:rPr>
          <w:color w:val="auto"/>
        </w:rPr>
        <w:t>5.规范财务资产管理。完善财务管理制度，严格审批程序，加强固定资产登记、使用和报废处置管理，做到支出合理，物尽其用。</w:t>
      </w:r>
    </w:p>
    <w:p>
      <w:pPr>
        <w:pStyle w:val="23"/>
        <w:rPr>
          <w:color w:val="auto"/>
        </w:rPr>
      </w:pPr>
      <w:r>
        <w:rPr>
          <w:color w:val="auto"/>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color w:val="auto"/>
        </w:rPr>
      </w:pPr>
      <w:r>
        <w:rPr>
          <w:color w:val="auto"/>
        </w:rPr>
        <w:t>7.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ind w:firstLine="640"/>
        <w:rPr>
          <w:rFonts w:ascii="方正楷体_GBK" w:hAnsi="方正楷体_GBK" w:eastAsia="方正楷体_GBK" w:cs="方正楷体_GBK"/>
          <w:b/>
          <w:color w:val="auto"/>
          <w:sz w:val="32"/>
        </w:rPr>
      </w:pPr>
    </w:p>
    <w:p>
      <w:pPr>
        <w:numPr>
          <w:ilvl w:val="0"/>
          <w:numId w:val="2"/>
        </w:numPr>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 xml:space="preserve"> 专项资金绩效目标</w:t>
      </w:r>
    </w:p>
    <w:p>
      <w:pPr>
        <w:numPr>
          <w:ilvl w:val="0"/>
          <w:numId w:val="0"/>
        </w:numPr>
        <w:rPr>
          <w:rFonts w:ascii="方正楷体_GBK" w:hAnsi="方正楷体_GBK" w:eastAsia="方正楷体_GBK" w:cs="方正楷体_GBK"/>
          <w:b/>
          <w:color w:val="auto"/>
          <w:sz w:val="32"/>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eastAsia" w:ascii="方正楷体_GBK" w:hAnsi="方正楷体_GBK" w:eastAsia="方正楷体_GBK" w:cs="方正楷体_GBK"/>
          <w:b/>
          <w:color w:val="auto"/>
          <w:sz w:val="32"/>
          <w:lang w:val="en-US" w:eastAsia="zh-CN"/>
        </w:rPr>
      </w:pPr>
    </w:p>
    <w:p>
      <w:pPr>
        <w:numPr>
          <w:ilvl w:val="0"/>
          <w:numId w:val="0"/>
        </w:numPr>
        <w:rPr>
          <w:rFonts w:hint="default" w:ascii="方正楷体_GBK" w:hAnsi="方正楷体_GBK" w:eastAsia="方正楷体_GBK" w:cs="方正楷体_GBK"/>
          <w:b/>
          <w:color w:val="auto"/>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auto"/>
          <w:sz w:val="32"/>
          <w:lang w:val="en-US" w:eastAsia="zh-CN"/>
        </w:rPr>
        <w:t>第三部分  预算项目绩效目标</w:t>
      </w:r>
    </w:p>
    <w:p>
      <w:pPr>
        <w:rPr>
          <w:color w:val="auto"/>
        </w:rPr>
      </w:pPr>
      <w:r>
        <w:rPr>
          <w:rFonts w:ascii="方正仿宋_GBK" w:hAnsi="方正仿宋_GBK" w:eastAsia="方正仿宋_GBK" w:cs="方正仿宋_GBK"/>
          <w:b/>
          <w:color w:val="auto"/>
          <w:sz w:val="28"/>
        </w:rPr>
        <w:t>1、财政所经费绩效目标表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1.提高财政服务水平</w:t>
            </w:r>
          </w:p>
          <w:p>
            <w:pPr>
              <w:pStyle w:val="12"/>
              <w:rPr>
                <w:color w:val="auto"/>
              </w:rPr>
            </w:pPr>
            <w:r>
              <w:rPr>
                <w:color w:val="auto"/>
              </w:rPr>
              <w:t>2.财政所工作正常开展</w:t>
            </w:r>
          </w:p>
          <w:p>
            <w:pPr>
              <w:pStyle w:val="12"/>
              <w:rPr>
                <w:color w:val="auto"/>
              </w:rPr>
            </w:pPr>
            <w:r>
              <w:rPr>
                <w:color w:val="auto"/>
              </w:rPr>
              <w:t>3.完成财政局下达任务</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办公设备配置数量</w:t>
            </w:r>
          </w:p>
        </w:tc>
        <w:tc>
          <w:tcPr>
            <w:tcW w:w="2835" w:type="dxa"/>
            <w:vAlign w:val="center"/>
          </w:tcPr>
          <w:p>
            <w:pPr>
              <w:pStyle w:val="12"/>
              <w:rPr>
                <w:color w:val="auto"/>
              </w:rPr>
            </w:pPr>
            <w:r>
              <w:rPr>
                <w:color w:val="auto"/>
              </w:rPr>
              <w:t>办公电脑配置数量</w:t>
            </w:r>
          </w:p>
        </w:tc>
        <w:tc>
          <w:tcPr>
            <w:tcW w:w="2551" w:type="dxa"/>
            <w:vAlign w:val="center"/>
          </w:tcPr>
          <w:p>
            <w:pPr>
              <w:pStyle w:val="12"/>
              <w:rPr>
                <w:color w:val="auto"/>
              </w:rPr>
            </w:pPr>
            <w:r>
              <w:rPr>
                <w:color w:val="auto"/>
              </w:rPr>
              <w:t>≥2台</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验收合格率</w:t>
            </w:r>
          </w:p>
        </w:tc>
        <w:tc>
          <w:tcPr>
            <w:tcW w:w="2835" w:type="dxa"/>
            <w:vAlign w:val="center"/>
          </w:tcPr>
          <w:p>
            <w:pPr>
              <w:pStyle w:val="12"/>
              <w:rPr>
                <w:color w:val="auto"/>
              </w:rPr>
            </w:pPr>
            <w:r>
              <w:rPr>
                <w:color w:val="auto"/>
              </w:rPr>
              <w:t>验收合格数量占配置数量的比率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按时完成上级工作时限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购置成本</w:t>
            </w:r>
          </w:p>
        </w:tc>
        <w:tc>
          <w:tcPr>
            <w:tcW w:w="2835" w:type="dxa"/>
            <w:vAlign w:val="center"/>
          </w:tcPr>
          <w:p>
            <w:pPr>
              <w:pStyle w:val="12"/>
              <w:rPr>
                <w:color w:val="auto"/>
              </w:rPr>
            </w:pPr>
            <w:r>
              <w:rPr>
                <w:color w:val="auto"/>
              </w:rPr>
              <w:t>电脑购置成本</w:t>
            </w:r>
          </w:p>
        </w:tc>
        <w:tc>
          <w:tcPr>
            <w:tcW w:w="2551" w:type="dxa"/>
            <w:vAlign w:val="center"/>
          </w:tcPr>
          <w:p>
            <w:pPr>
              <w:pStyle w:val="12"/>
              <w:rPr>
                <w:color w:val="auto"/>
              </w:rPr>
            </w:pPr>
            <w:r>
              <w:rPr>
                <w:color w:val="auto"/>
              </w:rPr>
              <w:t>≤4500元/台</w:t>
            </w:r>
          </w:p>
        </w:tc>
        <w:tc>
          <w:tcPr>
            <w:tcW w:w="2268" w:type="dxa"/>
            <w:vAlign w:val="center"/>
          </w:tcPr>
          <w:p>
            <w:pPr>
              <w:pStyle w:val="12"/>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财务水平提高</w:t>
            </w:r>
          </w:p>
        </w:tc>
        <w:tc>
          <w:tcPr>
            <w:tcW w:w="2835" w:type="dxa"/>
            <w:vAlign w:val="center"/>
          </w:tcPr>
          <w:p>
            <w:pPr>
              <w:pStyle w:val="12"/>
              <w:rPr>
                <w:color w:val="auto"/>
              </w:rPr>
            </w:pPr>
            <w:r>
              <w:rPr>
                <w:color w:val="auto"/>
              </w:rPr>
              <w:t>财务及服务水平提高</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1.社区工作正常运转</w:t>
            </w:r>
          </w:p>
          <w:p>
            <w:pPr>
              <w:pStyle w:val="12"/>
              <w:rPr>
                <w:color w:val="auto"/>
              </w:rPr>
            </w:pPr>
            <w:r>
              <w:rPr>
                <w:color w:val="auto"/>
              </w:rPr>
              <w:t>2.完成上级交办任务</w:t>
            </w:r>
          </w:p>
          <w:p>
            <w:pPr>
              <w:pStyle w:val="12"/>
              <w:rPr>
                <w:color w:val="auto"/>
              </w:rPr>
            </w:pPr>
            <w:r>
              <w:rPr>
                <w:color w:val="auto"/>
              </w:rPr>
              <w:t>3.宣传、慰问等工作完成</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社区数量</w:t>
            </w:r>
          </w:p>
        </w:tc>
        <w:tc>
          <w:tcPr>
            <w:tcW w:w="2835" w:type="dxa"/>
            <w:vAlign w:val="center"/>
          </w:tcPr>
          <w:p>
            <w:pPr>
              <w:pStyle w:val="12"/>
              <w:rPr>
                <w:color w:val="auto"/>
              </w:rPr>
            </w:pPr>
            <w:r>
              <w:rPr>
                <w:color w:val="auto"/>
              </w:rPr>
              <w:t>社区数量</w:t>
            </w:r>
          </w:p>
        </w:tc>
        <w:tc>
          <w:tcPr>
            <w:tcW w:w="2551" w:type="dxa"/>
            <w:vAlign w:val="center"/>
          </w:tcPr>
          <w:p>
            <w:pPr>
              <w:pStyle w:val="12"/>
              <w:rPr>
                <w:color w:val="auto"/>
              </w:rPr>
            </w:pPr>
            <w:r>
              <w:rPr>
                <w:color w:val="auto"/>
              </w:rPr>
              <w:t>≥14个</w:t>
            </w:r>
          </w:p>
        </w:tc>
        <w:tc>
          <w:tcPr>
            <w:tcW w:w="2268" w:type="dxa"/>
            <w:vAlign w:val="center"/>
          </w:tcPr>
          <w:p>
            <w:pPr>
              <w:pStyle w:val="12"/>
              <w:rPr>
                <w:color w:val="auto"/>
              </w:rPr>
            </w:pPr>
            <w:r>
              <w:rPr>
                <w:color w:val="auto"/>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社区工作开展效果</w:t>
            </w:r>
          </w:p>
        </w:tc>
        <w:tc>
          <w:tcPr>
            <w:tcW w:w="2835" w:type="dxa"/>
            <w:vAlign w:val="center"/>
          </w:tcPr>
          <w:p>
            <w:pPr>
              <w:pStyle w:val="12"/>
              <w:rPr>
                <w:color w:val="auto"/>
              </w:rPr>
            </w:pPr>
            <w:r>
              <w:rPr>
                <w:color w:val="auto"/>
              </w:rPr>
              <w:t>社区工作开展效果</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按年初计划宣传、慰问等工作完成时限</w:t>
            </w:r>
          </w:p>
        </w:tc>
        <w:tc>
          <w:tcPr>
            <w:tcW w:w="2551" w:type="dxa"/>
            <w:vAlign w:val="center"/>
          </w:tcPr>
          <w:p>
            <w:pPr>
              <w:pStyle w:val="12"/>
              <w:rPr>
                <w:color w:val="auto"/>
              </w:rPr>
            </w:pPr>
            <w:r>
              <w:rPr>
                <w:color w:val="auto"/>
              </w:rPr>
              <w:t>2022年底前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社区办公成本</w:t>
            </w:r>
          </w:p>
        </w:tc>
        <w:tc>
          <w:tcPr>
            <w:tcW w:w="2835" w:type="dxa"/>
            <w:vAlign w:val="center"/>
          </w:tcPr>
          <w:p>
            <w:pPr>
              <w:pStyle w:val="12"/>
              <w:rPr>
                <w:color w:val="auto"/>
              </w:rPr>
            </w:pPr>
            <w:r>
              <w:rPr>
                <w:color w:val="auto"/>
              </w:rPr>
              <w:t>按年初预算和计划社区办公费使用成本</w:t>
            </w:r>
          </w:p>
        </w:tc>
        <w:tc>
          <w:tcPr>
            <w:tcW w:w="2551" w:type="dxa"/>
            <w:vAlign w:val="center"/>
          </w:tcPr>
          <w:p>
            <w:pPr>
              <w:pStyle w:val="12"/>
              <w:rPr>
                <w:color w:val="auto"/>
              </w:rPr>
            </w:pPr>
            <w:r>
              <w:rPr>
                <w:color w:val="auto"/>
              </w:rPr>
              <w:t>≤8500元/月/社区</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为民服务能力提升</w:t>
            </w:r>
          </w:p>
        </w:tc>
        <w:tc>
          <w:tcPr>
            <w:tcW w:w="2835" w:type="dxa"/>
            <w:vAlign w:val="center"/>
          </w:tcPr>
          <w:p>
            <w:pPr>
              <w:pStyle w:val="12"/>
              <w:rPr>
                <w:color w:val="auto"/>
              </w:rPr>
            </w:pPr>
            <w:r>
              <w:rPr>
                <w:color w:val="auto"/>
              </w:rPr>
              <w:t>为民服务能力提升</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3、省专班环保工作经费绩效目标表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1.环保车辆正常使用</w:t>
            </w:r>
          </w:p>
          <w:p>
            <w:pPr>
              <w:pStyle w:val="12"/>
              <w:rPr>
                <w:color w:val="auto"/>
              </w:rPr>
            </w:pPr>
            <w:r>
              <w:rPr>
                <w:color w:val="auto"/>
              </w:rPr>
              <w:t>2.环保车辆司机工资按时支付</w:t>
            </w:r>
          </w:p>
          <w:p>
            <w:pPr>
              <w:pStyle w:val="12"/>
              <w:rPr>
                <w:color w:val="auto"/>
              </w:rPr>
            </w:pPr>
            <w:r>
              <w:rPr>
                <w:color w:val="auto"/>
              </w:rPr>
              <w:t>3.环保专班工作正常开展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环保作业车辆</w:t>
            </w:r>
          </w:p>
        </w:tc>
        <w:tc>
          <w:tcPr>
            <w:tcW w:w="2835" w:type="dxa"/>
            <w:vAlign w:val="center"/>
          </w:tcPr>
          <w:p>
            <w:pPr>
              <w:pStyle w:val="12"/>
              <w:rPr>
                <w:color w:val="auto"/>
              </w:rPr>
            </w:pPr>
            <w:r>
              <w:rPr>
                <w:color w:val="auto"/>
              </w:rPr>
              <w:t>按要求配备环保作业车辆</w:t>
            </w:r>
          </w:p>
        </w:tc>
        <w:tc>
          <w:tcPr>
            <w:tcW w:w="2551" w:type="dxa"/>
            <w:vAlign w:val="center"/>
          </w:tcPr>
          <w:p>
            <w:pPr>
              <w:pStyle w:val="12"/>
              <w:rPr>
                <w:color w:val="auto"/>
              </w:rPr>
            </w:pPr>
            <w:r>
              <w:rPr>
                <w:color w:val="auto"/>
              </w:rPr>
              <w:t>≥11辆</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环境达标程度</w:t>
            </w:r>
          </w:p>
        </w:tc>
        <w:tc>
          <w:tcPr>
            <w:tcW w:w="2835" w:type="dxa"/>
            <w:vAlign w:val="center"/>
          </w:tcPr>
          <w:p>
            <w:pPr>
              <w:pStyle w:val="12"/>
              <w:rPr>
                <w:color w:val="auto"/>
              </w:rPr>
            </w:pPr>
            <w:r>
              <w:rPr>
                <w:color w:val="auto"/>
              </w:rPr>
              <w:t>环境达标程度</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按要求完成工作时限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运行维护成本</w:t>
            </w:r>
          </w:p>
        </w:tc>
        <w:tc>
          <w:tcPr>
            <w:tcW w:w="2835" w:type="dxa"/>
            <w:vAlign w:val="center"/>
          </w:tcPr>
          <w:p>
            <w:pPr>
              <w:pStyle w:val="12"/>
              <w:rPr>
                <w:color w:val="auto"/>
              </w:rPr>
            </w:pPr>
            <w:r>
              <w:rPr>
                <w:color w:val="auto"/>
              </w:rPr>
              <w:t>环保车运行维护成本</w:t>
            </w:r>
          </w:p>
        </w:tc>
        <w:tc>
          <w:tcPr>
            <w:tcW w:w="2551" w:type="dxa"/>
            <w:vAlign w:val="center"/>
          </w:tcPr>
          <w:p>
            <w:pPr>
              <w:pStyle w:val="12"/>
              <w:rPr>
                <w:color w:val="auto"/>
              </w:rPr>
            </w:pPr>
            <w:r>
              <w:rPr>
                <w:color w:val="auto"/>
              </w:rPr>
              <w:t>≤8万元/辆</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生态效益指标</w:t>
            </w:r>
          </w:p>
        </w:tc>
        <w:tc>
          <w:tcPr>
            <w:tcW w:w="2835" w:type="dxa"/>
            <w:vAlign w:val="center"/>
          </w:tcPr>
          <w:p>
            <w:pPr>
              <w:pStyle w:val="12"/>
              <w:rPr>
                <w:color w:val="auto"/>
              </w:rPr>
            </w:pPr>
            <w:r>
              <w:rPr>
                <w:color w:val="auto"/>
              </w:rPr>
              <w:t>改善生态环境质量</w:t>
            </w:r>
          </w:p>
        </w:tc>
        <w:tc>
          <w:tcPr>
            <w:tcW w:w="2835" w:type="dxa"/>
            <w:vAlign w:val="center"/>
          </w:tcPr>
          <w:p>
            <w:pPr>
              <w:pStyle w:val="12"/>
              <w:rPr>
                <w:color w:val="auto"/>
              </w:rPr>
            </w:pPr>
            <w:r>
              <w:rPr>
                <w:color w:val="auto"/>
              </w:rPr>
              <w:t>改善生态环境质量</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4、燕办十一小区日常维护、路灯电费绩效目标表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1.十一小区公厕日维护</w:t>
            </w:r>
          </w:p>
          <w:p>
            <w:pPr>
              <w:pStyle w:val="12"/>
              <w:rPr>
                <w:color w:val="auto"/>
              </w:rPr>
            </w:pPr>
            <w:r>
              <w:rPr>
                <w:color w:val="auto"/>
              </w:rPr>
              <w:t>2.路灯正常使用</w:t>
            </w:r>
          </w:p>
          <w:p>
            <w:pPr>
              <w:pStyle w:val="12"/>
              <w:rPr>
                <w:color w:val="auto"/>
              </w:rPr>
            </w:pPr>
            <w:r>
              <w:rPr>
                <w:color w:val="auto"/>
              </w:rPr>
              <w:t>3.路灯电费按时缴纳</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公厕维护数量</w:t>
            </w:r>
          </w:p>
        </w:tc>
        <w:tc>
          <w:tcPr>
            <w:tcW w:w="2835" w:type="dxa"/>
            <w:vAlign w:val="center"/>
          </w:tcPr>
          <w:p>
            <w:pPr>
              <w:pStyle w:val="12"/>
              <w:rPr>
                <w:color w:val="auto"/>
              </w:rPr>
            </w:pPr>
            <w:r>
              <w:rPr>
                <w:color w:val="auto"/>
              </w:rPr>
              <w:t>公厕维护数量</w:t>
            </w:r>
          </w:p>
        </w:tc>
        <w:tc>
          <w:tcPr>
            <w:tcW w:w="2551" w:type="dxa"/>
            <w:vAlign w:val="center"/>
          </w:tcPr>
          <w:p>
            <w:pPr>
              <w:pStyle w:val="12"/>
              <w:rPr>
                <w:color w:val="auto"/>
              </w:rPr>
            </w:pPr>
            <w:r>
              <w:rPr>
                <w:color w:val="auto"/>
              </w:rPr>
              <w:t>≥1个</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公厕路灯正常使用率</w:t>
            </w:r>
          </w:p>
        </w:tc>
        <w:tc>
          <w:tcPr>
            <w:tcW w:w="2835" w:type="dxa"/>
            <w:vAlign w:val="center"/>
          </w:tcPr>
          <w:p>
            <w:pPr>
              <w:pStyle w:val="12"/>
              <w:rPr>
                <w:color w:val="auto"/>
              </w:rPr>
            </w:pPr>
            <w:r>
              <w:rPr>
                <w:color w:val="auto"/>
              </w:rPr>
              <w:t>正常使用公厕日路灯天数占全年的比率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工作完成率</w:t>
            </w:r>
          </w:p>
        </w:tc>
        <w:tc>
          <w:tcPr>
            <w:tcW w:w="2835" w:type="dxa"/>
            <w:vAlign w:val="center"/>
          </w:tcPr>
          <w:p>
            <w:pPr>
              <w:pStyle w:val="12"/>
              <w:rPr>
                <w:color w:val="auto"/>
              </w:rPr>
            </w:pPr>
            <w:r>
              <w:rPr>
                <w:color w:val="auto"/>
              </w:rPr>
              <w:t>维修工作完成率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维护费投入使用成本</w:t>
            </w:r>
          </w:p>
        </w:tc>
        <w:tc>
          <w:tcPr>
            <w:tcW w:w="2835" w:type="dxa"/>
            <w:vAlign w:val="center"/>
          </w:tcPr>
          <w:p>
            <w:pPr>
              <w:pStyle w:val="12"/>
              <w:rPr>
                <w:color w:val="auto"/>
              </w:rPr>
            </w:pPr>
            <w:r>
              <w:rPr>
                <w:color w:val="auto"/>
              </w:rPr>
              <w:t>公厕路灯维护费使用成本</w:t>
            </w:r>
          </w:p>
        </w:tc>
        <w:tc>
          <w:tcPr>
            <w:tcW w:w="2551" w:type="dxa"/>
            <w:vAlign w:val="center"/>
          </w:tcPr>
          <w:p>
            <w:pPr>
              <w:pStyle w:val="12"/>
              <w:rPr>
                <w:color w:val="auto"/>
              </w:rPr>
            </w:pPr>
            <w:r>
              <w:rPr>
                <w:color w:val="auto"/>
              </w:rPr>
              <w:t>≤7500元/月</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公共设施正常使用</w:t>
            </w:r>
          </w:p>
        </w:tc>
        <w:tc>
          <w:tcPr>
            <w:tcW w:w="2835" w:type="dxa"/>
            <w:vAlign w:val="center"/>
          </w:tcPr>
          <w:p>
            <w:pPr>
              <w:pStyle w:val="12"/>
              <w:rPr>
                <w:color w:val="auto"/>
              </w:rPr>
            </w:pPr>
            <w:r>
              <w:rPr>
                <w:color w:val="auto"/>
              </w:rPr>
              <w:t>公共设施正常使用</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5、燕办四术后遗症、计生业务费绩效目标表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1.四术后遗症补助发放</w:t>
            </w:r>
          </w:p>
          <w:p>
            <w:pPr>
              <w:pStyle w:val="12"/>
              <w:rPr>
                <w:color w:val="auto"/>
              </w:rPr>
            </w:pPr>
            <w:r>
              <w:rPr>
                <w:color w:val="auto"/>
              </w:rPr>
              <w:t>2.保证后遗症人员生活</w:t>
            </w:r>
          </w:p>
          <w:p>
            <w:pPr>
              <w:pStyle w:val="12"/>
              <w:rPr>
                <w:color w:val="auto"/>
              </w:rPr>
            </w:pPr>
            <w:r>
              <w:rPr>
                <w:color w:val="auto"/>
              </w:rPr>
              <w:t>3.计生工作正常开展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补贴人数</w:t>
            </w:r>
          </w:p>
        </w:tc>
        <w:tc>
          <w:tcPr>
            <w:tcW w:w="2835" w:type="dxa"/>
            <w:vAlign w:val="center"/>
          </w:tcPr>
          <w:p>
            <w:pPr>
              <w:pStyle w:val="12"/>
              <w:rPr>
                <w:color w:val="auto"/>
              </w:rPr>
            </w:pPr>
            <w:r>
              <w:rPr>
                <w:color w:val="auto"/>
              </w:rPr>
              <w:t>发放补贴人数</w:t>
            </w:r>
          </w:p>
        </w:tc>
        <w:tc>
          <w:tcPr>
            <w:tcW w:w="2551" w:type="dxa"/>
            <w:vAlign w:val="center"/>
          </w:tcPr>
          <w:p>
            <w:pPr>
              <w:pStyle w:val="12"/>
              <w:rPr>
                <w:color w:val="auto"/>
              </w:rPr>
            </w:pPr>
            <w:r>
              <w:rPr>
                <w:color w:val="auto"/>
              </w:rPr>
              <w:t>≥1人</w:t>
            </w:r>
          </w:p>
        </w:tc>
        <w:tc>
          <w:tcPr>
            <w:tcW w:w="2268" w:type="dxa"/>
            <w:vAlign w:val="center"/>
          </w:tcPr>
          <w:p>
            <w:pPr>
              <w:pStyle w:val="12"/>
              <w:rPr>
                <w:color w:val="auto"/>
              </w:rPr>
            </w:pPr>
            <w:r>
              <w:rPr>
                <w:color w:val="auto"/>
              </w:rPr>
              <w:t>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资金按时发放率</w:t>
            </w:r>
          </w:p>
        </w:tc>
        <w:tc>
          <w:tcPr>
            <w:tcW w:w="2835" w:type="dxa"/>
            <w:vAlign w:val="center"/>
          </w:tcPr>
          <w:p>
            <w:pPr>
              <w:pStyle w:val="12"/>
              <w:rPr>
                <w:color w:val="auto"/>
              </w:rPr>
            </w:pPr>
            <w:r>
              <w:rPr>
                <w:color w:val="auto"/>
              </w:rPr>
              <w:t>补贴按时发放季度占四个季度的比率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按上级要求完成工作时限</w:t>
            </w:r>
          </w:p>
        </w:tc>
        <w:tc>
          <w:tcPr>
            <w:tcW w:w="2551" w:type="dxa"/>
            <w:vAlign w:val="center"/>
          </w:tcPr>
          <w:p>
            <w:pPr>
              <w:pStyle w:val="12"/>
              <w:rPr>
                <w:color w:val="auto"/>
              </w:rPr>
            </w:pPr>
            <w:r>
              <w:rPr>
                <w:color w:val="auto"/>
              </w:rPr>
              <w:t>2022年年底前</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计生费使用成本</w:t>
            </w:r>
          </w:p>
        </w:tc>
        <w:tc>
          <w:tcPr>
            <w:tcW w:w="2835" w:type="dxa"/>
            <w:vAlign w:val="center"/>
          </w:tcPr>
          <w:p>
            <w:pPr>
              <w:pStyle w:val="12"/>
              <w:rPr>
                <w:color w:val="auto"/>
              </w:rPr>
            </w:pPr>
            <w:r>
              <w:rPr>
                <w:color w:val="auto"/>
              </w:rPr>
              <w:t>按年初预算和计划完成工作的成本</w:t>
            </w:r>
          </w:p>
        </w:tc>
        <w:tc>
          <w:tcPr>
            <w:tcW w:w="2551" w:type="dxa"/>
            <w:vAlign w:val="center"/>
          </w:tcPr>
          <w:p>
            <w:pPr>
              <w:pStyle w:val="12"/>
              <w:rPr>
                <w:color w:val="auto"/>
              </w:rPr>
            </w:pPr>
            <w:r>
              <w:rPr>
                <w:color w:val="auto"/>
              </w:rPr>
              <w:t>≤22150元/季度</w:t>
            </w:r>
          </w:p>
        </w:tc>
        <w:tc>
          <w:tcPr>
            <w:tcW w:w="2268" w:type="dxa"/>
            <w:vAlign w:val="center"/>
          </w:tcPr>
          <w:p>
            <w:pPr>
              <w:pStyle w:val="12"/>
              <w:rPr>
                <w:color w:val="auto"/>
              </w:rPr>
            </w:pPr>
            <w:r>
              <w:rPr>
                <w:color w:val="auto"/>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良好的社会影响</w:t>
            </w:r>
          </w:p>
        </w:tc>
        <w:tc>
          <w:tcPr>
            <w:tcW w:w="2835" w:type="dxa"/>
            <w:vAlign w:val="center"/>
          </w:tcPr>
          <w:p>
            <w:pPr>
              <w:pStyle w:val="12"/>
              <w:rPr>
                <w:color w:val="auto"/>
              </w:rPr>
            </w:pPr>
            <w:r>
              <w:rPr>
                <w:color w:val="auto"/>
              </w:rPr>
              <w:t>良好的社会影响</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计生补助人员满意度</w:t>
            </w:r>
          </w:p>
        </w:tc>
        <w:tc>
          <w:tcPr>
            <w:tcW w:w="2835" w:type="dxa"/>
            <w:vAlign w:val="center"/>
          </w:tcPr>
          <w:p>
            <w:pPr>
              <w:pStyle w:val="12"/>
              <w:rPr>
                <w:color w:val="auto"/>
              </w:rPr>
            </w:pPr>
            <w:r>
              <w:rPr>
                <w:color w:val="auto"/>
              </w:rPr>
              <w:t>计生补助人员满意度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6、燕办信访维稳绩效目标表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1.按要求完成信访值班</w:t>
            </w:r>
          </w:p>
          <w:p>
            <w:pPr>
              <w:pStyle w:val="12"/>
              <w:rPr>
                <w:color w:val="auto"/>
              </w:rPr>
            </w:pPr>
            <w:r>
              <w:rPr>
                <w:color w:val="auto"/>
              </w:rPr>
              <w:t>2.接访及时</w:t>
            </w:r>
          </w:p>
          <w:p>
            <w:pPr>
              <w:pStyle w:val="12"/>
              <w:rPr>
                <w:color w:val="auto"/>
              </w:rPr>
            </w:pPr>
            <w:r>
              <w:rPr>
                <w:color w:val="auto"/>
              </w:rPr>
              <w:t>3.维护辖区信访稳定</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区级上访次数</w:t>
            </w:r>
          </w:p>
        </w:tc>
        <w:tc>
          <w:tcPr>
            <w:tcW w:w="2835" w:type="dxa"/>
            <w:vAlign w:val="center"/>
          </w:tcPr>
          <w:p>
            <w:pPr>
              <w:pStyle w:val="12"/>
              <w:rPr>
                <w:color w:val="auto"/>
              </w:rPr>
            </w:pPr>
            <w:r>
              <w:rPr>
                <w:color w:val="auto"/>
              </w:rPr>
              <w:t>区级上访次数</w:t>
            </w:r>
          </w:p>
        </w:tc>
        <w:tc>
          <w:tcPr>
            <w:tcW w:w="2551" w:type="dxa"/>
            <w:vAlign w:val="center"/>
          </w:tcPr>
          <w:p>
            <w:pPr>
              <w:pStyle w:val="12"/>
              <w:rPr>
                <w:color w:val="auto"/>
              </w:rPr>
            </w:pPr>
            <w:r>
              <w:rPr>
                <w:color w:val="auto"/>
              </w:rPr>
              <w:t>≤25次</w:t>
            </w:r>
          </w:p>
        </w:tc>
        <w:tc>
          <w:tcPr>
            <w:tcW w:w="2268" w:type="dxa"/>
            <w:vAlign w:val="center"/>
          </w:tcPr>
          <w:p>
            <w:pPr>
              <w:pStyle w:val="12"/>
              <w:rPr>
                <w:color w:val="auto"/>
              </w:rPr>
            </w:pPr>
            <w:r>
              <w:rPr>
                <w:color w:val="auto"/>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维稳工作开展效果</w:t>
            </w:r>
          </w:p>
        </w:tc>
        <w:tc>
          <w:tcPr>
            <w:tcW w:w="2835" w:type="dxa"/>
            <w:vAlign w:val="center"/>
          </w:tcPr>
          <w:p>
            <w:pPr>
              <w:pStyle w:val="12"/>
              <w:rPr>
                <w:color w:val="auto"/>
              </w:rPr>
            </w:pPr>
            <w:r>
              <w:rPr>
                <w:color w:val="auto"/>
              </w:rPr>
              <w:t>社会稳定无群体访</w:t>
            </w:r>
          </w:p>
        </w:tc>
        <w:tc>
          <w:tcPr>
            <w:tcW w:w="2551" w:type="dxa"/>
            <w:vAlign w:val="center"/>
          </w:tcPr>
          <w:p>
            <w:pPr>
              <w:pStyle w:val="12"/>
              <w:rPr>
                <w:color w:val="auto"/>
              </w:rPr>
            </w:pPr>
            <w:r>
              <w:rPr>
                <w:color w:val="auto"/>
              </w:rPr>
              <w:t>良</w:t>
            </w:r>
          </w:p>
        </w:tc>
        <w:tc>
          <w:tcPr>
            <w:tcW w:w="2268" w:type="dxa"/>
            <w:vAlign w:val="center"/>
          </w:tcPr>
          <w:p>
            <w:pPr>
              <w:pStyle w:val="12"/>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信访值班完成率</w:t>
            </w:r>
          </w:p>
        </w:tc>
        <w:tc>
          <w:tcPr>
            <w:tcW w:w="2835" w:type="dxa"/>
            <w:vAlign w:val="center"/>
          </w:tcPr>
          <w:p>
            <w:pPr>
              <w:pStyle w:val="12"/>
              <w:rPr>
                <w:color w:val="auto"/>
              </w:rPr>
            </w:pPr>
            <w:r>
              <w:rPr>
                <w:color w:val="auto"/>
              </w:rPr>
              <w:t>完成信访值班占总任务的比率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信访维稳经费使用成本</w:t>
            </w:r>
          </w:p>
        </w:tc>
        <w:tc>
          <w:tcPr>
            <w:tcW w:w="2835" w:type="dxa"/>
            <w:vAlign w:val="center"/>
          </w:tcPr>
          <w:p>
            <w:pPr>
              <w:pStyle w:val="12"/>
              <w:rPr>
                <w:color w:val="auto"/>
              </w:rPr>
            </w:pPr>
            <w:r>
              <w:rPr>
                <w:color w:val="auto"/>
              </w:rPr>
              <w:t>按年初预算和计划使用经费的成本</w:t>
            </w:r>
          </w:p>
        </w:tc>
        <w:tc>
          <w:tcPr>
            <w:tcW w:w="2551" w:type="dxa"/>
            <w:vAlign w:val="center"/>
          </w:tcPr>
          <w:p>
            <w:pPr>
              <w:pStyle w:val="12"/>
              <w:rPr>
                <w:color w:val="auto"/>
              </w:rPr>
            </w:pPr>
            <w:r>
              <w:rPr>
                <w:color w:val="auto"/>
              </w:rPr>
              <w:t>≤8500元/月</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辖区稳定和谐</w:t>
            </w:r>
          </w:p>
        </w:tc>
        <w:tc>
          <w:tcPr>
            <w:tcW w:w="2835" w:type="dxa"/>
            <w:vAlign w:val="center"/>
          </w:tcPr>
          <w:p>
            <w:pPr>
              <w:pStyle w:val="12"/>
              <w:rPr>
                <w:color w:val="auto"/>
              </w:rPr>
            </w:pPr>
            <w:r>
              <w:rPr>
                <w:color w:val="auto"/>
              </w:rPr>
              <w:t>辖区信访稳定社会和谐</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7、燕办早餐点卫生经费绩效目标表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1.做好早餐点保洁</w:t>
            </w:r>
          </w:p>
          <w:p>
            <w:pPr>
              <w:pStyle w:val="12"/>
              <w:rPr>
                <w:color w:val="auto"/>
              </w:rPr>
            </w:pPr>
            <w:r>
              <w:rPr>
                <w:color w:val="auto"/>
              </w:rPr>
              <w:t>2.达到卫生标准</w:t>
            </w:r>
          </w:p>
          <w:p>
            <w:pPr>
              <w:pStyle w:val="12"/>
              <w:rPr>
                <w:color w:val="auto"/>
              </w:rPr>
            </w:pPr>
            <w:r>
              <w:rPr>
                <w:color w:val="auto"/>
              </w:rPr>
              <w:t>3.社区环境卫生改善</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清扫次数</w:t>
            </w:r>
          </w:p>
        </w:tc>
        <w:tc>
          <w:tcPr>
            <w:tcW w:w="2835" w:type="dxa"/>
            <w:vAlign w:val="center"/>
          </w:tcPr>
          <w:p>
            <w:pPr>
              <w:pStyle w:val="12"/>
              <w:rPr>
                <w:color w:val="auto"/>
              </w:rPr>
            </w:pPr>
            <w:r>
              <w:rPr>
                <w:color w:val="auto"/>
              </w:rPr>
              <w:t>卫生清扫次数</w:t>
            </w:r>
          </w:p>
        </w:tc>
        <w:tc>
          <w:tcPr>
            <w:tcW w:w="2551" w:type="dxa"/>
            <w:vAlign w:val="center"/>
          </w:tcPr>
          <w:p>
            <w:pPr>
              <w:pStyle w:val="12"/>
              <w:rPr>
                <w:color w:val="auto"/>
              </w:rPr>
            </w:pPr>
            <w:r>
              <w:rPr>
                <w:color w:val="auto"/>
              </w:rPr>
              <w:t>≥50次</w:t>
            </w:r>
          </w:p>
        </w:tc>
        <w:tc>
          <w:tcPr>
            <w:tcW w:w="2268" w:type="dxa"/>
            <w:vAlign w:val="center"/>
          </w:tcPr>
          <w:p>
            <w:pPr>
              <w:pStyle w:val="12"/>
              <w:rPr>
                <w:color w:val="auto"/>
              </w:rPr>
            </w:pPr>
            <w:r>
              <w:rPr>
                <w:color w:val="auto"/>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卫生达标率</w:t>
            </w:r>
          </w:p>
        </w:tc>
        <w:tc>
          <w:tcPr>
            <w:tcW w:w="2835" w:type="dxa"/>
            <w:vAlign w:val="center"/>
          </w:tcPr>
          <w:p>
            <w:pPr>
              <w:pStyle w:val="12"/>
              <w:rPr>
                <w:color w:val="auto"/>
              </w:rPr>
            </w:pPr>
            <w:r>
              <w:rPr>
                <w:color w:val="auto"/>
              </w:rPr>
              <w:t>卫生达标天数占全年比率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工作完成时限</w:t>
            </w:r>
          </w:p>
        </w:tc>
        <w:tc>
          <w:tcPr>
            <w:tcW w:w="2835" w:type="dxa"/>
            <w:vAlign w:val="center"/>
          </w:tcPr>
          <w:p>
            <w:pPr>
              <w:pStyle w:val="12"/>
              <w:rPr>
                <w:color w:val="auto"/>
              </w:rPr>
            </w:pPr>
            <w:r>
              <w:rPr>
                <w:color w:val="auto"/>
              </w:rPr>
              <w:t>保洁工作完成时限</w:t>
            </w:r>
          </w:p>
        </w:tc>
        <w:tc>
          <w:tcPr>
            <w:tcW w:w="2551" w:type="dxa"/>
            <w:vAlign w:val="center"/>
          </w:tcPr>
          <w:p>
            <w:pPr>
              <w:pStyle w:val="12"/>
              <w:rPr>
                <w:color w:val="auto"/>
              </w:rPr>
            </w:pPr>
            <w:r>
              <w:rPr>
                <w:color w:val="auto"/>
              </w:rPr>
              <w:t>每天中午前</w:t>
            </w:r>
          </w:p>
        </w:tc>
        <w:tc>
          <w:tcPr>
            <w:tcW w:w="2268" w:type="dxa"/>
            <w:vAlign w:val="center"/>
          </w:tcPr>
          <w:p>
            <w:pPr>
              <w:pStyle w:val="12"/>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保洁成本</w:t>
            </w:r>
          </w:p>
        </w:tc>
        <w:tc>
          <w:tcPr>
            <w:tcW w:w="2835" w:type="dxa"/>
            <w:vAlign w:val="center"/>
          </w:tcPr>
          <w:p>
            <w:pPr>
              <w:pStyle w:val="12"/>
              <w:rPr>
                <w:color w:val="auto"/>
              </w:rPr>
            </w:pPr>
            <w:r>
              <w:rPr>
                <w:color w:val="auto"/>
              </w:rPr>
              <w:t>早餐点保洁工作成本</w:t>
            </w:r>
          </w:p>
        </w:tc>
        <w:tc>
          <w:tcPr>
            <w:tcW w:w="2551" w:type="dxa"/>
            <w:vAlign w:val="center"/>
          </w:tcPr>
          <w:p>
            <w:pPr>
              <w:pStyle w:val="12"/>
              <w:rPr>
                <w:color w:val="auto"/>
              </w:rPr>
            </w:pPr>
            <w:r>
              <w:rPr>
                <w:color w:val="auto"/>
              </w:rPr>
              <w:t>≤4500元/月</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社区环境改善</w:t>
            </w:r>
          </w:p>
        </w:tc>
        <w:tc>
          <w:tcPr>
            <w:tcW w:w="2835" w:type="dxa"/>
            <w:vAlign w:val="center"/>
          </w:tcPr>
          <w:p>
            <w:pPr>
              <w:pStyle w:val="12"/>
              <w:rPr>
                <w:color w:val="auto"/>
              </w:rPr>
            </w:pPr>
            <w:r>
              <w:rPr>
                <w:color w:val="auto"/>
              </w:rPr>
              <w:t>社区环境改善</w:t>
            </w:r>
          </w:p>
        </w:tc>
        <w:tc>
          <w:tcPr>
            <w:tcW w:w="2551" w:type="dxa"/>
            <w:vAlign w:val="center"/>
          </w:tcPr>
          <w:p>
            <w:pPr>
              <w:pStyle w:val="12"/>
              <w:rPr>
                <w:color w:val="auto"/>
              </w:rPr>
            </w:pPr>
            <w:r>
              <w:rPr>
                <w:color w:val="auto"/>
              </w:rPr>
              <w:t>优</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居民满意度</w:t>
            </w:r>
          </w:p>
        </w:tc>
        <w:tc>
          <w:tcPr>
            <w:tcW w:w="2835" w:type="dxa"/>
            <w:vAlign w:val="center"/>
          </w:tcPr>
          <w:p>
            <w:pPr>
              <w:pStyle w:val="12"/>
              <w:rPr>
                <w:color w:val="auto"/>
              </w:rPr>
            </w:pPr>
            <w:r>
              <w:rPr>
                <w:color w:val="auto"/>
              </w:rPr>
              <w:t>社区居民满意度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ind w:firstLine="640"/>
        <w:outlineLvl w:val="2"/>
        <w:rPr>
          <w:color w:val="auto"/>
        </w:rPr>
      </w:pPr>
      <w:bookmarkStart w:id="14" w:name="_Toc25899"/>
      <w:r>
        <w:rPr>
          <w:rFonts w:ascii="黑体" w:hAnsi="黑体" w:eastAsia="黑体" w:cs="黑体"/>
          <w:color w:val="auto"/>
          <w:sz w:val="32"/>
        </w:rPr>
        <w:t>六、政府采购预算情况</w:t>
      </w:r>
      <w:bookmarkEnd w:id="14"/>
    </w:p>
    <w:p>
      <w:pPr>
        <w:spacing w:line="500" w:lineRule="exact"/>
        <w:ind w:firstLine="560"/>
        <w:rPr>
          <w:color w:val="auto"/>
        </w:rPr>
      </w:pPr>
      <w:r>
        <w:rPr>
          <w:rFonts w:eastAsia="方正仿宋_GBK"/>
          <w:color w:val="auto"/>
          <w:sz w:val="28"/>
        </w:rPr>
        <w:t>2022年，丰润区燕山路办事处安排政府采购预算0.00万元。</w:t>
      </w:r>
    </w:p>
    <w:p>
      <w:pPr>
        <w:jc w:val="center"/>
        <w:rPr>
          <w:color w:val="auto"/>
        </w:rPr>
      </w:pPr>
      <w:r>
        <w:rPr>
          <w:rFonts w:ascii="方正小标宋_GBK" w:hAnsi="方正小标宋_GBK" w:eastAsia="方正小标宋_GBK" w:cs="方正小标宋_GBK"/>
          <w:color w:val="auto"/>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color w:val="auto"/>
              </w:rPr>
            </w:pPr>
            <w:r>
              <w:rPr>
                <w:color w:val="auto"/>
              </w:rPr>
              <w:t>435丰润区燕山路办事处</w:t>
            </w:r>
          </w:p>
        </w:tc>
        <w:tc>
          <w:tcPr>
            <w:tcW w:w="8674" w:type="dxa"/>
            <w:gridSpan w:val="9"/>
            <w:tcBorders>
              <w:top w:val="single" w:color="FFFFFF" w:sz="6" w:space="0"/>
              <w:left w:val="single" w:color="FFFFFF" w:sz="6" w:space="0"/>
              <w:right w:val="single" w:color="FFFFFF" w:sz="6" w:space="0"/>
            </w:tcBorders>
            <w:vAlign w:val="center"/>
          </w:tcPr>
          <w:p>
            <w:pPr>
              <w:pStyle w:val="2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rPr>
              <w:t>政府采购项目来源</w:t>
            </w:r>
          </w:p>
        </w:tc>
        <w:tc>
          <w:tcPr>
            <w:tcW w:w="1134" w:type="dxa"/>
            <w:vMerge w:val="restart"/>
            <w:vAlign w:val="center"/>
          </w:tcPr>
          <w:p>
            <w:pPr>
              <w:pStyle w:val="10"/>
              <w:rPr>
                <w:color w:val="auto"/>
              </w:rPr>
            </w:pPr>
            <w:r>
              <w:rPr>
                <w:color w:val="auto"/>
              </w:rPr>
              <w:t>采购物品名称</w:t>
            </w:r>
          </w:p>
        </w:tc>
        <w:tc>
          <w:tcPr>
            <w:tcW w:w="1134" w:type="dxa"/>
            <w:vMerge w:val="restart"/>
            <w:vAlign w:val="center"/>
          </w:tcPr>
          <w:p>
            <w:pPr>
              <w:pStyle w:val="10"/>
              <w:rPr>
                <w:color w:val="auto"/>
              </w:rPr>
            </w:pPr>
            <w:r>
              <w:rPr>
                <w:color w:val="auto"/>
              </w:rPr>
              <w:t>政府采购目录序号</w:t>
            </w:r>
          </w:p>
        </w:tc>
        <w:tc>
          <w:tcPr>
            <w:tcW w:w="709" w:type="dxa"/>
            <w:vMerge w:val="restart"/>
            <w:vAlign w:val="center"/>
          </w:tcPr>
          <w:p>
            <w:pPr>
              <w:pStyle w:val="10"/>
              <w:rPr>
                <w:color w:val="auto"/>
              </w:rPr>
            </w:pPr>
            <w:r>
              <w:rPr>
                <w:color w:val="auto"/>
              </w:rPr>
              <w:t>计量  单位</w:t>
            </w:r>
          </w:p>
        </w:tc>
        <w:tc>
          <w:tcPr>
            <w:tcW w:w="850" w:type="dxa"/>
            <w:vMerge w:val="restart"/>
            <w:vAlign w:val="center"/>
          </w:tcPr>
          <w:p>
            <w:pPr>
              <w:pStyle w:val="10"/>
              <w:rPr>
                <w:color w:val="auto"/>
              </w:rPr>
            </w:pPr>
            <w:r>
              <w:rPr>
                <w:color w:val="auto"/>
              </w:rPr>
              <w:t>数量</w:t>
            </w:r>
          </w:p>
        </w:tc>
        <w:tc>
          <w:tcPr>
            <w:tcW w:w="850" w:type="dxa"/>
            <w:vMerge w:val="restart"/>
            <w:vAlign w:val="center"/>
          </w:tcPr>
          <w:p>
            <w:pPr>
              <w:pStyle w:val="10"/>
              <w:rPr>
                <w:color w:val="auto"/>
              </w:rPr>
            </w:pPr>
            <w:r>
              <w:rPr>
                <w:color w:val="auto"/>
              </w:rPr>
              <w:t>单价</w:t>
            </w:r>
          </w:p>
        </w:tc>
        <w:tc>
          <w:tcPr>
            <w:tcW w:w="7710" w:type="dxa"/>
            <w:gridSpan w:val="8"/>
            <w:vAlign w:val="center"/>
          </w:tcPr>
          <w:p>
            <w:pPr>
              <w:pStyle w:val="10"/>
              <w:rPr>
                <w:color w:val="auto"/>
              </w:rPr>
            </w:pPr>
            <w:r>
              <w:rPr>
                <w:color w:val="auto"/>
              </w:rPr>
              <w:t>政府采购金额（当年部门预算安排资金）</w:t>
            </w:r>
          </w:p>
        </w:tc>
        <w:tc>
          <w:tcPr>
            <w:tcW w:w="964" w:type="dxa"/>
            <w:vMerge w:val="restart"/>
            <w:vAlign w:val="center"/>
          </w:tcPr>
          <w:p>
            <w:pPr>
              <w:pStyle w:val="10"/>
              <w:rPr>
                <w:color w:val="auto"/>
              </w:rPr>
            </w:pPr>
            <w:r>
              <w:rPr>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rPr>
              <w:t>项目名称</w:t>
            </w:r>
          </w:p>
        </w:tc>
        <w:tc>
          <w:tcPr>
            <w:tcW w:w="964" w:type="dxa"/>
            <w:vAlign w:val="center"/>
          </w:tcPr>
          <w:p>
            <w:pPr>
              <w:pStyle w:val="10"/>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964" w:type="dxa"/>
            <w:vAlign w:val="center"/>
          </w:tcPr>
          <w:p>
            <w:pPr>
              <w:pStyle w:val="10"/>
              <w:rPr>
                <w:color w:val="auto"/>
              </w:rPr>
            </w:pPr>
            <w:r>
              <w:rPr>
                <w:color w:val="auto"/>
              </w:rPr>
              <w:t>财政专户核拨</w:t>
            </w:r>
          </w:p>
        </w:tc>
        <w:tc>
          <w:tcPr>
            <w:tcW w:w="964"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64" w:type="dxa"/>
            <w:vAlign w:val="center"/>
          </w:tcPr>
          <w:p>
            <w:pPr>
              <w:pStyle w:val="10"/>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color w:val="auto"/>
              </w:rPr>
            </w:pPr>
          </w:p>
        </w:tc>
        <w:tc>
          <w:tcPr>
            <w:tcW w:w="964" w:type="dxa"/>
            <w:vAlign w:val="center"/>
          </w:tcPr>
          <w:p>
            <w:pPr>
              <w:pStyle w:val="11"/>
              <w:rPr>
                <w:color w:val="auto"/>
              </w:rPr>
            </w:pPr>
          </w:p>
        </w:tc>
        <w:tc>
          <w:tcPr>
            <w:tcW w:w="1134" w:type="dxa"/>
            <w:vAlign w:val="center"/>
          </w:tcPr>
          <w:p>
            <w:pPr>
              <w:pStyle w:val="12"/>
              <w:rPr>
                <w:color w:val="auto"/>
              </w:rPr>
            </w:pPr>
          </w:p>
        </w:tc>
        <w:tc>
          <w:tcPr>
            <w:tcW w:w="1134" w:type="dxa"/>
            <w:vAlign w:val="center"/>
          </w:tcPr>
          <w:p>
            <w:pPr>
              <w:pStyle w:val="12"/>
              <w:rPr>
                <w:color w:val="auto"/>
              </w:rPr>
            </w:pPr>
          </w:p>
        </w:tc>
        <w:tc>
          <w:tcPr>
            <w:tcW w:w="709" w:type="dxa"/>
            <w:vAlign w:val="center"/>
          </w:tcPr>
          <w:p>
            <w:pPr>
              <w:pStyle w:val="13"/>
              <w:rPr>
                <w:color w:val="auto"/>
              </w:rPr>
            </w:pPr>
          </w:p>
        </w:tc>
        <w:tc>
          <w:tcPr>
            <w:tcW w:w="850" w:type="dxa"/>
            <w:vAlign w:val="center"/>
          </w:tcPr>
          <w:p>
            <w:pPr>
              <w:pStyle w:val="11"/>
              <w:rPr>
                <w:color w:val="auto"/>
              </w:rPr>
            </w:pPr>
          </w:p>
        </w:tc>
        <w:tc>
          <w:tcPr>
            <w:tcW w:w="850"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ind w:firstLine="420"/>
        <w:rPr>
          <w:color w:val="auto"/>
        </w:rPr>
      </w:pPr>
      <w:r>
        <w:rPr>
          <w:rFonts w:ascii="方正书宋_GBK" w:hAnsi="方正书宋_GBK" w:eastAsia="方正书宋_GBK" w:cs="方正书宋_GBK"/>
          <w:color w:val="auto"/>
          <w:sz w:val="21"/>
        </w:rPr>
        <w:t>注：无政府采购预算，空表列示。</w:t>
      </w:r>
    </w:p>
    <w:p>
      <w:pPr>
        <w:ind w:firstLine="640"/>
        <w:rPr>
          <w:color w:val="auto"/>
        </w:rPr>
      </w:pPr>
      <w:r>
        <w:rPr>
          <w:rFonts w:eastAsia="方正仿宋_GBK"/>
          <w:color w:val="auto"/>
          <w:sz w:val="32"/>
        </w:rPr>
        <w:t xml:space="preserve"> </w:t>
      </w: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color w:val="auto"/>
        </w:rPr>
      </w:pPr>
      <w:bookmarkStart w:id="15" w:name="_Toc21119"/>
      <w:r>
        <w:rPr>
          <w:rFonts w:ascii="黑体" w:hAnsi="黑体" w:eastAsia="黑体" w:cs="黑体"/>
          <w:color w:val="auto"/>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丰润区燕山路办事处（含所属单位）上年末固定资产金额为</w:t>
      </w:r>
      <w:r>
        <w:rPr>
          <w:rFonts w:hint="eastAsia" w:eastAsia="方正仿宋_GBK"/>
          <w:color w:val="000000"/>
          <w:sz w:val="28"/>
          <w:lang w:val="en-US" w:eastAsia="zh-CN"/>
        </w:rPr>
        <w:t>358.39</w:t>
      </w:r>
      <w:r>
        <w:rPr>
          <w:rFonts w:eastAsia="方正仿宋_GBK"/>
          <w:color w:val="000000"/>
          <w:sz w:val="28"/>
        </w:rPr>
        <w:t>万元（详见下表）。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435丰润区燕山路办事处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pPr>
              <w:snapToGrid w:val="0"/>
              <w:spacing w:line="588" w:lineRule="exact"/>
              <w:jc w:val="center"/>
            </w:pPr>
            <w:r>
              <w:rPr>
                <w:rFonts w:hint="eastAsia" w:ascii="仿宋" w:hAnsi="仿宋" w:eastAsia="仿宋"/>
                <w:sz w:val="32"/>
                <w:szCs w:val="32"/>
              </w:rPr>
              <w:t>资产总额</w:t>
            </w:r>
          </w:p>
        </w:tc>
        <w:tc>
          <w:tcPr>
            <w:tcW w:w="2835" w:type="dxa"/>
            <w:vAlign w:val="top"/>
          </w:tcPr>
          <w:p>
            <w:pPr>
              <w:snapToGrid w:val="0"/>
              <w:spacing w:line="588" w:lineRule="exact"/>
              <w:jc w:val="center"/>
            </w:pPr>
            <w:r>
              <w:rPr>
                <w:rFonts w:hint="eastAsia" w:ascii="宋体" w:hAnsi="宋体" w:cs="宋体"/>
                <w:sz w:val="32"/>
                <w:szCs w:val="32"/>
              </w:rPr>
              <w:t>－</w:t>
            </w:r>
          </w:p>
        </w:tc>
        <w:tc>
          <w:tcPr>
            <w:tcW w:w="2835" w:type="dxa"/>
            <w:vAlign w:val="top"/>
          </w:tcPr>
          <w:p>
            <w:pPr>
              <w:snapToGrid w:val="0"/>
              <w:spacing w:line="588" w:lineRule="exact"/>
              <w:jc w:val="center"/>
              <w:rPr>
                <w:rFonts w:hint="default" w:eastAsia="宋体"/>
                <w:lang w:val="en-US" w:eastAsia="zh-CN"/>
              </w:rPr>
            </w:pPr>
            <w:r>
              <w:rPr>
                <w:rFonts w:hint="eastAsia" w:ascii="仿宋" w:hAnsi="仿宋" w:eastAsia="仿宋"/>
                <w:sz w:val="32"/>
                <w:szCs w:val="32"/>
                <w:lang w:val="en-US" w:eastAsia="zh-CN"/>
              </w:rPr>
              <w:t>358.39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1、房屋（平方米）</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2691</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2、车辆（台、辆）</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2</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24"/>
                <w:szCs w:val="24"/>
              </w:rPr>
              <w:t>3、</w:t>
            </w:r>
            <w:r>
              <w:rPr>
                <w:rFonts w:hint="eastAsia" w:ascii="仿宋" w:hAnsi="仿宋" w:eastAsia="仿宋"/>
                <w:sz w:val="32"/>
                <w:szCs w:val="32"/>
              </w:rPr>
              <w:t>单价在20万元以上设备</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4、其他固定资产</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default" w:eastAsia="仿宋"/>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68.07</w:t>
            </w:r>
          </w:p>
        </w:tc>
      </w:tr>
    </w:tbl>
    <w:p>
      <w:pPr>
        <w:ind w:firstLine="640"/>
      </w:pPr>
      <w:r>
        <w:rPr>
          <w:rFonts w:eastAsia="方正仿宋_GBK"/>
          <w:color w:val="000000"/>
          <w:sz w:val="32"/>
        </w:rPr>
        <w:t xml:space="preserve"> </w:t>
      </w:r>
    </w:p>
    <w:p>
      <w:pPr>
        <w:ind w:firstLine="420"/>
        <w:rPr>
          <w:color w:val="auto"/>
        </w:rPr>
      </w:pPr>
      <w:r>
        <w:rPr>
          <w:rFonts w:ascii="方正书宋_GBK" w:hAnsi="方正书宋_GBK" w:eastAsia="方正书宋_GBK" w:cs="方正书宋_GBK"/>
          <w:color w:val="auto"/>
          <w:sz w:val="21"/>
        </w:rPr>
        <w:t>注：无固定资产占用情况，空表列示。</w:t>
      </w:r>
    </w:p>
    <w:p>
      <w:pPr>
        <w:ind w:firstLine="640"/>
        <w:rPr>
          <w:color w:val="auto"/>
        </w:rPr>
      </w:pPr>
      <w:r>
        <w:rPr>
          <w:rFonts w:eastAsia="方正仿宋_GBK"/>
          <w:color w:val="auto"/>
          <w:sz w:val="32"/>
        </w:rPr>
        <w:t xml:space="preserve"> </w:t>
      </w: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rFonts w:ascii="黑体" w:hAnsi="黑体" w:eastAsia="黑体" w:cs="黑体"/>
          <w:color w:val="auto"/>
          <w:sz w:val="32"/>
        </w:rPr>
      </w:pPr>
    </w:p>
    <w:p>
      <w:pPr>
        <w:spacing w:before="10" w:after="10"/>
        <w:ind w:firstLine="640"/>
        <w:outlineLvl w:val="2"/>
        <w:rPr>
          <w:color w:val="auto"/>
        </w:rPr>
      </w:pPr>
      <w:bookmarkStart w:id="16" w:name="_Toc13836"/>
      <w:r>
        <w:rPr>
          <w:rFonts w:ascii="黑体" w:hAnsi="黑体" w:eastAsia="黑体" w:cs="黑体"/>
          <w:color w:val="auto"/>
          <w:sz w:val="32"/>
        </w:rPr>
        <w:t>八、名词解释</w:t>
      </w:r>
      <w:bookmarkEnd w:id="16"/>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w:t>
      </w:r>
      <w:r>
        <w:rPr>
          <w:rFonts w:hint="eastAsia" w:eastAsia="方正仿宋_GBK"/>
          <w:color w:val="auto"/>
          <w:sz w:val="28"/>
          <w:lang w:val="en-US" w:eastAsia="zh-CN"/>
        </w:rPr>
        <w:t>本</w:t>
      </w:r>
      <w:r>
        <w:rPr>
          <w:rFonts w:eastAsia="方正仿宋_GBK"/>
          <w:color w:val="auto"/>
          <w:sz w:val="28"/>
        </w:rPr>
        <w:t>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w:t>
      </w:r>
      <w:r>
        <w:rPr>
          <w:rFonts w:hint="eastAsia" w:eastAsia="方正仿宋_GBK"/>
          <w:color w:val="auto"/>
          <w:sz w:val="28"/>
          <w:lang w:val="en-US" w:eastAsia="zh-CN"/>
        </w:rPr>
        <w:t>本</w:t>
      </w:r>
      <w:r>
        <w:rPr>
          <w:rFonts w:eastAsia="方正仿宋_GBK"/>
          <w:color w:val="auto"/>
          <w:sz w:val="28"/>
        </w:rPr>
        <w:t>级财政预算管理的“三公”经费，是指</w:t>
      </w:r>
      <w:r>
        <w:rPr>
          <w:rFonts w:hint="eastAsia" w:eastAsia="方正仿宋_GBK"/>
          <w:color w:val="auto"/>
          <w:sz w:val="28"/>
          <w:lang w:val="en-US" w:eastAsia="zh-CN"/>
        </w:rPr>
        <w:t>本</w:t>
      </w:r>
      <w:r>
        <w:rPr>
          <w:rFonts w:eastAsia="方正仿宋_GBK"/>
          <w:color w:val="auto"/>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2"/>
        <w:rPr>
          <w:color w:val="auto"/>
        </w:rPr>
      </w:pPr>
      <w:bookmarkStart w:id="17" w:name="_Toc8444"/>
      <w:r>
        <w:rPr>
          <w:rFonts w:ascii="黑体" w:hAnsi="黑体" w:eastAsia="黑体" w:cs="黑体"/>
          <w:color w:val="auto"/>
          <w:sz w:val="32"/>
        </w:rPr>
        <w:t>九、其他需要说明的事项</w:t>
      </w:r>
      <w:bookmarkEnd w:id="17"/>
    </w:p>
    <w:p>
      <w:pPr>
        <w:spacing w:line="500" w:lineRule="exact"/>
        <w:ind w:firstLine="560"/>
        <w:rPr>
          <w:rFonts w:hint="eastAsia" w:eastAsia="方正仿宋_GBK"/>
          <w:color w:val="auto"/>
          <w:lang w:eastAsia="zh-CN"/>
        </w:rPr>
        <w:sectPr>
          <w:pgSz w:w="16840" w:h="11900" w:orient="landscape"/>
          <w:pgMar w:top="1361" w:right="1020" w:bottom="1134" w:left="1020" w:header="720" w:footer="720" w:gutter="0"/>
          <w:cols w:space="720" w:num="1"/>
        </w:sectPr>
      </w:pPr>
      <w:r>
        <w:rPr>
          <w:rFonts w:eastAsia="方正仿宋_GBK"/>
          <w:color w:val="auto"/>
          <w:sz w:val="28"/>
        </w:rPr>
        <w:t>我部门无其他需要说明的事项</w:t>
      </w:r>
      <w:r>
        <w:rPr>
          <w:rFonts w:hint="eastAsia" w:eastAsia="方正仿宋_GBK"/>
          <w:color w:val="auto"/>
          <w:sz w:val="28"/>
          <w:lang w:eastAsia="zh-CN"/>
        </w:rPr>
        <w:t>。</w:t>
      </w:r>
    </w:p>
    <w:p>
      <w:pPr>
        <w:jc w:val="both"/>
        <w:rPr>
          <w:color w:val="auto"/>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365F5"/>
    <w:multiLevelType w:val="singleLevel"/>
    <w:tmpl w:val="4B1365F5"/>
    <w:lvl w:ilvl="0" w:tentative="0">
      <w:start w:val="2"/>
      <w:numFmt w:val="chineseCounting"/>
      <w:suff w:val="space"/>
      <w:lvlText w:val="第%1部分"/>
      <w:lvlJc w:val="left"/>
      <w:rPr>
        <w:rFonts w:hint="eastAsia"/>
      </w:rPr>
    </w:lvl>
  </w:abstractNum>
  <w:abstractNum w:abstractNumId="1">
    <w:nsid w:val="52594CD7"/>
    <w:multiLevelType w:val="singleLevel"/>
    <w:tmpl w:val="52594CD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YxNGZhYWFmN2QwYmJjMjQ2NzBkOGZhMmE4NTliM2QifQ=="/>
  </w:docVars>
  <w:rsids>
    <w:rsidRoot w:val="00A304A5"/>
    <w:rsid w:val="003D24E1"/>
    <w:rsid w:val="004E6517"/>
    <w:rsid w:val="00A304A5"/>
    <w:rsid w:val="2318772F"/>
    <w:rsid w:val="2A372CF3"/>
    <w:rsid w:val="30413E1D"/>
    <w:rsid w:val="327F00E3"/>
    <w:rsid w:val="576F1AB7"/>
    <w:rsid w:val="6ED5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semiHidden/>
    <w:unhideWhenUsed/>
    <w:qFormat/>
    <w:uiPriority w:val="39"/>
    <w:pPr>
      <w:ind w:left="840" w:leftChars="400"/>
    </w:pPr>
  </w:style>
  <w:style w:type="paragraph" w:styleId="3">
    <w:name w:val="toc 2"/>
    <w:basedOn w:val="1"/>
    <w:next w:val="1"/>
    <w:autoRedefine/>
    <w:semiHidden/>
    <w:unhideWhenUsed/>
    <w:qFormat/>
    <w:uiPriority w:val="39"/>
    <w:pPr>
      <w:ind w:left="420" w:leftChars="20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2022-02-18T18:42:56Z</dcterms:created>
  <dcterms:modified xsi:type="dcterms:W3CDTF">2022-02-18T10:42:56Z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2022-02-18T18:42:52Z</dcterms:created>
  <dcterms:modified xsi:type="dcterms:W3CDTF">2022-02-18T10:42:52Z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2022-02-18T18:43:08Z</dcterms:created>
  <dcterms:modified xsi:type="dcterms:W3CDTF">2022-02-18T10:43:08Z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2022-02-18T18:42:53Z</dcterms:created>
  <dcterms:modified xsi:type="dcterms:W3CDTF">2022-02-18T10:42:53Z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2022-02-18T18:42:47Z</dcterms:created>
  <dcterms:modified xsi:type="dcterms:W3CDTF">2022-02-18T10:42:47Z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2022-02-18T18:42:52Z</dcterms:created>
  <dcterms:modified xsi:type="dcterms:W3CDTF">2022-02-18T10:42:52Z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2022-02-18T18:43:06Z</dcterms:created>
  <dcterms:modified xsi:type="dcterms:W3CDTF">2022-02-18T10:43:06Z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2022-02-18T18:42:54Z</dcterms:created>
  <dcterms:modified xsi:type="dcterms:W3CDTF">2022-02-18T10:42:54Z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2022-02-18T18:42:51Z</dcterms:created>
  <dcterms:modified xsi:type="dcterms:W3CDTF">2022-02-18T10:42:51Z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2022-02-18T18:43:01Z</dcterms:created>
  <dcterms:modified xsi:type="dcterms:W3CDTF">2022-02-18T10:43:01Z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2022-02-18T18:42:53Z</dcterms:created>
  <dcterms:modified xsi:type="dcterms:W3CDTF">2022-02-18T10:42:53Z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2022-02-18T18:43:07Z</dcterms:created>
  <dcterms:modified xsi:type="dcterms:W3CDTF">2022-02-18T10:43:07Z</dcterms:modified>
</cp:coreProperties>
</file>

<file path=customXml/itemProps1.xml><?xml version="1.0" encoding="utf-8"?>
<ds:datastoreItem xmlns:ds="http://schemas.openxmlformats.org/officeDocument/2006/customXml" ds:itemID="{EFDC7EB9-F9DD-4A30-9B1A-033A7F214E09}">
  <ds:schemaRefs/>
</ds:datastoreItem>
</file>

<file path=customXml/itemProps10.xml><?xml version="1.0" encoding="utf-8"?>
<ds:datastoreItem xmlns:ds="http://schemas.openxmlformats.org/officeDocument/2006/customXml" ds:itemID="{74748D32-AE5F-4608-B456-645B9A08B318}">
  <ds:schemaRefs/>
</ds:datastoreItem>
</file>

<file path=customXml/itemProps11.xml><?xml version="1.0" encoding="utf-8"?>
<ds:datastoreItem xmlns:ds="http://schemas.openxmlformats.org/officeDocument/2006/customXml" ds:itemID="{9847D153-F2D5-41BD-8F50-1B29454D33A9}">
  <ds:schemaRefs/>
</ds:datastoreItem>
</file>

<file path=customXml/itemProps12.xml><?xml version="1.0" encoding="utf-8"?>
<ds:datastoreItem xmlns:ds="http://schemas.openxmlformats.org/officeDocument/2006/customXml" ds:itemID="{702E9E2D-DB5C-449E-AE25-E9B5B349481E}">
  <ds:schemaRefs/>
</ds:datastoreItem>
</file>

<file path=customXml/itemProps13.xml><?xml version="1.0" encoding="utf-8"?>
<ds:datastoreItem xmlns:ds="http://schemas.openxmlformats.org/officeDocument/2006/customXml" ds:itemID="{B8925B0D-DBEE-489C-9C10-C4DDD885C280}">
  <ds:schemaRefs/>
</ds:datastoreItem>
</file>

<file path=customXml/itemProps14.xml><?xml version="1.0" encoding="utf-8"?>
<ds:datastoreItem xmlns:ds="http://schemas.openxmlformats.org/officeDocument/2006/customXml" ds:itemID="{D714E6D3-90FC-484C-9FD1-7F65B4F64DD4}">
  <ds:schemaRefs/>
</ds:datastoreItem>
</file>

<file path=customXml/itemProps15.xml><?xml version="1.0" encoding="utf-8"?>
<ds:datastoreItem xmlns:ds="http://schemas.openxmlformats.org/officeDocument/2006/customXml" ds:itemID="{93FD6136-B5E4-4309-971B-9CE86805C433}">
  <ds:schemaRefs/>
</ds:datastoreItem>
</file>

<file path=customXml/itemProps16.xml><?xml version="1.0" encoding="utf-8"?>
<ds:datastoreItem xmlns:ds="http://schemas.openxmlformats.org/officeDocument/2006/customXml" ds:itemID="{812D27F7-34FE-42B0-8759-E9EDA8693356}">
  <ds:schemaRefs/>
</ds:datastoreItem>
</file>

<file path=customXml/itemProps17.xml><?xml version="1.0" encoding="utf-8"?>
<ds:datastoreItem xmlns:ds="http://schemas.openxmlformats.org/officeDocument/2006/customXml" ds:itemID="{7CF402A2-5E2A-4DC5-9FC8-6C9DD281ED0B}">
  <ds:schemaRefs/>
</ds:datastoreItem>
</file>

<file path=customXml/itemProps18.xml><?xml version="1.0" encoding="utf-8"?>
<ds:datastoreItem xmlns:ds="http://schemas.openxmlformats.org/officeDocument/2006/customXml" ds:itemID="{E157681E-EFD4-46E2-9668-3D33C83480D7}">
  <ds:schemaRefs/>
</ds:datastoreItem>
</file>

<file path=customXml/itemProps19.xml><?xml version="1.0" encoding="utf-8"?>
<ds:datastoreItem xmlns:ds="http://schemas.openxmlformats.org/officeDocument/2006/customXml" ds:itemID="{A190ED2D-DDC9-4EC4-B357-AB1CC7193112}">
  <ds:schemaRefs/>
</ds:datastoreItem>
</file>

<file path=customXml/itemProps2.xml><?xml version="1.0" encoding="utf-8"?>
<ds:datastoreItem xmlns:ds="http://schemas.openxmlformats.org/officeDocument/2006/customXml" ds:itemID="{B1A5BFB5-A401-4784-87B6-859F1FEA1703}">
  <ds:schemaRefs/>
</ds:datastoreItem>
</file>

<file path=customXml/itemProps20.xml><?xml version="1.0" encoding="utf-8"?>
<ds:datastoreItem xmlns:ds="http://schemas.openxmlformats.org/officeDocument/2006/customXml" ds:itemID="{1FD6FBAF-F832-4F7E-B84F-B9A9C24A5840}">
  <ds:schemaRefs/>
</ds:datastoreItem>
</file>

<file path=customXml/itemProps21.xml><?xml version="1.0" encoding="utf-8"?>
<ds:datastoreItem xmlns:ds="http://schemas.openxmlformats.org/officeDocument/2006/customXml" ds:itemID="{941FBF6B-ED2F-4510-AD94-517F4DD444BE}">
  <ds:schemaRefs/>
</ds:datastoreItem>
</file>

<file path=customXml/itemProps22.xml><?xml version="1.0" encoding="utf-8"?>
<ds:datastoreItem xmlns:ds="http://schemas.openxmlformats.org/officeDocument/2006/customXml" ds:itemID="{63113637-68A0-48BD-BB06-DBF1B033BAF1}">
  <ds:schemaRefs/>
</ds:datastoreItem>
</file>

<file path=customXml/itemProps23.xml><?xml version="1.0" encoding="utf-8"?>
<ds:datastoreItem xmlns:ds="http://schemas.openxmlformats.org/officeDocument/2006/customXml" ds:itemID="{A4CE10DE-6313-421E-A3A0-10EEF2429256}">
  <ds:schemaRefs/>
</ds:datastoreItem>
</file>

<file path=customXml/itemProps24.xml><?xml version="1.0" encoding="utf-8"?>
<ds:datastoreItem xmlns:ds="http://schemas.openxmlformats.org/officeDocument/2006/customXml" ds:itemID="{AA5D2CA3-657D-4AC1-B325-37280A9BA171}">
  <ds:schemaRefs/>
</ds:datastoreItem>
</file>

<file path=customXml/itemProps25.xml><?xml version="1.0" encoding="utf-8"?>
<ds:datastoreItem xmlns:ds="http://schemas.openxmlformats.org/officeDocument/2006/customXml" ds:itemID="{8825F81E-E0DB-497A-AC55-EAB7B71F9D94}">
  <ds:schemaRefs/>
</ds:datastoreItem>
</file>

<file path=customXml/itemProps26.xml><?xml version="1.0" encoding="utf-8"?>
<ds:datastoreItem xmlns:ds="http://schemas.openxmlformats.org/officeDocument/2006/customXml" ds:itemID="{976E99C1-ACB1-41C8-8672-AC79DEF6C37E}">
  <ds:schemaRefs/>
</ds:datastoreItem>
</file>

<file path=customXml/itemProps27.xml><?xml version="1.0" encoding="utf-8"?>
<ds:datastoreItem xmlns:ds="http://schemas.openxmlformats.org/officeDocument/2006/customXml" ds:itemID="{919556E7-F4B2-4596-8E7D-A7303A44E2FC}">
  <ds:schemaRefs/>
</ds:datastoreItem>
</file>

<file path=customXml/itemProps28.xml><?xml version="1.0" encoding="utf-8"?>
<ds:datastoreItem xmlns:ds="http://schemas.openxmlformats.org/officeDocument/2006/customXml" ds:itemID="{F3CCC2F4-6DA4-4F7C-9074-B717A973A907}">
  <ds:schemaRefs/>
</ds:datastoreItem>
</file>

<file path=customXml/itemProps29.xml><?xml version="1.0" encoding="utf-8"?>
<ds:datastoreItem xmlns:ds="http://schemas.openxmlformats.org/officeDocument/2006/customXml" ds:itemID="{A39DF8DB-5F6B-4C18-9934-14F02FC99B2E}">
  <ds:schemaRefs/>
</ds:datastoreItem>
</file>

<file path=customXml/itemProps3.xml><?xml version="1.0" encoding="utf-8"?>
<ds:datastoreItem xmlns:ds="http://schemas.openxmlformats.org/officeDocument/2006/customXml" ds:itemID="{A4DAFCFF-6F73-4C88-8EF3-E58011A00DC0}">
  <ds:schemaRefs/>
</ds:datastoreItem>
</file>

<file path=customXml/itemProps30.xml><?xml version="1.0" encoding="utf-8"?>
<ds:datastoreItem xmlns:ds="http://schemas.openxmlformats.org/officeDocument/2006/customXml" ds:itemID="{768E3AFB-6DA7-4EA3-B86C-7A0647A97962}">
  <ds:schemaRefs/>
</ds:datastoreItem>
</file>

<file path=customXml/itemProps31.xml><?xml version="1.0" encoding="utf-8"?>
<ds:datastoreItem xmlns:ds="http://schemas.openxmlformats.org/officeDocument/2006/customXml" ds:itemID="{E00B901D-DA7E-4C11-8CEF-1530B0200BE9}">
  <ds:schemaRefs/>
</ds:datastoreItem>
</file>

<file path=customXml/itemProps32.xml><?xml version="1.0" encoding="utf-8"?>
<ds:datastoreItem xmlns:ds="http://schemas.openxmlformats.org/officeDocument/2006/customXml" ds:itemID="{068D09B2-3B1C-4A33-949D-E349991FC664}">
  <ds:schemaRefs/>
</ds:datastoreItem>
</file>

<file path=customXml/itemProps33.xml><?xml version="1.0" encoding="utf-8"?>
<ds:datastoreItem xmlns:ds="http://schemas.openxmlformats.org/officeDocument/2006/customXml" ds:itemID="{49B64711-702A-42F4-9A70-17B718F3B971}">
  <ds:schemaRefs/>
</ds:datastoreItem>
</file>

<file path=customXml/itemProps34.xml><?xml version="1.0" encoding="utf-8"?>
<ds:datastoreItem xmlns:ds="http://schemas.openxmlformats.org/officeDocument/2006/customXml" ds:itemID="{35CAAF99-9A40-4859-A0D3-913D1F1E4964}">
  <ds:schemaRefs/>
</ds:datastoreItem>
</file>

<file path=customXml/itemProps35.xml><?xml version="1.0" encoding="utf-8"?>
<ds:datastoreItem xmlns:ds="http://schemas.openxmlformats.org/officeDocument/2006/customXml" ds:itemID="{96A488A6-1B22-4ED2-9640-0F0547594D73}">
  <ds:schemaRefs/>
</ds:datastoreItem>
</file>

<file path=customXml/itemProps36.xml><?xml version="1.0" encoding="utf-8"?>
<ds:datastoreItem xmlns:ds="http://schemas.openxmlformats.org/officeDocument/2006/customXml" ds:itemID="{7CD0E582-DD2E-4C78-A9A4-D886CDC6D658}">
  <ds:schemaRefs/>
</ds:datastoreItem>
</file>

<file path=customXml/itemProps37.xml><?xml version="1.0" encoding="utf-8"?>
<ds:datastoreItem xmlns:ds="http://schemas.openxmlformats.org/officeDocument/2006/customXml" ds:itemID="{31A8FBB8-EF80-4748-AACF-D401CC81A3E7}">
  <ds:schemaRefs/>
</ds:datastoreItem>
</file>

<file path=customXml/itemProps38.xml><?xml version="1.0" encoding="utf-8"?>
<ds:datastoreItem xmlns:ds="http://schemas.openxmlformats.org/officeDocument/2006/customXml" ds:itemID="{CB8EA4ED-60C5-421E-9F7F-A7DB55DFCC33}">
  <ds:schemaRefs/>
</ds:datastoreItem>
</file>

<file path=customXml/itemProps4.xml><?xml version="1.0" encoding="utf-8"?>
<ds:datastoreItem xmlns:ds="http://schemas.openxmlformats.org/officeDocument/2006/customXml" ds:itemID="{B5870FEE-868F-4BE3-B321-3DCE60014F66}">
  <ds:schemaRefs/>
</ds:datastoreItem>
</file>

<file path=customXml/itemProps5.xml><?xml version="1.0" encoding="utf-8"?>
<ds:datastoreItem xmlns:ds="http://schemas.openxmlformats.org/officeDocument/2006/customXml" ds:itemID="{32AF40BB-36BF-43CB-A09A-5C074F168AE2}">
  <ds:schemaRefs/>
</ds:datastoreItem>
</file>

<file path=customXml/itemProps6.xml><?xml version="1.0" encoding="utf-8"?>
<ds:datastoreItem xmlns:ds="http://schemas.openxmlformats.org/officeDocument/2006/customXml" ds:itemID="{2B5C2262-AAFD-4004-B785-90B9DD9353BC}">
  <ds:schemaRefs/>
</ds:datastoreItem>
</file>

<file path=customXml/itemProps7.xml><?xml version="1.0" encoding="utf-8"?>
<ds:datastoreItem xmlns:ds="http://schemas.openxmlformats.org/officeDocument/2006/customXml" ds:itemID="{9003413F-282E-465A-9BD8-E0387BB66528}">
  <ds:schemaRefs/>
</ds:datastoreItem>
</file>

<file path=customXml/itemProps8.xml><?xml version="1.0" encoding="utf-8"?>
<ds:datastoreItem xmlns:ds="http://schemas.openxmlformats.org/officeDocument/2006/customXml" ds:itemID="{3B9092CE-B9D1-444B-AEC2-7955951A4B39}">
  <ds:schemaRefs/>
</ds:datastoreItem>
</file>

<file path=customXml/itemProps9.xml><?xml version="1.0" encoding="utf-8"?>
<ds:datastoreItem xmlns:ds="http://schemas.openxmlformats.org/officeDocument/2006/customXml" ds:itemID="{C1620962-FF8C-422B-AB67-99D793A4605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3451</Words>
  <Characters>19673</Characters>
  <Lines>163</Lines>
  <Paragraphs>46</Paragraphs>
  <TotalTime>3</TotalTime>
  <ScaleCrop>false</ScaleCrop>
  <LinksUpToDate>false</LinksUpToDate>
  <CharactersWithSpaces>23078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2022-02-18T10:58:00Z</dcterms:created>
  <dc:creator>Administrator</dc:creator>
  <cp:lastModifiedBy>Administrator</cp:lastModifiedBy>
  <cp:lastPrinted>2023-09-04T05:51:00Z</cp:lastPrinted>
  <dcterms:modified xsi:type="dcterms:W3CDTF">2024-03-19T06:36:50Z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6A0876CDACF149EE8D98325041541A13_12</vt:lpwstr>
  </property>
</Properties>
</file>