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rPr>
          <w:rFonts w:ascii="黑体" w:hAnsi="黑体" w:eastAsia="黑体" w:cs="黑体"/>
          <w:b/>
          <w:color w:val="000000"/>
          <w:sz w:val="30"/>
        </w:rPr>
      </w:pPr>
    </w:p>
    <w:p>
      <w:pPr>
        <w:jc w:val="center"/>
      </w:pPr>
      <w:r>
        <w:rPr>
          <w:rFonts w:ascii="黑体" w:hAnsi="黑体" w:eastAsia="黑体" w:cs="黑体"/>
          <w:b/>
          <w:color w:val="000000"/>
          <w:sz w:val="30"/>
        </w:rPr>
        <w:t xml:space="preserve">  </w:t>
      </w:r>
    </w:p>
    <w:p>
      <w:pPr>
        <w:rPr>
          <w:rFonts w:hint="eastAsia" w:ascii="宋体" w:hAnsi="宋体" w:eastAsia="宋体" w:cs="宋体"/>
          <w:b/>
          <w:color w:val="000000"/>
          <w:sz w:val="28"/>
        </w:rPr>
      </w:pPr>
      <w:r>
        <w:rPr>
          <w:rFonts w:hint="eastAsia" w:ascii="宋体" w:hAnsi="宋体" w:eastAsia="宋体" w:cs="宋体"/>
          <w:b/>
          <w:color w:val="000000"/>
          <w:sz w:val="28"/>
        </w:rPr>
        <w:t>部门预算公开表</w:t>
      </w:r>
    </w:p>
    <w:p>
      <w:pPr>
        <w:rPr>
          <w:rFonts w:hint="eastAsia" w:ascii="宋体" w:hAnsi="宋体" w:eastAsia="宋体" w:cs="宋体"/>
          <w:b/>
          <w:color w:val="000000"/>
          <w:sz w:val="28"/>
        </w:rPr>
      </w:pP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_Toc15337 </w:instrText>
      </w:r>
      <w:r>
        <w:rPr>
          <w:rFonts w:hint="eastAsia" w:ascii="宋体" w:hAnsi="宋体" w:eastAsia="宋体" w:cs="宋体"/>
        </w:rPr>
        <w:fldChar w:fldCharType="separate"/>
      </w:r>
      <w:r>
        <w:rPr>
          <w:rFonts w:ascii="方正小标宋_GBK" w:hAnsi="方正小标宋_GBK" w:eastAsia="方正小标宋_GBK" w:cs="方正小标宋_GBK"/>
        </w:rPr>
        <w:t>部门预算收支总表</w:t>
      </w:r>
      <w:r>
        <w:tab/>
      </w:r>
      <w:r>
        <w:fldChar w:fldCharType="begin"/>
      </w:r>
      <w:r>
        <w:instrText xml:space="preserve"> PAGEREF _Toc15337 \h </w:instrText>
      </w:r>
      <w:r>
        <w:fldChar w:fldCharType="separate"/>
      </w:r>
      <w:r>
        <w:t>1</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_Toc23291 </w:instrText>
      </w:r>
      <w:r>
        <w:rPr>
          <w:rFonts w:hint="eastAsia" w:ascii="宋体" w:hAnsi="宋体" w:eastAsia="宋体" w:cs="宋体"/>
        </w:rPr>
        <w:fldChar w:fldCharType="separate"/>
      </w:r>
      <w:r>
        <w:rPr>
          <w:rFonts w:ascii="方正小标宋_GBK" w:hAnsi="方正小标宋_GBK" w:eastAsia="方正小标宋_GBK" w:cs="方正小标宋_GBK"/>
        </w:rPr>
        <w:t>部门预算收入总表</w:t>
      </w:r>
      <w:r>
        <w:tab/>
      </w:r>
      <w:r>
        <w:fldChar w:fldCharType="begin"/>
      </w:r>
      <w:r>
        <w:instrText xml:space="preserve"> PAGEREF _Toc23291 \h </w:instrText>
      </w:r>
      <w:r>
        <w:fldChar w:fldCharType="separate"/>
      </w:r>
      <w:r>
        <w:t>3</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_Toc21414 </w:instrText>
      </w:r>
      <w:r>
        <w:rPr>
          <w:rFonts w:hint="eastAsia" w:ascii="宋体" w:hAnsi="宋体" w:eastAsia="宋体" w:cs="宋体"/>
        </w:rP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_Toc21414 \h </w:instrText>
      </w:r>
      <w:r>
        <w:fldChar w:fldCharType="separate"/>
      </w:r>
      <w:r>
        <w:t>5</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_Toc19311 </w:instrText>
      </w:r>
      <w:r>
        <w:rPr>
          <w:rFonts w:hint="eastAsia" w:ascii="宋体" w:hAnsi="宋体" w:eastAsia="宋体" w:cs="宋体"/>
        </w:rP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_Toc19311 \h </w:instrText>
      </w:r>
      <w:r>
        <w:fldChar w:fldCharType="separate"/>
      </w:r>
      <w:r>
        <w:t>6</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_Toc21606 </w:instrText>
      </w:r>
      <w:r>
        <w:rPr>
          <w:rFonts w:hint="eastAsia" w:ascii="宋体" w:hAnsi="宋体" w:eastAsia="宋体" w:cs="宋体"/>
        </w:rP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_Toc21606 \h </w:instrText>
      </w:r>
      <w:r>
        <w:fldChar w:fldCharType="separate"/>
      </w:r>
      <w:r>
        <w:t>8</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_Toc26490 </w:instrText>
      </w:r>
      <w:r>
        <w:rPr>
          <w:rFonts w:hint="eastAsia" w:ascii="宋体" w:hAnsi="宋体" w:eastAsia="宋体" w:cs="宋体"/>
        </w:rP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_Toc26490 \h </w:instrText>
      </w:r>
      <w:r>
        <w:fldChar w:fldCharType="separate"/>
      </w:r>
      <w:r>
        <w:t>9</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_Toc26503 </w:instrText>
      </w:r>
      <w:r>
        <w:rPr>
          <w:rFonts w:hint="eastAsia" w:ascii="宋体" w:hAnsi="宋体" w:eastAsia="宋体" w:cs="宋体"/>
        </w:rP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_Toc26503 \h </w:instrText>
      </w:r>
      <w:r>
        <w:fldChar w:fldCharType="separate"/>
      </w:r>
      <w:r>
        <w:t>11</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_Toc12784 </w:instrText>
      </w:r>
      <w:r>
        <w:rPr>
          <w:rFonts w:hint="eastAsia" w:ascii="宋体" w:hAnsi="宋体" w:eastAsia="宋体" w:cs="宋体"/>
        </w:rP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_Toc12784 \h </w:instrText>
      </w:r>
      <w:r>
        <w:fldChar w:fldCharType="separate"/>
      </w:r>
      <w:r>
        <w:t>12</w:t>
      </w:r>
      <w:r>
        <w:fldChar w:fldCharType="end"/>
      </w:r>
      <w:r>
        <w:rPr>
          <w:rFonts w:hint="eastAsia" w:ascii="宋体" w:hAnsi="宋体" w:eastAsia="宋体" w:cs="宋体"/>
        </w:rPr>
        <w:fldChar w:fldCharType="end"/>
      </w:r>
    </w:p>
    <w:p>
      <w:pPr>
        <w:pStyle w:val="6"/>
        <w:tabs>
          <w:tab w:val="right" w:leader="dot" w:pos="14800"/>
        </w:tabs>
      </w:pPr>
      <w:r>
        <w:rPr>
          <w:rFonts w:hint="eastAsia" w:ascii="宋体" w:hAnsi="宋体" w:eastAsia="宋体" w:cs="宋体"/>
        </w:rPr>
        <w:fldChar w:fldCharType="begin"/>
      </w:r>
      <w:r>
        <w:rPr>
          <w:rFonts w:hint="eastAsia" w:ascii="宋体" w:hAnsi="宋体" w:eastAsia="宋体" w:cs="宋体"/>
        </w:rPr>
        <w:instrText xml:space="preserve"> HYPERLINK \l _Toc20406 </w:instrText>
      </w:r>
      <w:r>
        <w:rPr>
          <w:rFonts w:hint="eastAsia" w:ascii="宋体" w:hAnsi="宋体" w:eastAsia="宋体" w:cs="宋体"/>
        </w:rP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_Toc20406 \h </w:instrText>
      </w:r>
      <w:r>
        <w:fldChar w:fldCharType="separate"/>
      </w:r>
      <w:r>
        <w:t>13</w:t>
      </w:r>
      <w: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rPr>
          <w:rFonts w:hint="eastAsia" w:ascii="宋体" w:hAnsi="宋体" w:eastAsia="宋体" w:cs="宋体"/>
          <w:b/>
          <w:color w:val="000000"/>
          <w:sz w:val="28"/>
        </w:rPr>
      </w:pPr>
      <w:r>
        <w:rPr>
          <w:rFonts w:hint="eastAsia" w:ascii="宋体" w:hAnsi="宋体" w:eastAsia="宋体" w:cs="宋体"/>
          <w:b/>
          <w:color w:val="000000"/>
          <w:sz w:val="28"/>
        </w:rPr>
        <w:t>部门预算信息公开情况说明</w:t>
      </w:r>
    </w:p>
    <w:p>
      <w:pPr>
        <w:pStyle w:val="6"/>
        <w:tabs>
          <w:tab w:val="right" w:leader="dot" w:pos="14800"/>
        </w:tabs>
        <w:rPr>
          <w:rFonts w:hint="eastAsia" w:ascii="宋体" w:hAnsi="宋体" w:eastAsia="宋体" w:cs="宋体"/>
        </w:rPr>
      </w:pP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_Toc31950 </w:instrText>
      </w:r>
      <w:r>
        <w:rPr>
          <w:rFonts w:hint="eastAsia" w:ascii="宋体" w:hAnsi="宋体" w:eastAsia="宋体" w:cs="宋体"/>
        </w:rPr>
        <w:fldChar w:fldCharType="separate"/>
      </w:r>
      <w:r>
        <w:rPr>
          <w:rFonts w:hint="eastAsia" w:ascii="宋体" w:hAnsi="宋体" w:eastAsia="宋体" w:cs="宋体"/>
        </w:rPr>
        <w:t>一、部门职责及机构设置情况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_Toc31950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_Toc4848 </w:instrText>
      </w:r>
      <w:r>
        <w:rPr>
          <w:rFonts w:hint="eastAsia" w:ascii="宋体" w:hAnsi="宋体" w:eastAsia="宋体" w:cs="宋体"/>
        </w:rPr>
        <w:fldChar w:fldCharType="separate"/>
      </w:r>
      <w:r>
        <w:rPr>
          <w:rFonts w:hint="eastAsia" w:ascii="宋体" w:hAnsi="宋体" w:eastAsia="宋体" w:cs="宋体"/>
        </w:rPr>
        <w:t>二、部门预算安排的总体情况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_Toc4848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_Toc27438 </w:instrText>
      </w:r>
      <w:r>
        <w:rPr>
          <w:rFonts w:hint="eastAsia" w:ascii="宋体" w:hAnsi="宋体" w:eastAsia="宋体" w:cs="宋体"/>
        </w:rPr>
        <w:fldChar w:fldCharType="separate"/>
      </w:r>
      <w:r>
        <w:rPr>
          <w:rFonts w:hint="eastAsia" w:ascii="宋体" w:hAnsi="宋体" w:eastAsia="宋体" w:cs="宋体"/>
          <w:lang w:val="en-US" w:eastAsia="zh-CN"/>
        </w:rPr>
        <w:t>三、</w:t>
      </w:r>
      <w:r>
        <w:rPr>
          <w:rFonts w:hint="eastAsia" w:ascii="宋体" w:hAnsi="宋体" w:eastAsia="宋体" w:cs="宋体"/>
        </w:rPr>
        <w:t>机关运行经费安排情况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_Toc27438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_Toc30904 </w:instrText>
      </w:r>
      <w:r>
        <w:rPr>
          <w:rFonts w:hint="eastAsia" w:ascii="宋体" w:hAnsi="宋体" w:eastAsia="宋体" w:cs="宋体"/>
        </w:rPr>
        <w:fldChar w:fldCharType="separate"/>
      </w:r>
      <w:r>
        <w:rPr>
          <w:rFonts w:hint="eastAsia" w:ascii="宋体" w:hAnsi="宋体" w:eastAsia="宋体" w:cs="宋体"/>
          <w:lang w:val="en-US" w:eastAsia="zh-CN"/>
        </w:rPr>
        <w:t>四、</w:t>
      </w:r>
      <w:r>
        <w:rPr>
          <w:rFonts w:hint="eastAsia" w:ascii="宋体" w:hAnsi="宋体" w:eastAsia="宋体" w:cs="宋体"/>
        </w:rPr>
        <w:t>财政拨款“三公”经费预算情况及增减变化原因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_Toc30904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_Toc6844 </w:instrText>
      </w:r>
      <w:r>
        <w:rPr>
          <w:rFonts w:hint="eastAsia" w:ascii="宋体" w:hAnsi="宋体" w:eastAsia="宋体" w:cs="宋体"/>
        </w:rPr>
        <w:fldChar w:fldCharType="separate"/>
      </w:r>
      <w:r>
        <w:rPr>
          <w:rFonts w:hint="eastAsia" w:ascii="宋体" w:hAnsi="宋体" w:eastAsia="宋体" w:cs="宋体"/>
        </w:rPr>
        <w:t>五、预算绩效信息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_Toc6844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_Toc27769 </w:instrText>
      </w:r>
      <w:r>
        <w:rPr>
          <w:rFonts w:hint="eastAsia" w:ascii="宋体" w:hAnsi="宋体" w:eastAsia="宋体" w:cs="宋体"/>
        </w:rPr>
        <w:fldChar w:fldCharType="separate"/>
      </w:r>
      <w:r>
        <w:rPr>
          <w:rFonts w:hint="eastAsia" w:ascii="宋体" w:hAnsi="宋体" w:eastAsia="宋体" w:cs="宋体"/>
        </w:rPr>
        <w:t>六、政府采购预算情况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_Toc27769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_Toc18645 </w:instrText>
      </w:r>
      <w:r>
        <w:rPr>
          <w:rFonts w:hint="eastAsia" w:ascii="宋体" w:hAnsi="宋体" w:eastAsia="宋体" w:cs="宋体"/>
        </w:rPr>
        <w:fldChar w:fldCharType="separate"/>
      </w:r>
      <w:r>
        <w:rPr>
          <w:rFonts w:hint="eastAsia" w:ascii="宋体" w:hAnsi="宋体" w:eastAsia="宋体" w:cs="宋体"/>
        </w:rPr>
        <w:t>七、国有资产信息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_Toc18645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_Toc5176 </w:instrText>
      </w:r>
      <w:r>
        <w:rPr>
          <w:rFonts w:hint="eastAsia" w:ascii="宋体" w:hAnsi="宋体" w:eastAsia="宋体" w:cs="宋体"/>
        </w:rPr>
        <w:fldChar w:fldCharType="separate"/>
      </w:r>
      <w:r>
        <w:rPr>
          <w:rFonts w:hint="eastAsia" w:ascii="宋体" w:hAnsi="宋体" w:eastAsia="宋体" w:cs="宋体"/>
        </w:rPr>
        <w:t>八、名词解释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_Toc5176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_Toc20767 </w:instrText>
      </w:r>
      <w:r>
        <w:rPr>
          <w:rFonts w:hint="eastAsia" w:ascii="宋体" w:hAnsi="宋体" w:eastAsia="宋体" w:cs="宋体"/>
        </w:rPr>
        <w:fldChar w:fldCharType="separate"/>
      </w:r>
      <w:r>
        <w:rPr>
          <w:rFonts w:hint="eastAsia" w:ascii="宋体" w:hAnsi="宋体" w:eastAsia="宋体" w:cs="宋体"/>
        </w:rPr>
        <w:t>九、其他需要说明的事项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_Toc20767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14800"/>
        </w:tabs>
        <w:rPr>
          <w:rFonts w:hint="eastAsia" w:ascii="宋体" w:hAnsi="宋体" w:eastAsia="宋体" w:cs="宋体"/>
        </w:rPr>
      </w:pPr>
      <w:r>
        <w:rPr>
          <w:rFonts w:hint="eastAsia" w:ascii="宋体" w:hAnsi="宋体" w:eastAsia="宋体" w:cs="宋体"/>
        </w:rPr>
        <w:fldChar w:fldCharType="end"/>
      </w:r>
    </w:p>
    <w:p>
      <w:pPr>
        <w:pStyle w:val="6"/>
        <w:tabs>
          <w:tab w:val="right" w:leader="dot" w:pos="14800"/>
        </w:tabs>
        <w:rPr>
          <w:rFonts w:hint="eastAsia" w:ascii="宋体" w:hAnsi="宋体" w:eastAsia="宋体" w:cs="宋体"/>
        </w:rPr>
        <w:sectPr>
          <w:pgSz w:w="16840" w:h="11900" w:orient="landscape"/>
          <w:pgMar w:top="1361" w:right="1020" w:bottom="1134" w:left="1020" w:header="720" w:footer="720" w:gutter="0"/>
          <w:pgNumType w:fmt="decimal" w:start="0"/>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15337"/>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435丰润区燕山路办事处</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2307.94</w:t>
            </w:r>
          </w:p>
        </w:tc>
        <w:tc>
          <w:tcPr>
            <w:tcW w:w="4535" w:type="dxa"/>
            <w:vAlign w:val="center"/>
          </w:tcPr>
          <w:p>
            <w:pPr>
              <w:pStyle w:val="15"/>
            </w:pPr>
            <w:r>
              <w:t>一、一般公共服务支出</w:t>
            </w:r>
          </w:p>
        </w:tc>
        <w:tc>
          <w:tcPr>
            <w:tcW w:w="2126" w:type="dxa"/>
            <w:vAlign w:val="center"/>
          </w:tcPr>
          <w:p>
            <w:pPr>
              <w:pStyle w:val="14"/>
            </w:pPr>
            <w:r>
              <w:t>2067.46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71.56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2307.94</w:t>
            </w:r>
          </w:p>
        </w:tc>
        <w:tc>
          <w:tcPr>
            <w:tcW w:w="4535" w:type="dxa"/>
            <w:vAlign w:val="center"/>
          </w:tcPr>
          <w:p>
            <w:pPr>
              <w:pStyle w:val="17"/>
            </w:pPr>
            <w:r>
              <w:t>本年支出合计</w:t>
            </w:r>
          </w:p>
        </w:tc>
        <w:tc>
          <w:tcPr>
            <w:tcW w:w="2126" w:type="dxa"/>
            <w:vAlign w:val="center"/>
          </w:tcPr>
          <w:p>
            <w:pPr>
              <w:pStyle w:val="18"/>
            </w:pPr>
            <w:r>
              <w:t>2307.94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2307.94</w:t>
            </w:r>
          </w:p>
        </w:tc>
        <w:tc>
          <w:tcPr>
            <w:tcW w:w="4535" w:type="dxa"/>
            <w:vAlign w:val="center"/>
          </w:tcPr>
          <w:p>
            <w:pPr>
              <w:pStyle w:val="17"/>
            </w:pPr>
            <w:r>
              <w:t>支出总计</w:t>
            </w:r>
          </w:p>
        </w:tc>
        <w:tc>
          <w:tcPr>
            <w:tcW w:w="2126" w:type="dxa"/>
            <w:vAlign w:val="center"/>
          </w:tcPr>
          <w:p>
            <w:pPr>
              <w:pStyle w:val="18"/>
            </w:pPr>
            <w:r>
              <w:t>2307.94</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jc w:val="center"/>
        <w:outlineLvl w:val="1"/>
      </w:pPr>
      <w:bookmarkStart w:id="1" w:name="_Toc23291"/>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435丰润区燕山路办事处</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2307.94</w:t>
            </w:r>
          </w:p>
        </w:tc>
        <w:tc>
          <w:tcPr>
            <w:tcW w:w="1134" w:type="dxa"/>
            <w:vAlign w:val="center"/>
          </w:tcPr>
          <w:p>
            <w:pPr>
              <w:pStyle w:val="18"/>
            </w:pPr>
            <w:r>
              <w:t>2307.94</w:t>
            </w:r>
          </w:p>
        </w:tc>
        <w:tc>
          <w:tcPr>
            <w:tcW w:w="1134" w:type="dxa"/>
            <w:vAlign w:val="center"/>
          </w:tcPr>
          <w:p>
            <w:pPr>
              <w:pStyle w:val="18"/>
            </w:pPr>
            <w:r>
              <w:t>2307.94</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r>
              <w:t>2067.46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1643.93</w:t>
            </w:r>
          </w:p>
        </w:tc>
        <w:tc>
          <w:tcPr>
            <w:tcW w:w="1134" w:type="dxa"/>
            <w:vAlign w:val="center"/>
          </w:tcPr>
          <w:p>
            <w:pPr>
              <w:pStyle w:val="14"/>
            </w:pPr>
            <w:r>
              <w:t>1643.93</w:t>
            </w:r>
          </w:p>
        </w:tc>
        <w:tc>
          <w:tcPr>
            <w:tcW w:w="1134" w:type="dxa"/>
            <w:vAlign w:val="center"/>
          </w:tcPr>
          <w:p>
            <w:pPr>
              <w:pStyle w:val="14"/>
            </w:pPr>
            <w:r>
              <w:t>1643.93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2010302</w:t>
            </w:r>
          </w:p>
        </w:tc>
        <w:tc>
          <w:tcPr>
            <w:tcW w:w="1559" w:type="dxa"/>
            <w:vAlign w:val="center"/>
          </w:tcPr>
          <w:p>
            <w:pPr>
              <w:pStyle w:val="15"/>
            </w:pPr>
            <w:r>
              <w:t>一般行政管理事务</w:t>
            </w:r>
          </w:p>
        </w:tc>
        <w:tc>
          <w:tcPr>
            <w:tcW w:w="1134" w:type="dxa"/>
            <w:vAlign w:val="center"/>
          </w:tcPr>
          <w:p>
            <w:pPr>
              <w:pStyle w:val="14"/>
            </w:pPr>
            <w:r>
              <w:t>423.53</w:t>
            </w:r>
          </w:p>
        </w:tc>
        <w:tc>
          <w:tcPr>
            <w:tcW w:w="1134" w:type="dxa"/>
            <w:vAlign w:val="center"/>
          </w:tcPr>
          <w:p>
            <w:pPr>
              <w:pStyle w:val="14"/>
            </w:pPr>
            <w:r>
              <w:t>423.53</w:t>
            </w:r>
          </w:p>
        </w:tc>
        <w:tc>
          <w:tcPr>
            <w:tcW w:w="1134" w:type="dxa"/>
            <w:vAlign w:val="center"/>
          </w:tcPr>
          <w:p>
            <w:pPr>
              <w:pStyle w:val="14"/>
            </w:pPr>
            <w:r>
              <w:t>423.53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r>
              <w:t>112.61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75.08</w:t>
            </w:r>
          </w:p>
        </w:tc>
        <w:tc>
          <w:tcPr>
            <w:tcW w:w="1134" w:type="dxa"/>
            <w:vAlign w:val="center"/>
          </w:tcPr>
          <w:p>
            <w:pPr>
              <w:pStyle w:val="14"/>
            </w:pPr>
            <w:r>
              <w:t>75.08</w:t>
            </w:r>
          </w:p>
        </w:tc>
        <w:tc>
          <w:tcPr>
            <w:tcW w:w="1134" w:type="dxa"/>
            <w:vAlign w:val="center"/>
          </w:tcPr>
          <w:p>
            <w:pPr>
              <w:pStyle w:val="14"/>
            </w:pPr>
            <w:r>
              <w:t>75.08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37.54</w:t>
            </w:r>
          </w:p>
        </w:tc>
        <w:tc>
          <w:tcPr>
            <w:tcW w:w="1134" w:type="dxa"/>
            <w:vAlign w:val="center"/>
          </w:tcPr>
          <w:p>
            <w:pPr>
              <w:pStyle w:val="14"/>
            </w:pPr>
            <w:r>
              <w:t>37.54</w:t>
            </w:r>
          </w:p>
        </w:tc>
        <w:tc>
          <w:tcPr>
            <w:tcW w:w="1134" w:type="dxa"/>
            <w:vAlign w:val="center"/>
          </w:tcPr>
          <w:p>
            <w:pPr>
              <w:pStyle w:val="14"/>
            </w:pPr>
            <w:r>
              <w:t>37.54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r>
              <w:t>71.56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r>
              <w:t>56.31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21414"/>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435丰润区燕山路办事处</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2307.94</w:t>
            </w:r>
          </w:p>
        </w:tc>
        <w:tc>
          <w:tcPr>
            <w:tcW w:w="1361" w:type="dxa"/>
            <w:vAlign w:val="center"/>
          </w:tcPr>
          <w:p>
            <w:pPr>
              <w:pStyle w:val="18"/>
            </w:pPr>
            <w:r>
              <w:t>1884.41</w:t>
            </w:r>
          </w:p>
        </w:tc>
        <w:tc>
          <w:tcPr>
            <w:tcW w:w="1361" w:type="dxa"/>
            <w:vAlign w:val="center"/>
          </w:tcPr>
          <w:p>
            <w:pPr>
              <w:pStyle w:val="18"/>
            </w:pPr>
            <w:r>
              <w:t>423.53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2067.46</w:t>
            </w:r>
          </w:p>
        </w:tc>
        <w:tc>
          <w:tcPr>
            <w:tcW w:w="1361" w:type="dxa"/>
            <w:vAlign w:val="center"/>
          </w:tcPr>
          <w:p>
            <w:pPr>
              <w:pStyle w:val="14"/>
            </w:pPr>
            <w:r>
              <w:t>1643.93</w:t>
            </w: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2067.46</w:t>
            </w:r>
          </w:p>
        </w:tc>
        <w:tc>
          <w:tcPr>
            <w:tcW w:w="1361" w:type="dxa"/>
            <w:vAlign w:val="center"/>
          </w:tcPr>
          <w:p>
            <w:pPr>
              <w:pStyle w:val="14"/>
            </w:pPr>
            <w:r>
              <w:t>1643.93</w:t>
            </w: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1643.93</w:t>
            </w:r>
          </w:p>
        </w:tc>
        <w:tc>
          <w:tcPr>
            <w:tcW w:w="1361" w:type="dxa"/>
            <w:vAlign w:val="center"/>
          </w:tcPr>
          <w:p>
            <w:pPr>
              <w:pStyle w:val="14"/>
            </w:pPr>
            <w:r>
              <w:t>1643.93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2010302</w:t>
            </w:r>
          </w:p>
        </w:tc>
        <w:tc>
          <w:tcPr>
            <w:tcW w:w="4535" w:type="dxa"/>
            <w:vAlign w:val="center"/>
          </w:tcPr>
          <w:p>
            <w:pPr>
              <w:pStyle w:val="15"/>
            </w:pPr>
            <w:r>
              <w:t>一般行政管理事务</w:t>
            </w: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r>
              <w:t>423.53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112.61</w:t>
            </w:r>
          </w:p>
        </w:tc>
        <w:tc>
          <w:tcPr>
            <w:tcW w:w="1361" w:type="dxa"/>
            <w:vAlign w:val="center"/>
          </w:tcPr>
          <w:p>
            <w:pPr>
              <w:pStyle w:val="14"/>
            </w:pPr>
            <w:r>
              <w:t>112.61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112.61</w:t>
            </w:r>
          </w:p>
        </w:tc>
        <w:tc>
          <w:tcPr>
            <w:tcW w:w="1361" w:type="dxa"/>
            <w:vAlign w:val="center"/>
          </w:tcPr>
          <w:p>
            <w:pPr>
              <w:pStyle w:val="14"/>
            </w:pPr>
            <w:r>
              <w:t>112.61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75.08</w:t>
            </w:r>
          </w:p>
        </w:tc>
        <w:tc>
          <w:tcPr>
            <w:tcW w:w="1361" w:type="dxa"/>
            <w:vAlign w:val="center"/>
          </w:tcPr>
          <w:p>
            <w:pPr>
              <w:pStyle w:val="14"/>
            </w:pPr>
            <w:r>
              <w:t>75.08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2080506</w:t>
            </w:r>
          </w:p>
        </w:tc>
        <w:tc>
          <w:tcPr>
            <w:tcW w:w="4535" w:type="dxa"/>
            <w:vAlign w:val="center"/>
          </w:tcPr>
          <w:p>
            <w:pPr>
              <w:pStyle w:val="15"/>
            </w:pPr>
            <w:r>
              <w:t>机关事业单位职业年金缴费支出</w:t>
            </w:r>
          </w:p>
        </w:tc>
        <w:tc>
          <w:tcPr>
            <w:tcW w:w="1361" w:type="dxa"/>
            <w:vAlign w:val="center"/>
          </w:tcPr>
          <w:p>
            <w:pPr>
              <w:pStyle w:val="14"/>
            </w:pPr>
            <w:r>
              <w:t>37.54</w:t>
            </w:r>
          </w:p>
        </w:tc>
        <w:tc>
          <w:tcPr>
            <w:tcW w:w="1361" w:type="dxa"/>
            <w:vAlign w:val="center"/>
          </w:tcPr>
          <w:p>
            <w:pPr>
              <w:pStyle w:val="14"/>
            </w:pPr>
            <w:r>
              <w:t>37.54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71.56</w:t>
            </w:r>
          </w:p>
        </w:tc>
        <w:tc>
          <w:tcPr>
            <w:tcW w:w="1361" w:type="dxa"/>
            <w:vAlign w:val="center"/>
          </w:tcPr>
          <w:p>
            <w:pPr>
              <w:pStyle w:val="14"/>
            </w:pPr>
            <w:r>
              <w:t>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71.56</w:t>
            </w:r>
          </w:p>
        </w:tc>
        <w:tc>
          <w:tcPr>
            <w:tcW w:w="1361" w:type="dxa"/>
            <w:vAlign w:val="center"/>
          </w:tcPr>
          <w:p>
            <w:pPr>
              <w:pStyle w:val="14"/>
            </w:pPr>
            <w:r>
              <w:t>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71.56</w:t>
            </w:r>
          </w:p>
        </w:tc>
        <w:tc>
          <w:tcPr>
            <w:tcW w:w="1361" w:type="dxa"/>
            <w:vAlign w:val="center"/>
          </w:tcPr>
          <w:p>
            <w:pPr>
              <w:pStyle w:val="14"/>
            </w:pPr>
            <w:r>
              <w:t>71.56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56.31</w:t>
            </w:r>
          </w:p>
        </w:tc>
        <w:tc>
          <w:tcPr>
            <w:tcW w:w="1361" w:type="dxa"/>
            <w:vAlign w:val="center"/>
          </w:tcPr>
          <w:p>
            <w:pPr>
              <w:pStyle w:val="14"/>
            </w:pPr>
            <w:r>
              <w:t>56.31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56.31</w:t>
            </w:r>
          </w:p>
        </w:tc>
        <w:tc>
          <w:tcPr>
            <w:tcW w:w="1361" w:type="dxa"/>
            <w:vAlign w:val="center"/>
          </w:tcPr>
          <w:p>
            <w:pPr>
              <w:pStyle w:val="14"/>
            </w:pPr>
            <w:r>
              <w:t>56.31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56.31</w:t>
            </w:r>
          </w:p>
        </w:tc>
        <w:tc>
          <w:tcPr>
            <w:tcW w:w="1361" w:type="dxa"/>
            <w:vAlign w:val="center"/>
          </w:tcPr>
          <w:p>
            <w:pPr>
              <w:pStyle w:val="14"/>
            </w:pPr>
            <w:r>
              <w:t>56.31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19311"/>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435丰润区燕山路办事处</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2307.94</w:t>
            </w:r>
          </w:p>
        </w:tc>
        <w:tc>
          <w:tcPr>
            <w:tcW w:w="3402" w:type="dxa"/>
            <w:vAlign w:val="center"/>
          </w:tcPr>
          <w:p>
            <w:pPr>
              <w:pStyle w:val="15"/>
            </w:pPr>
            <w:r>
              <w:t>一、一般公共服务支出</w:t>
            </w:r>
          </w:p>
        </w:tc>
        <w:tc>
          <w:tcPr>
            <w:tcW w:w="1474" w:type="dxa"/>
            <w:vAlign w:val="center"/>
          </w:tcPr>
          <w:p>
            <w:pPr>
              <w:pStyle w:val="14"/>
            </w:pPr>
            <w:r>
              <w:t>2067.46</w:t>
            </w:r>
          </w:p>
        </w:tc>
        <w:tc>
          <w:tcPr>
            <w:tcW w:w="1474" w:type="dxa"/>
            <w:vAlign w:val="center"/>
          </w:tcPr>
          <w:p>
            <w:pPr>
              <w:pStyle w:val="14"/>
            </w:pPr>
            <w:r>
              <w:t>2067.46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112.61</w:t>
            </w:r>
          </w:p>
        </w:tc>
        <w:tc>
          <w:tcPr>
            <w:tcW w:w="1474" w:type="dxa"/>
            <w:vAlign w:val="center"/>
          </w:tcPr>
          <w:p>
            <w:pPr>
              <w:pStyle w:val="14"/>
            </w:pPr>
            <w:r>
              <w:t>112.61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71.56</w:t>
            </w:r>
          </w:p>
        </w:tc>
        <w:tc>
          <w:tcPr>
            <w:tcW w:w="1474" w:type="dxa"/>
            <w:vAlign w:val="center"/>
          </w:tcPr>
          <w:p>
            <w:pPr>
              <w:pStyle w:val="14"/>
            </w:pPr>
            <w:r>
              <w:t>71.56</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56.31</w:t>
            </w:r>
          </w:p>
        </w:tc>
        <w:tc>
          <w:tcPr>
            <w:tcW w:w="1474" w:type="dxa"/>
            <w:vAlign w:val="center"/>
          </w:tcPr>
          <w:p>
            <w:pPr>
              <w:pStyle w:val="14"/>
            </w:pPr>
            <w:r>
              <w:t>56.31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2307.94</w:t>
            </w:r>
          </w:p>
        </w:tc>
        <w:tc>
          <w:tcPr>
            <w:tcW w:w="3402" w:type="dxa"/>
            <w:vAlign w:val="center"/>
          </w:tcPr>
          <w:p>
            <w:pPr>
              <w:pStyle w:val="17"/>
            </w:pPr>
            <w:r>
              <w:t>本年支出合计</w:t>
            </w:r>
          </w:p>
        </w:tc>
        <w:tc>
          <w:tcPr>
            <w:tcW w:w="1474" w:type="dxa"/>
            <w:vAlign w:val="center"/>
          </w:tcPr>
          <w:p>
            <w:pPr>
              <w:pStyle w:val="18"/>
            </w:pPr>
            <w:r>
              <w:t>2307.94</w:t>
            </w:r>
          </w:p>
        </w:tc>
        <w:tc>
          <w:tcPr>
            <w:tcW w:w="1474" w:type="dxa"/>
            <w:vAlign w:val="center"/>
          </w:tcPr>
          <w:p>
            <w:pPr>
              <w:pStyle w:val="18"/>
            </w:pPr>
            <w:r>
              <w:t>2307.94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2307.94</w:t>
            </w:r>
          </w:p>
        </w:tc>
        <w:tc>
          <w:tcPr>
            <w:tcW w:w="3402" w:type="dxa"/>
            <w:vAlign w:val="center"/>
          </w:tcPr>
          <w:p>
            <w:pPr>
              <w:pStyle w:val="17"/>
            </w:pPr>
            <w:r>
              <w:t>支出总计</w:t>
            </w:r>
          </w:p>
        </w:tc>
        <w:tc>
          <w:tcPr>
            <w:tcW w:w="1474" w:type="dxa"/>
            <w:vAlign w:val="center"/>
          </w:tcPr>
          <w:p>
            <w:pPr>
              <w:pStyle w:val="18"/>
            </w:pPr>
            <w:r>
              <w:t>2307.94</w:t>
            </w:r>
          </w:p>
        </w:tc>
        <w:tc>
          <w:tcPr>
            <w:tcW w:w="1474" w:type="dxa"/>
            <w:vAlign w:val="center"/>
          </w:tcPr>
          <w:p>
            <w:pPr>
              <w:pStyle w:val="18"/>
            </w:pPr>
            <w:r>
              <w:t>2307.94</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21606"/>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2307.94</w:t>
            </w:r>
          </w:p>
        </w:tc>
        <w:tc>
          <w:tcPr>
            <w:tcW w:w="2551" w:type="dxa"/>
            <w:vAlign w:val="center"/>
          </w:tcPr>
          <w:p>
            <w:pPr>
              <w:pStyle w:val="18"/>
            </w:pPr>
            <w:r>
              <w:t>1884.41</w:t>
            </w:r>
          </w:p>
        </w:tc>
        <w:tc>
          <w:tcPr>
            <w:tcW w:w="2551" w:type="dxa"/>
            <w:vAlign w:val="center"/>
          </w:tcPr>
          <w:p>
            <w:pPr>
              <w:pStyle w:val="18"/>
            </w:pPr>
            <w: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2067.46</w:t>
            </w:r>
          </w:p>
        </w:tc>
        <w:tc>
          <w:tcPr>
            <w:tcW w:w="2551" w:type="dxa"/>
            <w:vAlign w:val="center"/>
          </w:tcPr>
          <w:p>
            <w:pPr>
              <w:pStyle w:val="14"/>
            </w:pPr>
            <w:r>
              <w:t>1643.93</w:t>
            </w:r>
          </w:p>
        </w:tc>
        <w:tc>
          <w:tcPr>
            <w:tcW w:w="2551" w:type="dxa"/>
            <w:vAlign w:val="center"/>
          </w:tcPr>
          <w:p>
            <w:pPr>
              <w:pStyle w:val="14"/>
            </w:pPr>
            <w: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2067.46</w:t>
            </w:r>
          </w:p>
        </w:tc>
        <w:tc>
          <w:tcPr>
            <w:tcW w:w="2551" w:type="dxa"/>
            <w:vAlign w:val="center"/>
          </w:tcPr>
          <w:p>
            <w:pPr>
              <w:pStyle w:val="14"/>
            </w:pPr>
            <w:r>
              <w:t>1643.93</w:t>
            </w:r>
          </w:p>
        </w:tc>
        <w:tc>
          <w:tcPr>
            <w:tcW w:w="2551" w:type="dxa"/>
            <w:vAlign w:val="center"/>
          </w:tcPr>
          <w:p>
            <w:pPr>
              <w:pStyle w:val="14"/>
            </w:pPr>
            <w:r>
              <w:t>423.53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1643.93</w:t>
            </w:r>
          </w:p>
        </w:tc>
        <w:tc>
          <w:tcPr>
            <w:tcW w:w="2551" w:type="dxa"/>
            <w:vAlign w:val="center"/>
          </w:tcPr>
          <w:p>
            <w:pPr>
              <w:pStyle w:val="14"/>
            </w:pPr>
            <w:r>
              <w:t>1643.93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2010302</w:t>
            </w:r>
          </w:p>
        </w:tc>
        <w:tc>
          <w:tcPr>
            <w:tcW w:w="4535" w:type="dxa"/>
            <w:vAlign w:val="center"/>
          </w:tcPr>
          <w:p>
            <w:pPr>
              <w:pStyle w:val="15"/>
            </w:pPr>
            <w:r>
              <w:t>一般行政管理事务</w:t>
            </w:r>
          </w:p>
        </w:tc>
        <w:tc>
          <w:tcPr>
            <w:tcW w:w="2551" w:type="dxa"/>
            <w:vAlign w:val="center"/>
          </w:tcPr>
          <w:p>
            <w:pPr>
              <w:pStyle w:val="14"/>
            </w:pPr>
            <w:r>
              <w:t>423.53</w:t>
            </w:r>
          </w:p>
        </w:tc>
        <w:tc>
          <w:tcPr>
            <w:tcW w:w="2551" w:type="dxa"/>
            <w:vAlign w:val="center"/>
          </w:tcPr>
          <w:p>
            <w:pPr>
              <w:pStyle w:val="14"/>
            </w:pPr>
          </w:p>
        </w:tc>
        <w:tc>
          <w:tcPr>
            <w:tcW w:w="2551" w:type="dxa"/>
            <w:vAlign w:val="center"/>
          </w:tcPr>
          <w:p>
            <w:pPr>
              <w:pStyle w:val="14"/>
            </w:pPr>
            <w:r>
              <w:t>423.53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112.61</w:t>
            </w:r>
          </w:p>
        </w:tc>
        <w:tc>
          <w:tcPr>
            <w:tcW w:w="2551" w:type="dxa"/>
            <w:vAlign w:val="center"/>
          </w:tcPr>
          <w:p>
            <w:pPr>
              <w:pStyle w:val="14"/>
            </w:pPr>
            <w:r>
              <w:t>112.61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112.61</w:t>
            </w:r>
          </w:p>
        </w:tc>
        <w:tc>
          <w:tcPr>
            <w:tcW w:w="2551" w:type="dxa"/>
            <w:vAlign w:val="center"/>
          </w:tcPr>
          <w:p>
            <w:pPr>
              <w:pStyle w:val="14"/>
            </w:pPr>
            <w:r>
              <w:t>112.61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75.08</w:t>
            </w:r>
          </w:p>
        </w:tc>
        <w:tc>
          <w:tcPr>
            <w:tcW w:w="2551" w:type="dxa"/>
            <w:vAlign w:val="center"/>
          </w:tcPr>
          <w:p>
            <w:pPr>
              <w:pStyle w:val="14"/>
            </w:pPr>
            <w:r>
              <w:t>75.08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37.54</w:t>
            </w:r>
          </w:p>
        </w:tc>
        <w:tc>
          <w:tcPr>
            <w:tcW w:w="2551" w:type="dxa"/>
            <w:vAlign w:val="center"/>
          </w:tcPr>
          <w:p>
            <w:pPr>
              <w:pStyle w:val="14"/>
            </w:pPr>
            <w:r>
              <w:t>37.54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71.56</w:t>
            </w:r>
          </w:p>
        </w:tc>
        <w:tc>
          <w:tcPr>
            <w:tcW w:w="2551" w:type="dxa"/>
            <w:vAlign w:val="center"/>
          </w:tcPr>
          <w:p>
            <w:pPr>
              <w:pStyle w:val="14"/>
            </w:pPr>
            <w:r>
              <w:t>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71.56</w:t>
            </w:r>
          </w:p>
        </w:tc>
        <w:tc>
          <w:tcPr>
            <w:tcW w:w="2551" w:type="dxa"/>
            <w:vAlign w:val="center"/>
          </w:tcPr>
          <w:p>
            <w:pPr>
              <w:pStyle w:val="14"/>
            </w:pPr>
            <w:r>
              <w:t>71.56</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71.56</w:t>
            </w:r>
          </w:p>
        </w:tc>
        <w:tc>
          <w:tcPr>
            <w:tcW w:w="2551" w:type="dxa"/>
            <w:vAlign w:val="center"/>
          </w:tcPr>
          <w:p>
            <w:pPr>
              <w:pStyle w:val="14"/>
            </w:pPr>
            <w:r>
              <w:t>71.56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26490"/>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1884.41</w:t>
            </w:r>
          </w:p>
        </w:tc>
        <w:tc>
          <w:tcPr>
            <w:tcW w:w="2551" w:type="dxa"/>
            <w:vAlign w:val="center"/>
          </w:tcPr>
          <w:p>
            <w:pPr>
              <w:pStyle w:val="18"/>
            </w:pPr>
            <w:r>
              <w:t>1813.09</w:t>
            </w:r>
          </w:p>
        </w:tc>
        <w:tc>
          <w:tcPr>
            <w:tcW w:w="2551" w:type="dxa"/>
            <w:vAlign w:val="center"/>
          </w:tcPr>
          <w:p>
            <w:pPr>
              <w:pStyle w:val="18"/>
            </w:pPr>
            <w:r>
              <w:t>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1770.17</w:t>
            </w:r>
          </w:p>
        </w:tc>
        <w:tc>
          <w:tcPr>
            <w:tcW w:w="2551" w:type="dxa"/>
            <w:vAlign w:val="center"/>
          </w:tcPr>
          <w:p>
            <w:pPr>
              <w:pStyle w:val="14"/>
            </w:pPr>
            <w:r>
              <w:t>1770.17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184.68</w:t>
            </w:r>
          </w:p>
        </w:tc>
        <w:tc>
          <w:tcPr>
            <w:tcW w:w="2551" w:type="dxa"/>
            <w:vAlign w:val="center"/>
          </w:tcPr>
          <w:p>
            <w:pPr>
              <w:pStyle w:val="14"/>
            </w:pPr>
            <w:r>
              <w:t>184.68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119.93</w:t>
            </w:r>
          </w:p>
        </w:tc>
        <w:tc>
          <w:tcPr>
            <w:tcW w:w="2551" w:type="dxa"/>
            <w:vAlign w:val="center"/>
          </w:tcPr>
          <w:p>
            <w:pPr>
              <w:pStyle w:val="14"/>
            </w:pPr>
            <w:r>
              <w:t>119.93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32.54</w:t>
            </w:r>
          </w:p>
        </w:tc>
        <w:tc>
          <w:tcPr>
            <w:tcW w:w="2551" w:type="dxa"/>
            <w:vAlign w:val="center"/>
          </w:tcPr>
          <w:p>
            <w:pPr>
              <w:pStyle w:val="14"/>
            </w:pPr>
            <w:r>
              <w:t>32.54</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123.26</w:t>
            </w:r>
          </w:p>
        </w:tc>
        <w:tc>
          <w:tcPr>
            <w:tcW w:w="2551" w:type="dxa"/>
            <w:vAlign w:val="center"/>
          </w:tcPr>
          <w:p>
            <w:pPr>
              <w:pStyle w:val="14"/>
            </w:pPr>
            <w:r>
              <w:t>123.26</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75.08</w:t>
            </w:r>
          </w:p>
        </w:tc>
        <w:tc>
          <w:tcPr>
            <w:tcW w:w="2551" w:type="dxa"/>
            <w:vAlign w:val="center"/>
          </w:tcPr>
          <w:p>
            <w:pPr>
              <w:pStyle w:val="14"/>
            </w:pPr>
            <w:r>
              <w:t>75.08</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37.54</w:t>
            </w:r>
          </w:p>
        </w:tc>
        <w:tc>
          <w:tcPr>
            <w:tcW w:w="2551" w:type="dxa"/>
            <w:vAlign w:val="center"/>
          </w:tcPr>
          <w:p>
            <w:pPr>
              <w:pStyle w:val="14"/>
            </w:pPr>
            <w:r>
              <w:t>37.54</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34.02</w:t>
            </w:r>
          </w:p>
        </w:tc>
        <w:tc>
          <w:tcPr>
            <w:tcW w:w="2551" w:type="dxa"/>
            <w:vAlign w:val="center"/>
          </w:tcPr>
          <w:p>
            <w:pPr>
              <w:pStyle w:val="14"/>
            </w:pPr>
            <w:r>
              <w:t>34.02</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37.54</w:t>
            </w:r>
          </w:p>
        </w:tc>
        <w:tc>
          <w:tcPr>
            <w:tcW w:w="2551" w:type="dxa"/>
            <w:vAlign w:val="center"/>
          </w:tcPr>
          <w:p>
            <w:pPr>
              <w:pStyle w:val="14"/>
            </w:pPr>
            <w:r>
              <w:t>37.54</w:t>
            </w:r>
          </w:p>
        </w:tc>
        <w:tc>
          <w:tcPr>
            <w:tcW w:w="2551"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4.70</w:t>
            </w:r>
          </w:p>
        </w:tc>
        <w:tc>
          <w:tcPr>
            <w:tcW w:w="2551" w:type="dxa"/>
            <w:vAlign w:val="center"/>
          </w:tcPr>
          <w:p>
            <w:pPr>
              <w:pStyle w:val="14"/>
            </w:pPr>
            <w:r>
              <w:t>4.70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56.31</w:t>
            </w:r>
          </w:p>
        </w:tc>
        <w:tc>
          <w:tcPr>
            <w:tcW w:w="2551" w:type="dxa"/>
            <w:vAlign w:val="center"/>
          </w:tcPr>
          <w:p>
            <w:pPr>
              <w:pStyle w:val="14"/>
            </w:pPr>
            <w:r>
              <w:t>56.31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1064.57</w:t>
            </w:r>
          </w:p>
        </w:tc>
        <w:tc>
          <w:tcPr>
            <w:tcW w:w="2551" w:type="dxa"/>
            <w:vAlign w:val="center"/>
          </w:tcPr>
          <w:p>
            <w:pPr>
              <w:pStyle w:val="14"/>
            </w:pPr>
            <w:r>
              <w:t>1064.57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71.32</w:t>
            </w:r>
          </w:p>
        </w:tc>
        <w:tc>
          <w:tcPr>
            <w:tcW w:w="2551" w:type="dxa"/>
            <w:vAlign w:val="center"/>
          </w:tcPr>
          <w:p>
            <w:pPr>
              <w:pStyle w:val="14"/>
            </w:pPr>
          </w:p>
        </w:tc>
        <w:tc>
          <w:tcPr>
            <w:tcW w:w="2551" w:type="dxa"/>
            <w:vAlign w:val="center"/>
          </w:tcPr>
          <w:p>
            <w:pPr>
              <w:pStyle w:val="14"/>
            </w:pPr>
            <w:r>
              <w:t>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11.10</w:t>
            </w:r>
          </w:p>
        </w:tc>
        <w:tc>
          <w:tcPr>
            <w:tcW w:w="2551" w:type="dxa"/>
            <w:vAlign w:val="center"/>
          </w:tcPr>
          <w:p>
            <w:pPr>
              <w:pStyle w:val="14"/>
            </w:pPr>
          </w:p>
        </w:tc>
        <w:tc>
          <w:tcPr>
            <w:tcW w:w="2551" w:type="dxa"/>
            <w:vAlign w:val="center"/>
          </w:tcPr>
          <w:p>
            <w:pPr>
              <w:pStyle w:val="14"/>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9.32</w:t>
            </w:r>
          </w:p>
        </w:tc>
        <w:tc>
          <w:tcPr>
            <w:tcW w:w="2551" w:type="dxa"/>
            <w:vAlign w:val="center"/>
          </w:tcPr>
          <w:p>
            <w:pPr>
              <w:pStyle w:val="14"/>
            </w:pPr>
          </w:p>
        </w:tc>
        <w:tc>
          <w:tcPr>
            <w:tcW w:w="2551" w:type="dxa"/>
            <w:vAlign w:val="center"/>
          </w:tcPr>
          <w:p>
            <w:pPr>
              <w:pStyle w:val="14"/>
            </w:pPr>
            <w:r>
              <w:t>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25.21</w:t>
            </w:r>
          </w:p>
        </w:tc>
        <w:tc>
          <w:tcPr>
            <w:tcW w:w="2551" w:type="dxa"/>
            <w:vAlign w:val="center"/>
          </w:tcPr>
          <w:p>
            <w:pPr>
              <w:pStyle w:val="14"/>
            </w:pPr>
          </w:p>
        </w:tc>
        <w:tc>
          <w:tcPr>
            <w:tcW w:w="2551" w:type="dxa"/>
            <w:vAlign w:val="center"/>
          </w:tcPr>
          <w:p>
            <w:pPr>
              <w:pStyle w:val="14"/>
            </w:pPr>
            <w:r>
              <w:t>25.21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0.40</w:t>
            </w:r>
          </w:p>
        </w:tc>
        <w:tc>
          <w:tcPr>
            <w:tcW w:w="2551" w:type="dxa"/>
            <w:vAlign w:val="center"/>
          </w:tcPr>
          <w:p>
            <w:pPr>
              <w:pStyle w:val="14"/>
            </w:pPr>
          </w:p>
        </w:tc>
        <w:tc>
          <w:tcPr>
            <w:tcW w:w="2551" w:type="dxa"/>
            <w:vAlign w:val="center"/>
          </w:tcPr>
          <w:p>
            <w:pPr>
              <w:pStyle w:val="14"/>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30226</w:t>
            </w:r>
          </w:p>
        </w:tc>
        <w:tc>
          <w:tcPr>
            <w:tcW w:w="4535" w:type="dxa"/>
            <w:vAlign w:val="center"/>
          </w:tcPr>
          <w:p>
            <w:pPr>
              <w:pStyle w:val="15"/>
            </w:pPr>
            <w:r>
              <w:t>劳务费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1.59</w:t>
            </w:r>
          </w:p>
        </w:tc>
        <w:tc>
          <w:tcPr>
            <w:tcW w:w="2551" w:type="dxa"/>
            <w:vAlign w:val="center"/>
          </w:tcPr>
          <w:p>
            <w:pPr>
              <w:pStyle w:val="14"/>
            </w:pPr>
          </w:p>
        </w:tc>
        <w:tc>
          <w:tcPr>
            <w:tcW w:w="2551" w:type="dxa"/>
            <w:vAlign w:val="center"/>
          </w:tcPr>
          <w:p>
            <w:pPr>
              <w:pStyle w:val="14"/>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4.00</w:t>
            </w:r>
          </w:p>
        </w:tc>
        <w:tc>
          <w:tcPr>
            <w:tcW w:w="2551" w:type="dxa"/>
            <w:vAlign w:val="center"/>
          </w:tcPr>
          <w:p>
            <w:pPr>
              <w:pStyle w:val="14"/>
            </w:pPr>
          </w:p>
        </w:tc>
        <w:tc>
          <w:tcPr>
            <w:tcW w:w="2551"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13.20</w:t>
            </w:r>
          </w:p>
        </w:tc>
        <w:tc>
          <w:tcPr>
            <w:tcW w:w="2551" w:type="dxa"/>
            <w:vAlign w:val="center"/>
          </w:tcPr>
          <w:p>
            <w:pPr>
              <w:pStyle w:val="14"/>
            </w:pPr>
          </w:p>
        </w:tc>
        <w:tc>
          <w:tcPr>
            <w:tcW w:w="2551" w:type="dxa"/>
            <w:vAlign w:val="center"/>
          </w:tcPr>
          <w:p>
            <w:pPr>
              <w:pStyle w:val="14"/>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42.93</w:t>
            </w:r>
          </w:p>
        </w:tc>
        <w:tc>
          <w:tcPr>
            <w:tcW w:w="2551" w:type="dxa"/>
            <w:vAlign w:val="center"/>
          </w:tcPr>
          <w:p>
            <w:pPr>
              <w:pStyle w:val="14"/>
            </w:pPr>
            <w:r>
              <w:t>42.93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32.93</w:t>
            </w:r>
          </w:p>
        </w:tc>
        <w:tc>
          <w:tcPr>
            <w:tcW w:w="2551" w:type="dxa"/>
            <w:vAlign w:val="center"/>
          </w:tcPr>
          <w:p>
            <w:pPr>
              <w:pStyle w:val="14"/>
            </w:pPr>
            <w:r>
              <w:t>32.93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10.00</w:t>
            </w:r>
          </w:p>
        </w:tc>
        <w:tc>
          <w:tcPr>
            <w:tcW w:w="2551" w:type="dxa"/>
            <w:vAlign w:val="center"/>
          </w:tcPr>
          <w:p>
            <w:pPr>
              <w:pStyle w:val="14"/>
            </w:pPr>
            <w:r>
              <w:t>10.00</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26503"/>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12784"/>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435丰润区燕山路办事处</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20406"/>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435丰润区燕山路办事处</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t>4.00</w:t>
            </w:r>
          </w:p>
        </w:tc>
        <w:tc>
          <w:tcPr>
            <w:tcW w:w="2381" w:type="dxa"/>
            <w:vAlign w:val="center"/>
          </w:tcPr>
          <w:p>
            <w:pPr>
              <w:pStyle w:val="18"/>
            </w:pPr>
            <w:r>
              <w:t>4.00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“三公”经费小计</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二、公务用车购置及运维费</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15"/>
            </w:pPr>
            <w:r>
              <w:t xml:space="preserve">          公务用车运行维护费</w:t>
            </w:r>
          </w:p>
        </w:tc>
        <w:tc>
          <w:tcPr>
            <w:tcW w:w="2381" w:type="dxa"/>
            <w:vAlign w:val="center"/>
          </w:tcPr>
          <w:p>
            <w:pPr>
              <w:pStyle w:val="14"/>
            </w:pPr>
            <w:r>
              <w:t>4.00</w:t>
            </w:r>
          </w:p>
        </w:tc>
        <w:tc>
          <w:tcPr>
            <w:tcW w:w="2381" w:type="dxa"/>
            <w:vAlign w:val="center"/>
          </w:tcPr>
          <w:p>
            <w:pPr>
              <w:pStyle w:val="14"/>
            </w:pPr>
            <w:r>
              <w:t>4.00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15"/>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15"/>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丰润区燕山路办事处2023年部门预算信息公开情况说明</w:t>
      </w:r>
    </w:p>
    <w:p>
      <w:pPr>
        <w:jc w:val="center"/>
      </w:pPr>
      <w:r>
        <w:rPr>
          <w:rFonts w:ascii="方正小标宋_GBK" w:hAnsi="方正小标宋_GBK" w:eastAsia="方正小标宋_GBK" w:cs="方正小标宋_GBK"/>
          <w:color w:val="000000"/>
          <w:sz w:val="44"/>
        </w:rPr>
        <w:t>丰润区燕山路办事处2023年部门预算信息公开情况说明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预算法》、《地方预决算公开操作规程》和《关于进一步推进预算公开工作的实施意见》规定，现将丰润区燕山路办事处2023年部门预算公开如下：</w:t>
      </w:r>
    </w:p>
    <w:p>
      <w:pPr>
        <w:spacing w:before="10" w:after="10" w:line="360" w:lineRule="auto"/>
        <w:ind w:firstLine="640"/>
        <w:outlineLvl w:val="2"/>
      </w:pPr>
      <w:bookmarkStart w:id="9" w:name="_Toc3195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hint="eastAsia" w:eastAsia="方正仿宋_GBK"/>
          <w:color w:val="000000"/>
          <w:sz w:val="28"/>
        </w:rPr>
      </w:pPr>
      <w:r>
        <w:rPr>
          <w:rFonts w:hint="eastAsia" w:eastAsia="方正仿宋_GBK"/>
          <w:color w:val="000000"/>
          <w:sz w:val="28"/>
        </w:rPr>
        <w:t>根据《丰润区燕山路办事处职能配置、内设机构和人员编制规定》， 丰润区燕山路办事处的主要职责是：</w:t>
      </w:r>
    </w:p>
    <w:p>
      <w:pPr>
        <w:spacing w:line="500" w:lineRule="exact"/>
        <w:ind w:firstLine="560"/>
        <w:rPr>
          <w:rFonts w:hint="eastAsia" w:eastAsia="方正仿宋_GBK"/>
          <w:color w:val="000000"/>
          <w:sz w:val="28"/>
        </w:rPr>
      </w:pPr>
      <w:r>
        <w:rPr>
          <w:rFonts w:hint="eastAsia" w:eastAsia="方正仿宋_GBK"/>
          <w:color w:val="000000"/>
          <w:sz w:val="28"/>
        </w:rPr>
        <w:t>宣传贯彻执行党的路线方针政策和党中央、上级党组织的决议。贯彻执行法律、法规、规章和上级人民代表大会及其常务委员会决议及上级政府的决定、命令，依法管理辖区公共事务。</w:t>
      </w:r>
    </w:p>
    <w:p>
      <w:pPr>
        <w:spacing w:line="500" w:lineRule="exact"/>
        <w:ind w:firstLine="560"/>
        <w:rPr>
          <w:rFonts w:hint="eastAsia" w:eastAsia="方正仿宋_GBK"/>
          <w:color w:val="000000"/>
          <w:sz w:val="28"/>
        </w:rPr>
      </w:pPr>
      <w:r>
        <w:rPr>
          <w:rFonts w:hint="eastAsia" w:eastAsia="方正仿宋_GBK"/>
          <w:color w:val="000000"/>
          <w:sz w:val="28"/>
        </w:rPr>
        <w:t>二、讨论并决定本街道重大问题，统筹、协调辖区单位和组织，团结、组织党内外干部和群众，抓好决战部署的组织实施和督促落实。组织实施与居民生活密切相关的公共服务，落实民政民生、卫生健康、住房保障、就业创业、社会保障、文化教育和体育事业等政策。</w:t>
      </w:r>
    </w:p>
    <w:p>
      <w:pPr>
        <w:spacing w:line="500" w:lineRule="exact"/>
        <w:ind w:firstLine="560"/>
        <w:rPr>
          <w:rFonts w:hint="eastAsia" w:eastAsia="方正仿宋_GBK"/>
          <w:color w:val="000000"/>
          <w:sz w:val="28"/>
        </w:rPr>
      </w:pPr>
      <w:r>
        <w:rPr>
          <w:rFonts w:hint="eastAsia" w:eastAsia="方正仿宋_GBK"/>
          <w:color w:val="000000"/>
          <w:sz w:val="28"/>
        </w:rPr>
        <w:t>三、负责办理上级人大常委会交办的监督、选举以及其他工作，做好人大代表工作，联系选民、反映群众意见和要求。、</w:t>
      </w:r>
    </w:p>
    <w:p>
      <w:pPr>
        <w:spacing w:line="500" w:lineRule="exact"/>
        <w:ind w:firstLine="560"/>
        <w:rPr>
          <w:rFonts w:hint="eastAsia" w:eastAsia="方正仿宋_GBK"/>
          <w:color w:val="000000"/>
          <w:sz w:val="28"/>
        </w:rPr>
      </w:pPr>
      <w:r>
        <w:rPr>
          <w:rFonts w:hint="eastAsia" w:eastAsia="方正仿宋_GBK"/>
          <w:color w:val="000000"/>
          <w:sz w:val="28"/>
        </w:rPr>
        <w:t>四、加强街道党工委自身建设和基层党组织建设，履行全面从严治党主体责任，建立健全党建联席会议制度，全面推进辖区党的政治建设、思想建设、组织建设、作风建设、纪律建设，把制度建设贯穿其中，组织开展党风廉政建设和反腐败工作。</w:t>
      </w:r>
    </w:p>
    <w:p>
      <w:pPr>
        <w:spacing w:line="500" w:lineRule="exact"/>
        <w:ind w:firstLine="560"/>
        <w:rPr>
          <w:rFonts w:hint="eastAsia" w:eastAsia="方正仿宋_GBK"/>
          <w:color w:val="000000"/>
          <w:sz w:val="28"/>
        </w:rPr>
      </w:pPr>
      <w:r>
        <w:rPr>
          <w:rFonts w:hint="eastAsia" w:eastAsia="方正仿宋_GBK"/>
          <w:color w:val="000000"/>
          <w:sz w:val="28"/>
        </w:rPr>
        <w:t>五、街道党工委领导群团组织，加强指导和规范，支持和保证群团组织依照国家法律法规以及各自章程履行职责。坚持党管武装的根本原则和制度，协调各方力量，对街道人民武装工作实行统一领导</w:t>
      </w:r>
    </w:p>
    <w:p>
      <w:pPr>
        <w:spacing w:line="500" w:lineRule="exact"/>
        <w:ind w:firstLine="560"/>
        <w:rPr>
          <w:rFonts w:hint="eastAsia" w:eastAsia="方正仿宋_GBK"/>
          <w:color w:val="000000"/>
          <w:sz w:val="28"/>
        </w:rPr>
      </w:pPr>
      <w:r>
        <w:rPr>
          <w:rFonts w:hint="eastAsia" w:eastAsia="方正仿宋_GBK"/>
          <w:color w:val="000000"/>
          <w:sz w:val="28"/>
        </w:rPr>
        <w:t>六、指导居民委员会等基层群众性自治组织建设，健全自治平台。组织动员社区居民、单位和社会力量参与社区治理，整合辖区内社会力量，形成社区共治合力，为社区发展服务。对社区工作者队伍进行教育管理。</w:t>
      </w:r>
    </w:p>
    <w:p>
      <w:pPr>
        <w:spacing w:line="500" w:lineRule="exact"/>
        <w:ind w:firstLine="560"/>
        <w:rPr>
          <w:rFonts w:hint="eastAsia" w:eastAsia="方正仿宋_GBK"/>
          <w:color w:val="000000"/>
          <w:sz w:val="28"/>
        </w:rPr>
      </w:pPr>
      <w:r>
        <w:rPr>
          <w:rFonts w:hint="eastAsia" w:eastAsia="方正仿宋_GBK"/>
          <w:color w:val="000000"/>
          <w:sz w:val="28"/>
        </w:rPr>
        <w:t>七、按照管理权限，对街道机关及所属单位干部进行教育、培训、选拔、考核和监督，对上级政府职能部门派出机构的工作考核和主要负责同志任免提出意见。</w:t>
      </w:r>
    </w:p>
    <w:p>
      <w:pPr>
        <w:spacing w:line="500" w:lineRule="exact"/>
        <w:ind w:firstLine="560"/>
        <w:rPr>
          <w:rFonts w:hint="eastAsia" w:eastAsia="方正仿宋_GBK"/>
          <w:color w:val="000000"/>
          <w:sz w:val="28"/>
        </w:rPr>
      </w:pPr>
      <w:r>
        <w:rPr>
          <w:rFonts w:hint="eastAsia" w:eastAsia="方正仿宋_GBK"/>
          <w:color w:val="000000"/>
          <w:sz w:val="28"/>
        </w:rPr>
        <w:t>八、组织维护辖区安全稳定，协调推动社会治安综合治理，做好应急管理、民族宗教工作，承担民兵预备役、征兵、退役军人服务，拥军优属、防范邪教等工作。</w:t>
      </w:r>
    </w:p>
    <w:p>
      <w:pPr>
        <w:spacing w:line="500" w:lineRule="exact"/>
        <w:ind w:firstLine="560"/>
        <w:rPr>
          <w:rFonts w:hint="eastAsia" w:eastAsia="方正仿宋_GBK"/>
          <w:color w:val="000000"/>
          <w:sz w:val="28"/>
        </w:rPr>
      </w:pPr>
      <w:r>
        <w:rPr>
          <w:rFonts w:hint="eastAsia" w:eastAsia="方正仿宋_GBK"/>
          <w:color w:val="000000"/>
          <w:sz w:val="28"/>
        </w:rPr>
        <w:t>九、组织开展群众性文、体育、科普活动，开展法治宣传和社会公德教育，推动社区公益事业发展。维护老年人、妇女、未成年人、残疾人等合法权益。</w:t>
      </w:r>
    </w:p>
    <w:p>
      <w:pPr>
        <w:spacing w:line="500" w:lineRule="exact"/>
        <w:ind w:firstLine="560"/>
        <w:rPr>
          <w:rFonts w:hint="eastAsia" w:eastAsia="方正仿宋_GBK"/>
          <w:color w:val="000000"/>
          <w:sz w:val="28"/>
        </w:rPr>
      </w:pPr>
      <w:r>
        <w:rPr>
          <w:rFonts w:hint="eastAsia" w:eastAsia="方正仿宋_GBK"/>
          <w:color w:val="000000"/>
          <w:sz w:val="28"/>
        </w:rPr>
        <w:t>十、参与社区设施规划、建设和验收，综合管理、统筹调度和考核督办涉及辖区的公共事务，按照有关规定统筹使用下沉到街道社区的人财物等资源。</w:t>
      </w:r>
    </w:p>
    <w:p>
      <w:pPr>
        <w:spacing w:line="500" w:lineRule="exact"/>
        <w:ind w:firstLine="560"/>
        <w:rPr>
          <w:rFonts w:hint="eastAsia" w:eastAsia="方正仿宋_GBK"/>
          <w:color w:val="000000"/>
          <w:sz w:val="28"/>
        </w:rPr>
      </w:pPr>
      <w:r>
        <w:rPr>
          <w:rFonts w:hint="eastAsia" w:eastAsia="方正仿宋_GBK"/>
          <w:color w:val="000000"/>
          <w:sz w:val="28"/>
        </w:rPr>
        <w:t>十一、承办上级党委、人大、政府交办的其他事项。</w:t>
      </w:r>
    </w:p>
    <w:p>
      <w:pPr>
        <w:spacing w:line="500" w:lineRule="exact"/>
        <w:ind w:firstLine="560"/>
        <w:rPr>
          <w:rFonts w:hint="eastAsia" w:eastAsia="方正仿宋_GBK"/>
          <w:color w:val="000000"/>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丰润区燕山路办事处本级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4848"/>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按照预算管理有关规定，目前我部门预算的编制实行综合预算管理，即全部收入和支出都反映在预算中。丰润区燕山路办事处机关及所属事业单位的收支包含在部门预算中。</w:t>
      </w:r>
    </w:p>
    <w:p>
      <w:pPr>
        <w:spacing w:line="500" w:lineRule="exact"/>
        <w:ind w:firstLine="560"/>
        <w:rPr>
          <w:rFonts w:hint="eastAsia" w:eastAsia="方正仿宋_GBK"/>
          <w:color w:val="000000"/>
          <w:sz w:val="28"/>
        </w:rPr>
      </w:pPr>
      <w:r>
        <w:rPr>
          <w:rFonts w:hint="eastAsia" w:eastAsia="方正仿宋_GBK"/>
          <w:color w:val="000000"/>
          <w:sz w:val="28"/>
        </w:rPr>
        <w:t>1、部门预算收入情况：本部门202</w:t>
      </w:r>
      <w:r>
        <w:rPr>
          <w:rFonts w:hint="eastAsia" w:eastAsia="方正仿宋_GBK"/>
          <w:color w:val="000000"/>
          <w:sz w:val="28"/>
          <w:lang w:val="en-US" w:eastAsia="zh-CN"/>
        </w:rPr>
        <w:t>3</w:t>
      </w:r>
      <w:r>
        <w:rPr>
          <w:rFonts w:hint="eastAsia" w:eastAsia="方正仿宋_GBK"/>
          <w:color w:val="000000"/>
          <w:sz w:val="28"/>
        </w:rPr>
        <w:t>年预算收入总额</w:t>
      </w:r>
      <w:r>
        <w:rPr>
          <w:rFonts w:hint="eastAsia" w:eastAsia="方正仿宋_GBK"/>
          <w:color w:val="000000"/>
          <w:sz w:val="28"/>
          <w:lang w:val="en-US" w:eastAsia="zh-CN"/>
        </w:rPr>
        <w:t>2307.94</w:t>
      </w:r>
      <w:r>
        <w:rPr>
          <w:rFonts w:hint="eastAsia" w:eastAsia="方正仿宋_GBK"/>
          <w:color w:val="000000"/>
          <w:sz w:val="28"/>
        </w:rPr>
        <w:t>万元，全部为财政拨款收入。</w:t>
      </w:r>
    </w:p>
    <w:p>
      <w:pPr>
        <w:spacing w:line="500" w:lineRule="exact"/>
        <w:ind w:firstLine="560"/>
        <w:rPr>
          <w:rFonts w:hint="eastAsia" w:eastAsia="方正仿宋_GBK"/>
          <w:color w:val="000000"/>
          <w:sz w:val="28"/>
          <w:lang w:eastAsia="zh-CN"/>
        </w:rPr>
      </w:pPr>
      <w:r>
        <w:rPr>
          <w:rFonts w:hint="eastAsia" w:eastAsia="方正仿宋_GBK"/>
          <w:color w:val="000000"/>
          <w:sz w:val="28"/>
        </w:rPr>
        <w:t>2、部门预算支出情况：202</w:t>
      </w:r>
      <w:r>
        <w:rPr>
          <w:rFonts w:hint="eastAsia" w:eastAsia="方正仿宋_GBK"/>
          <w:color w:val="000000"/>
          <w:sz w:val="28"/>
          <w:lang w:val="en-US" w:eastAsia="zh-CN"/>
        </w:rPr>
        <w:t>3</w:t>
      </w:r>
      <w:r>
        <w:rPr>
          <w:rFonts w:hint="eastAsia" w:eastAsia="方正仿宋_GBK"/>
          <w:color w:val="000000"/>
          <w:sz w:val="28"/>
        </w:rPr>
        <w:t>年根据本单位职责和工作任务规划，共安排部门预算支出</w:t>
      </w:r>
      <w:r>
        <w:rPr>
          <w:rFonts w:hint="eastAsia" w:eastAsia="方正仿宋_GBK"/>
          <w:color w:val="000000"/>
          <w:sz w:val="28"/>
          <w:lang w:val="en-US" w:eastAsia="zh-CN"/>
        </w:rPr>
        <w:t>2307.94</w:t>
      </w:r>
      <w:r>
        <w:rPr>
          <w:rFonts w:hint="eastAsia" w:eastAsia="方正仿宋_GBK"/>
          <w:color w:val="000000"/>
          <w:sz w:val="28"/>
        </w:rPr>
        <w:t>万元，其中基本支出</w:t>
      </w:r>
      <w:r>
        <w:rPr>
          <w:rFonts w:hint="eastAsia" w:eastAsia="方正仿宋_GBK"/>
          <w:color w:val="000000"/>
          <w:sz w:val="28"/>
          <w:lang w:val="en-US" w:eastAsia="zh-CN"/>
        </w:rPr>
        <w:t>1884.41</w:t>
      </w:r>
      <w:r>
        <w:rPr>
          <w:rFonts w:hint="eastAsia" w:eastAsia="方正仿宋_GBK"/>
          <w:color w:val="000000"/>
          <w:sz w:val="28"/>
        </w:rPr>
        <w:t>万元，项目支出</w:t>
      </w:r>
      <w:r>
        <w:rPr>
          <w:rFonts w:hint="eastAsia" w:eastAsia="方正仿宋_GBK"/>
          <w:color w:val="000000"/>
          <w:sz w:val="28"/>
          <w:lang w:val="en-US" w:eastAsia="zh-CN"/>
        </w:rPr>
        <w:t>423.53</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lang w:val="en-US" w:eastAsia="zh-CN"/>
        </w:rPr>
        <w:t>其中大型项目支出“2022年街道体制经费”56.25万元，“2023年街道体制经费”67万元，“（2）专项奖励资金”100万元。</w:t>
      </w:r>
    </w:p>
    <w:p>
      <w:pPr>
        <w:pStyle w:val="29"/>
        <w:rPr>
          <w:rFonts w:eastAsia="方正仿宋_GBK"/>
          <w:color w:val="000000"/>
          <w:sz w:val="28"/>
        </w:rPr>
      </w:pPr>
      <w:r>
        <w:rPr>
          <w:rFonts w:hint="eastAsia" w:eastAsia="方正仿宋_GBK"/>
          <w:color w:val="000000"/>
          <w:sz w:val="28"/>
        </w:rPr>
        <w:t>3、比上年增减变动情况：本部门预算安排与上年相比增加了</w:t>
      </w:r>
      <w:r>
        <w:rPr>
          <w:rFonts w:hint="eastAsia"/>
          <w:color w:val="000000"/>
          <w:sz w:val="28"/>
          <w:lang w:val="en-US" w:eastAsia="zh-CN"/>
        </w:rPr>
        <w:t>519.38</w:t>
      </w:r>
      <w:r>
        <w:rPr>
          <w:rFonts w:hint="eastAsia" w:eastAsia="方正仿宋_GBK"/>
          <w:color w:val="000000"/>
          <w:sz w:val="28"/>
        </w:rPr>
        <w:t>万元，其中：人员经费增加</w:t>
      </w:r>
      <w:r>
        <w:rPr>
          <w:rFonts w:hint="eastAsia"/>
          <w:color w:val="000000"/>
          <w:sz w:val="28"/>
          <w:lang w:val="en-US" w:eastAsia="zh-CN"/>
        </w:rPr>
        <w:t>278.68</w:t>
      </w:r>
      <w:r>
        <w:rPr>
          <w:rFonts w:hint="eastAsia" w:eastAsia="方正仿宋_GBK"/>
          <w:color w:val="000000"/>
          <w:sz w:val="28"/>
        </w:rPr>
        <w:t>万元，用于</w:t>
      </w:r>
      <w:r>
        <w:rPr>
          <w:rFonts w:hint="eastAsia" w:eastAsia="方正仿宋_GBK"/>
          <w:color w:val="000000"/>
          <w:sz w:val="28"/>
          <w:lang w:eastAsia="zh-CN"/>
        </w:rPr>
        <w:t>增加</w:t>
      </w:r>
      <w:r>
        <w:rPr>
          <w:rFonts w:hint="eastAsia"/>
          <w:color w:val="000000"/>
          <w:sz w:val="28"/>
          <w:lang w:val="en-US" w:eastAsia="zh-CN"/>
        </w:rPr>
        <w:t>8</w:t>
      </w:r>
      <w:r>
        <w:rPr>
          <w:rFonts w:hint="eastAsia" w:eastAsia="方正仿宋_GBK"/>
          <w:color w:val="000000"/>
          <w:sz w:val="28"/>
          <w:lang w:val="en-US" w:eastAsia="zh-CN"/>
        </w:rPr>
        <w:t>名</w:t>
      </w:r>
      <w:r>
        <w:rPr>
          <w:rFonts w:hint="eastAsia"/>
          <w:color w:val="000000"/>
          <w:sz w:val="28"/>
          <w:lang w:val="en-US" w:eastAsia="zh-CN"/>
        </w:rPr>
        <w:t>事业编</w:t>
      </w:r>
      <w:r>
        <w:rPr>
          <w:rFonts w:hint="eastAsia" w:eastAsia="方正仿宋_GBK"/>
          <w:color w:val="000000"/>
          <w:sz w:val="28"/>
          <w:lang w:val="en-US" w:eastAsia="zh-CN"/>
        </w:rPr>
        <w:t>工资保险</w:t>
      </w:r>
      <w:r>
        <w:rPr>
          <w:rFonts w:hint="eastAsia"/>
          <w:color w:val="000000"/>
          <w:sz w:val="28"/>
          <w:lang w:val="en-US" w:eastAsia="zh-CN"/>
        </w:rPr>
        <w:t>、2名退休人员退休费和对个人和家庭的补助金；</w:t>
      </w:r>
      <w:r>
        <w:rPr>
          <w:rFonts w:hint="eastAsia" w:eastAsia="方正仿宋_GBK"/>
          <w:color w:val="000000"/>
          <w:sz w:val="28"/>
        </w:rPr>
        <w:t>正常公用经费增加</w:t>
      </w:r>
      <w:r>
        <w:rPr>
          <w:rFonts w:hint="eastAsia"/>
          <w:color w:val="000000"/>
          <w:sz w:val="28"/>
          <w:lang w:val="en-US" w:eastAsia="zh-CN"/>
        </w:rPr>
        <w:t>11.83</w:t>
      </w:r>
      <w:r>
        <w:rPr>
          <w:rFonts w:hint="eastAsia" w:eastAsia="方正仿宋_GBK"/>
          <w:color w:val="000000"/>
          <w:sz w:val="28"/>
        </w:rPr>
        <w:t>万元</w:t>
      </w:r>
      <w:r>
        <w:rPr>
          <w:rFonts w:hint="eastAsia"/>
          <w:color w:val="000000"/>
          <w:sz w:val="28"/>
          <w:lang w:eastAsia="zh-CN"/>
        </w:rPr>
        <w:t>，</w:t>
      </w:r>
      <w:r>
        <w:rPr>
          <w:rFonts w:hint="eastAsia"/>
          <w:color w:val="000000"/>
          <w:sz w:val="28"/>
          <w:lang w:val="en-US" w:eastAsia="zh-CN"/>
        </w:rPr>
        <w:t>用于政务大厅新址的</w:t>
      </w:r>
      <w:r>
        <w:rPr>
          <w:rFonts w:hint="eastAsia" w:eastAsia="方正仿宋_GBK"/>
          <w:color w:val="000000"/>
          <w:sz w:val="28"/>
          <w:lang w:eastAsia="zh-CN"/>
        </w:rPr>
        <w:t>办公取暖费</w:t>
      </w:r>
      <w:r>
        <w:rPr>
          <w:rFonts w:hint="eastAsia" w:eastAsia="方正仿宋_GBK"/>
          <w:color w:val="000000"/>
          <w:sz w:val="28"/>
          <w:lang w:val="en-US" w:eastAsia="zh-CN"/>
        </w:rPr>
        <w:t>，</w:t>
      </w:r>
      <w:r>
        <w:rPr>
          <w:rFonts w:hint="eastAsia"/>
          <w:color w:val="000000"/>
          <w:sz w:val="28"/>
          <w:lang w:val="en-US" w:eastAsia="zh-CN"/>
        </w:rPr>
        <w:t>新增8名事业编的工会福利费，</w:t>
      </w:r>
      <w:r>
        <w:rPr>
          <w:rFonts w:hint="eastAsia" w:eastAsia="方正仿宋_GBK"/>
          <w:color w:val="000000"/>
          <w:sz w:val="28"/>
        </w:rPr>
        <w:t>项目支出与上年相比增加</w:t>
      </w:r>
      <w:r>
        <w:rPr>
          <w:rFonts w:hint="eastAsia"/>
          <w:color w:val="000000"/>
          <w:sz w:val="28"/>
          <w:lang w:val="en-US" w:eastAsia="zh-CN"/>
        </w:rPr>
        <w:t>228.87</w:t>
      </w:r>
      <w:r>
        <w:rPr>
          <w:rFonts w:hint="eastAsia" w:eastAsia="方正仿宋_GBK"/>
          <w:color w:val="000000"/>
          <w:sz w:val="28"/>
        </w:rPr>
        <w:t>万元，</w:t>
      </w:r>
      <w:r>
        <w:rPr>
          <w:rFonts w:hint="eastAsia"/>
          <w:color w:val="000000"/>
          <w:sz w:val="28"/>
          <w:lang w:val="en-US" w:eastAsia="zh-CN"/>
        </w:rPr>
        <w:t>因为增加了征兵工作经费、统计专项业务经费、2022年街道体制经费、防疫工作经费和专项奖励资金。</w:t>
      </w:r>
    </w:p>
    <w:p>
      <w:pPr>
        <w:pStyle w:val="21"/>
      </w:pPr>
    </w:p>
    <w:p>
      <w:pPr>
        <w:numPr>
          <w:ilvl w:val="0"/>
          <w:numId w:val="0"/>
        </w:numPr>
        <w:spacing w:before="10" w:after="10" w:line="360" w:lineRule="auto"/>
        <w:ind w:firstLine="640" w:firstLineChars="200"/>
        <w:outlineLvl w:val="2"/>
        <w:rPr>
          <w:rFonts w:ascii="黑体" w:hAnsi="黑体" w:eastAsia="黑体" w:cs="黑体"/>
          <w:color w:val="000000"/>
          <w:sz w:val="32"/>
        </w:rPr>
      </w:pPr>
      <w:bookmarkStart w:id="11" w:name="_Toc27438"/>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spacing w:line="500" w:lineRule="exact"/>
        <w:ind w:firstLine="560"/>
        <w:rPr>
          <w:rFonts w:ascii="黑体" w:hAnsi="黑体" w:eastAsia="黑体" w:cs="黑体"/>
          <w:color w:val="000000"/>
          <w:sz w:val="32"/>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年安排日常公用经费支出总计</w:t>
      </w:r>
      <w:r>
        <w:rPr>
          <w:rFonts w:hint="eastAsia" w:eastAsia="方正仿宋_GBK"/>
          <w:color w:val="000000"/>
          <w:sz w:val="28"/>
          <w:lang w:val="en-US" w:eastAsia="zh-CN"/>
        </w:rPr>
        <w:t>71.32</w:t>
      </w:r>
      <w:r>
        <w:rPr>
          <w:rFonts w:hint="eastAsia" w:eastAsia="方正仿宋_GBK"/>
          <w:color w:val="000000"/>
          <w:sz w:val="28"/>
        </w:rPr>
        <w:t>万元。其中：办公费：</w:t>
      </w:r>
      <w:r>
        <w:rPr>
          <w:rFonts w:hint="eastAsia" w:eastAsia="方正仿宋_GBK"/>
          <w:color w:val="000000"/>
          <w:sz w:val="28"/>
          <w:lang w:val="en-US" w:eastAsia="zh-CN"/>
        </w:rPr>
        <w:t>11.10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水电费：</w:t>
      </w:r>
      <w:r>
        <w:rPr>
          <w:rFonts w:eastAsia="方正仿宋_GBK"/>
          <w:color w:val="000000"/>
          <w:sz w:val="28"/>
        </w:rPr>
        <w:t>1</w:t>
      </w:r>
      <w:r>
        <w:rPr>
          <w:rFonts w:hint="eastAsia" w:eastAsia="方正仿宋_GBK"/>
          <w:color w:val="000000"/>
          <w:sz w:val="28"/>
        </w:rPr>
        <w:t>.</w:t>
      </w:r>
      <w:r>
        <w:rPr>
          <w:rFonts w:eastAsia="方正仿宋_GBK"/>
          <w:color w:val="000000"/>
          <w:sz w:val="28"/>
        </w:rPr>
        <w:t>00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邮电费：</w:t>
      </w:r>
      <w:r>
        <w:rPr>
          <w:rFonts w:hint="eastAsia" w:eastAsia="方正仿宋_GBK"/>
          <w:color w:val="000000"/>
          <w:sz w:val="28"/>
          <w:lang w:val="en-US" w:eastAsia="zh-CN"/>
        </w:rPr>
        <w:t>9.32</w:t>
      </w:r>
      <w:r>
        <w:rPr>
          <w:rFonts w:hint="eastAsia" w:eastAsia="方正仿宋_GBK"/>
          <w:color w:val="000000"/>
          <w:sz w:val="28"/>
        </w:rPr>
        <w:t>万元</w:t>
      </w:r>
      <w:r>
        <w:rPr>
          <w:rFonts w:hint="eastAsia" w:eastAsia="方正仿宋_GBK"/>
          <w:color w:val="000000"/>
          <w:sz w:val="28"/>
          <w:lang w:eastAsia="zh-CN"/>
        </w:rPr>
        <w:t>、取暖费：</w:t>
      </w:r>
      <w:r>
        <w:rPr>
          <w:rFonts w:hint="eastAsia" w:eastAsia="方正仿宋_GBK"/>
          <w:color w:val="000000"/>
          <w:sz w:val="28"/>
          <w:lang w:val="en-US" w:eastAsia="zh-CN"/>
        </w:rPr>
        <w:t>25.21万元、</w:t>
      </w:r>
      <w:r>
        <w:rPr>
          <w:rFonts w:hint="eastAsia" w:eastAsia="方正仿宋_GBK"/>
          <w:color w:val="000000"/>
          <w:sz w:val="28"/>
        </w:rPr>
        <w:t>差旅费：</w:t>
      </w:r>
      <w:r>
        <w:rPr>
          <w:rFonts w:hint="eastAsia" w:eastAsia="方正仿宋_GBK"/>
          <w:color w:val="000000"/>
          <w:sz w:val="28"/>
          <w:lang w:val="en-US" w:eastAsia="zh-CN"/>
        </w:rPr>
        <w:t>0.4</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公务接待费：0元</w:t>
      </w:r>
      <w:r>
        <w:rPr>
          <w:rFonts w:hint="eastAsia" w:eastAsia="方正仿宋_GBK"/>
          <w:color w:val="000000"/>
          <w:sz w:val="28"/>
          <w:lang w:eastAsia="zh-CN"/>
        </w:rPr>
        <w:t>、</w:t>
      </w:r>
      <w:r>
        <w:rPr>
          <w:rFonts w:hint="eastAsia" w:eastAsia="方正仿宋_GBK"/>
          <w:color w:val="000000"/>
          <w:sz w:val="28"/>
        </w:rPr>
        <w:t>劳务费：4万元</w:t>
      </w:r>
      <w:r>
        <w:rPr>
          <w:rFonts w:hint="eastAsia" w:eastAsia="方正仿宋_GBK"/>
          <w:color w:val="000000"/>
          <w:sz w:val="28"/>
          <w:lang w:eastAsia="zh-CN"/>
        </w:rPr>
        <w:t>、</w:t>
      </w:r>
      <w:r>
        <w:rPr>
          <w:rFonts w:hint="eastAsia" w:eastAsia="方正仿宋_GBK"/>
          <w:color w:val="000000"/>
          <w:sz w:val="28"/>
        </w:rPr>
        <w:t>工会经费:</w:t>
      </w:r>
      <w:r>
        <w:rPr>
          <w:rFonts w:hint="eastAsia" w:eastAsia="方正仿宋_GBK"/>
          <w:color w:val="000000"/>
          <w:sz w:val="28"/>
          <w:lang w:val="en-US" w:eastAsia="zh-CN"/>
        </w:rPr>
        <w:t>1.5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福利费：</w:t>
      </w:r>
      <w:r>
        <w:rPr>
          <w:rFonts w:hint="eastAsia" w:eastAsia="方正仿宋_GBK"/>
          <w:color w:val="000000"/>
          <w:sz w:val="28"/>
          <w:lang w:val="en-US" w:eastAsia="zh-CN"/>
        </w:rPr>
        <w:t>1.59</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公务用车运行维护费：4万元、其他交通费（公务交通补贴）：</w:t>
      </w:r>
      <w:r>
        <w:rPr>
          <w:rFonts w:hint="eastAsia" w:eastAsia="方正仿宋_GBK"/>
          <w:color w:val="000000"/>
          <w:sz w:val="28"/>
          <w:lang w:val="en-US" w:eastAsia="zh-CN"/>
        </w:rPr>
        <w:t>13.20</w:t>
      </w:r>
      <w:r>
        <w:rPr>
          <w:rFonts w:hint="eastAsia" w:eastAsia="方正仿宋_GBK"/>
          <w:color w:val="000000"/>
          <w:sz w:val="28"/>
        </w:rPr>
        <w:t>万元</w:t>
      </w:r>
      <w:r>
        <w:rPr>
          <w:rFonts w:hint="eastAsia" w:eastAsia="方正仿宋_GBK"/>
          <w:color w:val="000000"/>
          <w:sz w:val="28"/>
          <w:lang w:eastAsia="zh-CN"/>
        </w:rPr>
        <w:t>。</w:t>
      </w:r>
    </w:p>
    <w:p>
      <w:pPr>
        <w:spacing w:before="10" w:after="10" w:line="360" w:lineRule="auto"/>
        <w:ind w:firstLine="640"/>
        <w:outlineLvl w:val="2"/>
        <w:rPr>
          <w:rFonts w:hint="eastAsia" w:ascii="黑体" w:hAnsi="黑体" w:eastAsia="黑体" w:cs="黑体"/>
          <w:color w:val="000000"/>
          <w:sz w:val="32"/>
          <w:lang w:eastAsia="zh-CN"/>
        </w:rPr>
      </w:pPr>
      <w:r>
        <w:rPr>
          <w:rFonts w:hint="eastAsia" w:eastAsia="方正仿宋_GBK"/>
          <w:color w:val="000000"/>
          <w:sz w:val="28"/>
          <w:lang w:val="en-US" w:eastAsia="zh-CN"/>
        </w:rPr>
        <w:t>同2022年相比，</w:t>
      </w:r>
      <w:r>
        <w:rPr>
          <w:rFonts w:hint="eastAsia" w:eastAsia="方正仿宋_GBK"/>
          <w:color w:val="000000"/>
          <w:sz w:val="28"/>
        </w:rPr>
        <w:t>正常公用经费增加</w:t>
      </w:r>
      <w:r>
        <w:rPr>
          <w:rFonts w:hint="eastAsia"/>
          <w:color w:val="000000"/>
          <w:sz w:val="28"/>
          <w:lang w:val="en-US" w:eastAsia="zh-CN"/>
        </w:rPr>
        <w:t>11.83</w:t>
      </w:r>
      <w:r>
        <w:rPr>
          <w:rFonts w:hint="eastAsia" w:eastAsia="方正仿宋_GBK"/>
          <w:color w:val="000000"/>
          <w:sz w:val="28"/>
        </w:rPr>
        <w:t>万元</w:t>
      </w:r>
      <w:r>
        <w:rPr>
          <w:rFonts w:hint="eastAsia"/>
          <w:color w:val="000000"/>
          <w:sz w:val="28"/>
          <w:lang w:eastAsia="zh-CN"/>
        </w:rPr>
        <w:t>，</w:t>
      </w:r>
      <w:r>
        <w:rPr>
          <w:rFonts w:hint="eastAsia"/>
          <w:color w:val="000000"/>
          <w:sz w:val="28"/>
          <w:lang w:val="en-US" w:eastAsia="zh-CN"/>
        </w:rPr>
        <w:t>用于政务大厅新址的</w:t>
      </w:r>
      <w:r>
        <w:rPr>
          <w:rFonts w:hint="eastAsia" w:eastAsia="方正仿宋_GBK"/>
          <w:color w:val="000000"/>
          <w:sz w:val="28"/>
          <w:lang w:eastAsia="zh-CN"/>
        </w:rPr>
        <w:t>办公取暖费</w:t>
      </w:r>
      <w:r>
        <w:rPr>
          <w:rFonts w:hint="eastAsia" w:eastAsia="方正仿宋_GBK"/>
          <w:color w:val="000000"/>
          <w:sz w:val="28"/>
          <w:lang w:val="en-US" w:eastAsia="zh-CN"/>
        </w:rPr>
        <w:t>，</w:t>
      </w:r>
      <w:r>
        <w:rPr>
          <w:rFonts w:hint="eastAsia"/>
          <w:color w:val="000000"/>
          <w:sz w:val="28"/>
          <w:lang w:val="en-US" w:eastAsia="zh-CN"/>
        </w:rPr>
        <w:t>新增8名事业编的工会福利费。</w:t>
      </w:r>
    </w:p>
    <w:p>
      <w:pPr>
        <w:pStyle w:val="22"/>
      </w:pPr>
    </w:p>
    <w:p>
      <w:pPr>
        <w:numPr>
          <w:ilvl w:val="0"/>
          <w:numId w:val="0"/>
        </w:numPr>
        <w:spacing w:before="10" w:after="10" w:line="360" w:lineRule="auto"/>
        <w:ind w:firstLine="640" w:firstLineChars="200"/>
        <w:outlineLvl w:val="2"/>
        <w:rPr>
          <w:rFonts w:ascii="黑体" w:hAnsi="黑体" w:eastAsia="黑体" w:cs="黑体"/>
          <w:color w:val="000000"/>
          <w:sz w:val="32"/>
        </w:rPr>
      </w:pPr>
      <w:bookmarkStart w:id="12" w:name="_Toc30904"/>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bookmarkEnd w:id="12"/>
    </w:p>
    <w:p>
      <w:pPr>
        <w:spacing w:line="500" w:lineRule="exact"/>
        <w:ind w:firstLine="560"/>
        <w:rPr>
          <w:rFonts w:hint="eastAsia" w:eastAsia="方正仿宋_GBK"/>
          <w:color w:val="000000"/>
          <w:sz w:val="28"/>
          <w:lang w:eastAsia="zh-CN"/>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年“三公”经费预算4万元，与202</w:t>
      </w:r>
      <w:r>
        <w:rPr>
          <w:rFonts w:hint="eastAsia" w:eastAsia="方正仿宋_GBK"/>
          <w:color w:val="000000"/>
          <w:sz w:val="28"/>
          <w:lang w:val="en-US" w:eastAsia="zh-CN"/>
        </w:rPr>
        <w:t>2</w:t>
      </w:r>
      <w:r>
        <w:rPr>
          <w:rFonts w:hint="eastAsia" w:eastAsia="方正仿宋_GBK"/>
          <w:color w:val="000000"/>
          <w:sz w:val="28"/>
        </w:rPr>
        <w:t>年预算相比无变化</w:t>
      </w:r>
      <w:r>
        <w:rPr>
          <w:rFonts w:hint="eastAsia" w:eastAsia="方正仿宋_GBK"/>
          <w:color w:val="000000"/>
          <w:sz w:val="28"/>
          <w:lang w:eastAsia="zh-CN"/>
        </w:rPr>
        <w:t>。</w:t>
      </w:r>
    </w:p>
    <w:p>
      <w:pPr>
        <w:spacing w:line="500" w:lineRule="exact"/>
        <w:ind w:firstLine="560"/>
        <w:rPr>
          <w:rFonts w:hint="eastAsia" w:eastAsia="方正仿宋_GBK"/>
          <w:color w:val="000000"/>
          <w:sz w:val="28"/>
        </w:rPr>
      </w:pPr>
      <w:r>
        <w:rPr>
          <w:rFonts w:eastAsia="方正仿宋_GBK"/>
          <w:color w:val="000000"/>
          <w:sz w:val="28"/>
        </w:rPr>
        <w:t>公务用车运行维护费为</w:t>
      </w:r>
      <w:r>
        <w:rPr>
          <w:rFonts w:hint="eastAsia" w:eastAsia="方正仿宋_GBK"/>
          <w:color w:val="000000"/>
          <w:sz w:val="28"/>
        </w:rPr>
        <w:t>4万</w:t>
      </w:r>
      <w:r>
        <w:rPr>
          <w:rFonts w:eastAsia="方正仿宋_GBK"/>
          <w:color w:val="000000"/>
          <w:sz w:val="28"/>
        </w:rPr>
        <w:t>元，</w:t>
      </w:r>
      <w:r>
        <w:rPr>
          <w:rFonts w:hint="eastAsia" w:eastAsia="方正仿宋_GBK"/>
          <w:color w:val="000000"/>
          <w:sz w:val="28"/>
        </w:rPr>
        <w:t>现有车辆2辆，其中：</w:t>
      </w:r>
      <w:r>
        <w:rPr>
          <w:rFonts w:eastAsia="方正仿宋_GBK"/>
          <w:color w:val="000000"/>
          <w:sz w:val="28"/>
        </w:rPr>
        <w:t>公务用车</w:t>
      </w:r>
      <w:r>
        <w:rPr>
          <w:rFonts w:hint="eastAsia" w:eastAsia="方正仿宋_GBK"/>
          <w:color w:val="000000"/>
          <w:sz w:val="28"/>
        </w:rPr>
        <w:t>1</w:t>
      </w:r>
      <w:r>
        <w:rPr>
          <w:rFonts w:eastAsia="方正仿宋_GBK"/>
          <w:color w:val="000000"/>
          <w:sz w:val="28"/>
        </w:rPr>
        <w:t>辆</w:t>
      </w:r>
      <w:r>
        <w:rPr>
          <w:rFonts w:hint="eastAsia" w:eastAsia="方正仿宋_GBK"/>
          <w:color w:val="000000"/>
          <w:sz w:val="28"/>
        </w:rPr>
        <w:t>，其他车辆1辆。公务用车运行维护费与202</w:t>
      </w:r>
      <w:r>
        <w:rPr>
          <w:rFonts w:hint="eastAsia" w:eastAsia="方正仿宋_GBK"/>
          <w:color w:val="000000"/>
          <w:sz w:val="28"/>
          <w:lang w:val="en-US" w:eastAsia="zh-CN"/>
        </w:rPr>
        <w:t>2</w:t>
      </w:r>
      <w:r>
        <w:rPr>
          <w:rFonts w:hint="eastAsia" w:eastAsia="方正仿宋_GBK"/>
          <w:color w:val="000000"/>
          <w:sz w:val="28"/>
        </w:rPr>
        <w:t>年预算相比无变化。</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年预算未安排公务车购置费，与202</w:t>
      </w:r>
      <w:r>
        <w:rPr>
          <w:rFonts w:hint="eastAsia" w:eastAsia="方正仿宋_GBK"/>
          <w:color w:val="000000"/>
          <w:sz w:val="28"/>
          <w:lang w:val="en-US" w:eastAsia="zh-CN"/>
        </w:rPr>
        <w:t>2</w:t>
      </w:r>
      <w:r>
        <w:rPr>
          <w:rFonts w:hint="eastAsia" w:eastAsia="方正仿宋_GBK"/>
          <w:color w:val="000000"/>
          <w:sz w:val="28"/>
        </w:rPr>
        <w:t>年预算相比无变化。</w:t>
      </w:r>
    </w:p>
    <w:p>
      <w:pPr>
        <w:spacing w:line="500" w:lineRule="exact"/>
        <w:ind w:firstLine="560"/>
        <w:rPr>
          <w:rFonts w:hint="eastAsia" w:eastAsia="方正仿宋_GBK"/>
          <w:color w:val="000000"/>
          <w:sz w:val="28"/>
        </w:rPr>
      </w:pPr>
      <w:r>
        <w:rPr>
          <w:rFonts w:hint="eastAsia" w:eastAsia="方正仿宋_GBK"/>
          <w:color w:val="000000"/>
          <w:sz w:val="28"/>
        </w:rPr>
        <w:t>公务接待费0元。</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rPr>
        <w:t>预算未安排</w:t>
      </w:r>
      <w:r>
        <w:rPr>
          <w:rFonts w:eastAsia="方正仿宋_GBK"/>
          <w:color w:val="000000"/>
          <w:sz w:val="28"/>
        </w:rPr>
        <w:t>公务招待费</w:t>
      </w:r>
      <w:r>
        <w:rPr>
          <w:rFonts w:hint="eastAsia" w:eastAsia="方正仿宋_GBK"/>
          <w:color w:val="000000"/>
          <w:sz w:val="28"/>
        </w:rPr>
        <w:t>，与202</w:t>
      </w:r>
      <w:r>
        <w:rPr>
          <w:rFonts w:hint="eastAsia" w:eastAsia="方正仿宋_GBK"/>
          <w:color w:val="000000"/>
          <w:sz w:val="28"/>
          <w:lang w:val="en-US" w:eastAsia="zh-CN"/>
        </w:rPr>
        <w:t>2</w:t>
      </w:r>
      <w:r>
        <w:rPr>
          <w:rFonts w:hint="eastAsia" w:eastAsia="方正仿宋_GBK"/>
          <w:color w:val="000000"/>
          <w:sz w:val="28"/>
        </w:rPr>
        <w:t>年预算相比无变化。</w:t>
      </w:r>
    </w:p>
    <w:p>
      <w:pPr>
        <w:spacing w:line="500" w:lineRule="exact"/>
        <w:ind w:firstLine="560"/>
        <w:rPr>
          <w:rFonts w:ascii="黑体" w:hAnsi="黑体" w:eastAsia="黑体" w:cs="黑体"/>
          <w:color w:val="000000"/>
          <w:sz w:val="32"/>
        </w:rPr>
      </w:pPr>
      <w:r>
        <w:rPr>
          <w:rFonts w:hint="eastAsia" w:eastAsia="方正仿宋_GBK"/>
          <w:color w:val="000000"/>
          <w:sz w:val="28"/>
        </w:rPr>
        <w:t>因公出国（境）费和公务车购置费0元。与202</w:t>
      </w:r>
      <w:r>
        <w:rPr>
          <w:rFonts w:hint="eastAsia" w:eastAsia="方正仿宋_GBK"/>
          <w:color w:val="000000"/>
          <w:sz w:val="28"/>
          <w:lang w:val="en-US" w:eastAsia="zh-CN"/>
        </w:rPr>
        <w:t>2</w:t>
      </w:r>
      <w:r>
        <w:rPr>
          <w:rFonts w:hint="eastAsia" w:eastAsia="方正仿宋_GBK"/>
          <w:color w:val="000000"/>
          <w:sz w:val="28"/>
        </w:rPr>
        <w:t>年相比无变化。</w:t>
      </w:r>
    </w:p>
    <w:p>
      <w:pPr>
        <w:pStyle w:val="23"/>
      </w:pPr>
    </w:p>
    <w:p>
      <w:pPr>
        <w:spacing w:before="10" w:after="10" w:line="360" w:lineRule="auto"/>
        <w:ind w:firstLine="640"/>
        <w:outlineLvl w:val="2"/>
      </w:pPr>
      <w:bookmarkStart w:id="13" w:name="_Toc684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4"/>
      </w:pPr>
      <w:r>
        <w:t>唐山市丰润区燕山路街道办事处是丰润区人民政府的派出机关，依据法律法规的规定和区政府的授权，履行相应的政府职能。主要目标是：加强党的领导、统筹社区发展、优化公其服务、促进文明建设，强化社会治理、维护公共安全、改善生态环境、指导基层自治，本年计划组织党员干部进行理论学习15次，街道机关支部及社区支部组织召开专题会20次，开展</w:t>
      </w:r>
      <w:r>
        <w:rPr>
          <w:rFonts w:hint="eastAsia"/>
          <w:lang w:val="en-US" w:eastAsia="zh-CN"/>
        </w:rPr>
        <w:t>社会主义</w:t>
      </w:r>
      <w:r>
        <w:t>核心价值观宣传教育、公益广告宣传、志愿服务等活动5次以上，按上级要求，加大环保巡查，杜绝影响辖区空气质量的问题发生，及时解决各类信访问题，化解信访事项全年不少于10件，构建社区治理机制，承办上级党委、人大、政府交办的其它工作任务。</w:t>
      </w:r>
    </w:p>
    <w:p>
      <w:pPr>
        <w:spacing w:line="500" w:lineRule="exact"/>
        <w:ind w:firstLine="560"/>
      </w:pPr>
      <w:r>
        <w:rPr>
          <w:rFonts w:eastAsia="方正仿宋_GBK"/>
          <w:color w:val="000000"/>
          <w:sz w:val="28"/>
        </w:rPr>
        <w:t>（二）分项绩效目标</w:t>
      </w:r>
    </w:p>
    <w:p>
      <w:pPr>
        <w:pStyle w:val="25"/>
      </w:pPr>
      <w:r>
        <w:t>（一）基层党建</w:t>
      </w:r>
    </w:p>
    <w:p>
      <w:pPr>
        <w:pStyle w:val="25"/>
      </w:pPr>
      <w:r>
        <w:t>绩效目标：加强基层领导班子建设</w:t>
      </w:r>
    </w:p>
    <w:p>
      <w:pPr>
        <w:pStyle w:val="25"/>
      </w:pPr>
      <w:r>
        <w:t>绩效指标：开展党员远程教育工作，发挥先进社区示范带动作用，创建我街道“一街一品”特色占工作任务的比例大于等于95%。</w:t>
      </w:r>
    </w:p>
    <w:p>
      <w:pPr>
        <w:pStyle w:val="25"/>
      </w:pPr>
      <w:r>
        <w:t>（二）干部队伍管理和干部教育培训</w:t>
      </w:r>
    </w:p>
    <w:p>
      <w:pPr>
        <w:pStyle w:val="25"/>
      </w:pPr>
      <w:r>
        <w:t>绩效目标：加强办事处干部队伍管理，干部教育培训</w:t>
      </w:r>
    </w:p>
    <w:p>
      <w:pPr>
        <w:pStyle w:val="25"/>
      </w:pPr>
      <w:r>
        <w:t>绩效指标：对领导班子和领导干部的考核工作制订干部教育工作的方针、政策、规划组织党员干部进行理论学习占工作任务的比例大于等于90%。</w:t>
      </w:r>
    </w:p>
    <w:p>
      <w:pPr>
        <w:pStyle w:val="25"/>
      </w:pPr>
      <w:r>
        <w:t>（三）宣传思想工作</w:t>
      </w:r>
    </w:p>
    <w:p>
      <w:pPr>
        <w:pStyle w:val="25"/>
      </w:pPr>
      <w:r>
        <w:t>绩效目标：部署思想政治工作任务，践行社会主义核心价值观，宣传推广先进典型，加强爱国主义教育基地建设和全民国防教育，加强基层党员教育，组织开展系列宣传教育活动。</w:t>
      </w:r>
    </w:p>
    <w:p>
      <w:pPr>
        <w:pStyle w:val="25"/>
      </w:pPr>
      <w:r>
        <w:t>绩效指标：开展</w:t>
      </w:r>
      <w:r>
        <w:rPr>
          <w:rFonts w:hint="eastAsia"/>
          <w:lang w:val="en-US" w:eastAsia="zh-CN"/>
        </w:rPr>
        <w:t>社会主义</w:t>
      </w:r>
      <w:r>
        <w:t>核心价值观宣传教育、公益广告宣传、志愿服务等活动占工作任务的比例大于等于95%。</w:t>
      </w:r>
    </w:p>
    <w:p>
      <w:pPr>
        <w:pStyle w:val="25"/>
      </w:pPr>
      <w:r>
        <w:t>（四）案件查办</w:t>
      </w:r>
    </w:p>
    <w:p>
      <w:pPr>
        <w:pStyle w:val="25"/>
      </w:pPr>
      <w:r>
        <w:t>绩效目标：受理信访、举报，集中管理问题线索、组织协调案件查办，调查、审查违纪违法案件。</w:t>
      </w:r>
    </w:p>
    <w:p>
      <w:pPr>
        <w:pStyle w:val="25"/>
      </w:pPr>
      <w:r>
        <w:t>绩效指标：街道党政领导包联化解信访事项全年不少于5件，认真落实初信初访首接首办责任，力争初信初访化解占工作任务的比例大于等于100%。</w:t>
      </w:r>
    </w:p>
    <w:p>
      <w:pPr>
        <w:pStyle w:val="25"/>
      </w:pPr>
      <w:r>
        <w:t>（五）社会管理与服务</w:t>
      </w:r>
    </w:p>
    <w:p>
      <w:pPr>
        <w:pStyle w:val="25"/>
      </w:pPr>
      <w:r>
        <w:t>绩效目标：组织指导社区干部培训</w:t>
      </w:r>
    </w:p>
    <w:p>
      <w:pPr>
        <w:pStyle w:val="25"/>
      </w:pPr>
      <w:r>
        <w:t>绩效指标：指导各社区民主决策、民主管理、民主监督以及居务公开占工作任务的比例大于等于90%。</w:t>
      </w:r>
    </w:p>
    <w:p>
      <w:pPr>
        <w:pStyle w:val="25"/>
      </w:pPr>
      <w:r>
        <w:t>（六）卫计政务管理</w:t>
      </w:r>
    </w:p>
    <w:p>
      <w:pPr>
        <w:pStyle w:val="25"/>
      </w:pPr>
      <w:r>
        <w:t>绩效目标：监督政策落实，落实政务公开和业务宣传工作，加强卫生计生能力建设。</w:t>
      </w:r>
    </w:p>
    <w:p>
      <w:pPr>
        <w:pStyle w:val="25"/>
      </w:pPr>
      <w:r>
        <w:t>绩效指标：开展卫生计生规划、统计、法制、政策研究、宣传教育占工作任务的比例大于等于85%。</w:t>
      </w:r>
    </w:p>
    <w:p>
      <w:pPr>
        <w:pStyle w:val="25"/>
      </w:pPr>
      <w:r>
        <w:t>（七）应急管理</w:t>
      </w:r>
    </w:p>
    <w:p>
      <w:pPr>
        <w:pStyle w:val="25"/>
      </w:pPr>
      <w:r>
        <w:t>绩效目标：加强办事处值班工作，传达和督促落实办事处领导指示。</w:t>
      </w:r>
    </w:p>
    <w:p>
      <w:pPr>
        <w:pStyle w:val="25"/>
      </w:pPr>
      <w:r>
        <w:t>绩效指标：有效保证办事处日常应急值守和突发事件应对处置工作等，各项综合业务工作完成占工作任务的比例大于等于95%。</w:t>
      </w:r>
    </w:p>
    <w:p>
      <w:pPr>
        <w:spacing w:line="500" w:lineRule="exact"/>
        <w:ind w:firstLine="560" w:firstLineChars="200"/>
      </w:pPr>
      <w:r>
        <w:rPr>
          <w:rFonts w:eastAsia="方正仿宋_GBK"/>
          <w:color w:val="000000"/>
          <w:sz w:val="28"/>
        </w:rPr>
        <w:t>（三）工作保障措施</w:t>
      </w:r>
    </w:p>
    <w:p>
      <w:pPr>
        <w:pStyle w:val="26"/>
      </w:pPr>
      <w:r>
        <w:t>（一）长远谋划，明确定位。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6"/>
      </w:pPr>
      <w:r>
        <w:t>（二）发展街道便民服务，吸收辖区各方面的人才组成专兼结合的街道公益性服务队伍，依托社区便民服务中心，有计划的组织对街道公益性服务人员进行集中学习培训，不断提高社区服务人员的业务水平，切实增强工作的责任感和使命感，培育公益性社会经济和便民服务产业的人才生力军。</w:t>
      </w:r>
    </w:p>
    <w:p>
      <w:pPr>
        <w:pStyle w:val="26"/>
      </w:pPr>
      <w:r>
        <w:t>（三）加大社区组织建设和环境建设。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6"/>
      </w:pPr>
      <w:r>
        <w:t>（四）加强队伍建设，提高机关干部工作的自觉性和主动性。按照年初岗位工作目标推进各项工作落实，最大限度地调动机关干部的积极性。同时，加强制度建设，修订完善各项规章制度，并严格贯彻落实，做到用制度管人管事，加大培训力度，提高为民服务水平。</w:t>
      </w:r>
    </w:p>
    <w:p>
      <w:pPr>
        <w:pStyle w:val="26"/>
      </w:pPr>
      <w:r>
        <w:t>1.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6"/>
      </w:pPr>
      <w:r>
        <w:t>2.加强支出管理。通过优化支出结构、编细编实预算、加快履行政府采购手续、尽快启动项目、及时支付资金、6月底前细化代编预算、按规定及时下达资金等多种措施，确保支出进度达标。组织统筹街道现有的环境资源及优越的地理位置，将功能定位放在开发产业化、系列化、现代化的便民服务业上，大力开拓以便民利民服务为宗旨的便民服务业。发展个私经济，使中小型的个私经济成为便民服务产业乃至街道经济的新的增长点。</w:t>
      </w:r>
    </w:p>
    <w:p>
      <w:pPr>
        <w:pStyle w:val="26"/>
      </w:pPr>
      <w:r>
        <w:t>3.加强绩效运行监控。按要求开展绩效运行监控，发现问题及时采取措施，确保绩效目标如期保质实现。</w:t>
      </w:r>
    </w:p>
    <w:p>
      <w:pPr>
        <w:pStyle w:val="26"/>
      </w:pPr>
      <w:r>
        <w:t>4.做好绩效自评。按要求开展上年度部门预算绩效自评和重点评价工作，对评价中发现的问题及时整改，调整优化支出结构，提高财政资金使</w:t>
      </w:r>
    </w:p>
    <w:p>
      <w:pPr>
        <w:pStyle w:val="26"/>
      </w:pPr>
      <w:r>
        <w:t>用效益。</w:t>
      </w:r>
    </w:p>
    <w:p>
      <w:pPr>
        <w:pStyle w:val="26"/>
      </w:pPr>
      <w:r>
        <w:t>5.规范财务资产管理。完善财务管理制度，严格审批程序，加强固定资产登记、使用和报废处置管理，做到支出合理，物尽其用。</w:t>
      </w:r>
    </w:p>
    <w:p>
      <w:pPr>
        <w:pStyle w:val="26"/>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t>7.加强宣传培训调研等。加强人员培训，提高本部门职工业务素质；加强调研，提出优化财政资金配置、提高资金使用效益的意见；加大宣传力度，强化预算绩效管理意识，促进预算绩效管理水平进一步提升。以提升组织力为重点，突出政治功能，把街道社区等基层党组织建设成为宣传党的主张、贯彻党的决定、领导基层治理、团结动员群众的坚强堡垒。加强社区环境建设。坚持“以人为本，全民参与，明确责任，严格考核”的原则，调动社区干部和广大居民的积极性，全面提高社区环境卫生质量。</w:t>
      </w:r>
    </w:p>
    <w:p>
      <w:pPr>
        <w:pStyle w:val="26"/>
      </w:pPr>
    </w:p>
    <w:p>
      <w:pPr>
        <w:ind w:firstLine="640"/>
        <w:sectPr>
          <w:headerReference r:id="rId7" w:type="default"/>
          <w:footerReference r:id="rId9" w:type="default"/>
          <w:headerReference r:id="rId8" w:type="even"/>
          <w:footerReference r:id="rId10" w:type="even"/>
          <w:pgSz w:w="16840" w:h="11900" w:orient="landscape"/>
          <w:pgMar w:top="1361" w:right="1020" w:bottom="1361" w:left="1020" w:header="720" w:footer="720" w:gutter="0"/>
          <w:pgNumType w:fmt="decimal"/>
          <w:cols w:space="720" w:num="1"/>
        </w:sectPr>
      </w:pPr>
      <w:r>
        <w:rPr>
          <w:rFonts w:ascii="方正楷体_GBK" w:hAnsi="方正楷体_GBK" w:eastAsia="方正楷体_GBK" w:cs="方正楷体_GBK"/>
          <w:b/>
          <w:color w:val="000000"/>
          <w:sz w:val="32"/>
        </w:rPr>
        <w:t>第二部分  专项资金绩效目标</w:t>
      </w:r>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rPr>
          <w:rFonts w:ascii="方正仿宋_GBK" w:hAnsi="方正仿宋_GBK" w:eastAsia="方正仿宋_GBK" w:cs="方正仿宋_GBK"/>
          <w:b/>
          <w:color w:val="000000"/>
          <w:sz w:val="28"/>
        </w:rPr>
      </w:pPr>
    </w:p>
    <w:p>
      <w:pPr>
        <w:rPr>
          <w:rFonts w:ascii="方正仿宋_GBK" w:hAnsi="方正仿宋_GBK" w:eastAsia="方正仿宋_GBK" w:cs="方正仿宋_GBK"/>
          <w:b/>
          <w:color w:val="000000"/>
          <w:sz w:val="28"/>
        </w:rPr>
      </w:pPr>
    </w:p>
    <w:p>
      <w:r>
        <w:rPr>
          <w:rFonts w:ascii="方正仿宋_GBK" w:hAnsi="方正仿宋_GBK" w:eastAsia="方正仿宋_GBK" w:cs="方正仿宋_GBK"/>
          <w:b/>
          <w:color w:val="000000"/>
          <w:sz w:val="28"/>
        </w:rPr>
        <w:t>1、2022年街道体制经费绩效目标表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1.按照区委区政府要求做好街道办事处日常工作</w:t>
            </w:r>
          </w:p>
          <w:p>
            <w:pPr>
              <w:pStyle w:val="15"/>
            </w:pPr>
            <w:r>
              <w:t>2.保证辖区正常运转，宣传到位，更好地为广大居民服务</w:t>
            </w:r>
          </w:p>
          <w:p>
            <w:pPr>
              <w:pStyle w:val="15"/>
            </w:pPr>
            <w:r>
              <w:t>3.保证辖区内居民满意、社区环境和谐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宣传品数量</w:t>
            </w:r>
          </w:p>
        </w:tc>
        <w:tc>
          <w:tcPr>
            <w:tcW w:w="2835" w:type="dxa"/>
            <w:vAlign w:val="center"/>
          </w:tcPr>
          <w:p>
            <w:pPr>
              <w:pStyle w:val="15"/>
            </w:pPr>
            <w:r>
              <w:t>宣传品数量</w:t>
            </w:r>
          </w:p>
        </w:tc>
        <w:tc>
          <w:tcPr>
            <w:tcW w:w="2551" w:type="dxa"/>
            <w:vAlign w:val="center"/>
          </w:tcPr>
          <w:p>
            <w:pPr>
              <w:pStyle w:val="15"/>
            </w:pPr>
            <w:r>
              <w:t>≥100个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任务指标达标率</w:t>
            </w:r>
          </w:p>
        </w:tc>
        <w:tc>
          <w:tcPr>
            <w:tcW w:w="2835" w:type="dxa"/>
            <w:vAlign w:val="center"/>
          </w:tcPr>
          <w:p>
            <w:pPr>
              <w:pStyle w:val="15"/>
            </w:pPr>
            <w:r>
              <w:t>宣传、信访维稳、维稳等工作开展效果</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2835" w:type="dxa"/>
            <w:vAlign w:val="center"/>
          </w:tcPr>
          <w:p>
            <w:pPr>
              <w:pStyle w:val="15"/>
            </w:pPr>
            <w:r>
              <w:t>按年初计划宣传、信访维稳等工作完成时限</w:t>
            </w:r>
          </w:p>
        </w:tc>
        <w:tc>
          <w:tcPr>
            <w:tcW w:w="2551" w:type="dxa"/>
            <w:vAlign w:val="center"/>
          </w:tcPr>
          <w:p>
            <w:pPr>
              <w:pStyle w:val="15"/>
            </w:pPr>
            <w:r>
              <w:t>2023年底前完成</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最小成本完成工作</w:t>
            </w:r>
          </w:p>
        </w:tc>
        <w:tc>
          <w:tcPr>
            <w:tcW w:w="2835" w:type="dxa"/>
            <w:vAlign w:val="center"/>
          </w:tcPr>
          <w:p>
            <w:pPr>
              <w:pStyle w:val="15"/>
            </w:pPr>
            <w:r>
              <w:t>工作开展使用成本</w:t>
            </w:r>
          </w:p>
        </w:tc>
        <w:tc>
          <w:tcPr>
            <w:tcW w:w="2551" w:type="dxa"/>
            <w:vAlign w:val="center"/>
          </w:tcPr>
          <w:p>
            <w:pPr>
              <w:pStyle w:val="15"/>
            </w:pPr>
            <w:r>
              <w:t>≤46875元/月</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保障工作开展</w:t>
            </w:r>
          </w:p>
        </w:tc>
        <w:tc>
          <w:tcPr>
            <w:tcW w:w="2835" w:type="dxa"/>
            <w:vAlign w:val="center"/>
          </w:tcPr>
          <w:p>
            <w:pPr>
              <w:pStyle w:val="15"/>
            </w:pPr>
            <w:r>
              <w:t>各项工作保质保量完成</w:t>
            </w:r>
          </w:p>
        </w:tc>
        <w:tc>
          <w:tcPr>
            <w:tcW w:w="2551" w:type="dxa"/>
            <w:vAlign w:val="center"/>
          </w:tcPr>
          <w:p>
            <w:pPr>
              <w:pStyle w:val="15"/>
            </w:pPr>
            <w:r>
              <w:t>优</w:t>
            </w:r>
          </w:p>
        </w:tc>
        <w:tc>
          <w:tcPr>
            <w:tcW w:w="2268" w:type="dxa"/>
            <w:vAlign w:val="center"/>
          </w:tcPr>
          <w:p>
            <w:pPr>
              <w:pStyle w:val="15"/>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居民了解政策情况</w:t>
            </w:r>
          </w:p>
        </w:tc>
        <w:tc>
          <w:tcPr>
            <w:tcW w:w="2835" w:type="dxa"/>
            <w:vAlign w:val="center"/>
          </w:tcPr>
          <w:p>
            <w:pPr>
              <w:pStyle w:val="15"/>
            </w:pPr>
            <w:r>
              <w:t>使居民及时了解政策信息</w:t>
            </w:r>
          </w:p>
        </w:tc>
        <w:tc>
          <w:tcPr>
            <w:tcW w:w="2551" w:type="dxa"/>
            <w:vAlign w:val="center"/>
          </w:tcPr>
          <w:p>
            <w:pPr>
              <w:pStyle w:val="15"/>
            </w:pPr>
            <w:r>
              <w:t>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居民满意度</w:t>
            </w:r>
          </w:p>
        </w:tc>
        <w:tc>
          <w:tcPr>
            <w:tcW w:w="2835" w:type="dxa"/>
            <w:vAlign w:val="center"/>
          </w:tcPr>
          <w:p>
            <w:pPr>
              <w:pStyle w:val="15"/>
            </w:pPr>
            <w:r>
              <w:t>辖区广大居民满意程度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2、2023年街道体制经费绩效目标表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1.按照区委区政府要求做好街道办事处日常工作</w:t>
            </w:r>
            <w:r>
              <w:tab/>
            </w:r>
            <w:r>
              <w:tab/>
            </w:r>
            <w:r>
              <w:tab/>
            </w:r>
            <w:r>
              <w:tab/>
            </w:r>
            <w:r>
              <w:tab/>
            </w:r>
            <w:r>
              <w:tab/>
            </w:r>
            <w:r>
              <w:tab/>
            </w:r>
          </w:p>
          <w:p>
            <w:pPr>
              <w:pStyle w:val="15"/>
            </w:pPr>
            <w:r>
              <w:tab/>
            </w:r>
            <w:r>
              <w:tab/>
            </w:r>
            <w:r>
              <w:tab/>
            </w:r>
            <w:r>
              <w:tab/>
            </w:r>
            <w:r>
              <w:tab/>
            </w:r>
          </w:p>
          <w:p>
            <w:pPr>
              <w:pStyle w:val="15"/>
            </w:pPr>
          </w:p>
          <w:p>
            <w:pPr>
              <w:pStyle w:val="15"/>
            </w:pPr>
            <w:r>
              <w:t>2.保证辖区正常运转，宣传到位，更好地为广大居民服务</w:t>
            </w:r>
          </w:p>
          <w:p>
            <w:pPr>
              <w:pStyle w:val="15"/>
            </w:pPr>
            <w:r>
              <w:t>3.保证辖区内居民满意、社区环境和谐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宣传品数量</w:t>
            </w:r>
          </w:p>
        </w:tc>
        <w:tc>
          <w:tcPr>
            <w:tcW w:w="2835" w:type="dxa"/>
            <w:vAlign w:val="center"/>
          </w:tcPr>
          <w:p>
            <w:pPr>
              <w:pStyle w:val="15"/>
            </w:pPr>
            <w:r>
              <w:t>宣传品数量</w:t>
            </w:r>
          </w:p>
        </w:tc>
        <w:tc>
          <w:tcPr>
            <w:tcW w:w="2551" w:type="dxa"/>
            <w:vAlign w:val="center"/>
          </w:tcPr>
          <w:p>
            <w:pPr>
              <w:pStyle w:val="15"/>
            </w:pPr>
            <w:r>
              <w:t>≥100个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任务指标达标率</w:t>
            </w:r>
          </w:p>
        </w:tc>
        <w:tc>
          <w:tcPr>
            <w:tcW w:w="2835" w:type="dxa"/>
            <w:vAlign w:val="center"/>
          </w:tcPr>
          <w:p>
            <w:pPr>
              <w:pStyle w:val="15"/>
            </w:pPr>
            <w:r>
              <w:t>宣传、信访维稳、维稳等工作开展效果</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2835" w:type="dxa"/>
            <w:vAlign w:val="center"/>
          </w:tcPr>
          <w:p>
            <w:pPr>
              <w:pStyle w:val="15"/>
            </w:pPr>
            <w:r>
              <w:t>按年初计划宣传、信访维稳等工作完成时限</w:t>
            </w:r>
          </w:p>
        </w:tc>
        <w:tc>
          <w:tcPr>
            <w:tcW w:w="2551" w:type="dxa"/>
            <w:vAlign w:val="center"/>
          </w:tcPr>
          <w:p>
            <w:pPr>
              <w:pStyle w:val="15"/>
            </w:pPr>
            <w:r>
              <w:t>2023年底前完成</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最小成本完成工作</w:t>
            </w:r>
          </w:p>
        </w:tc>
        <w:tc>
          <w:tcPr>
            <w:tcW w:w="2835" w:type="dxa"/>
            <w:vAlign w:val="center"/>
          </w:tcPr>
          <w:p>
            <w:pPr>
              <w:pStyle w:val="15"/>
            </w:pPr>
            <w:r>
              <w:t>工作开展使用成本</w:t>
            </w:r>
          </w:p>
        </w:tc>
        <w:tc>
          <w:tcPr>
            <w:tcW w:w="2551" w:type="dxa"/>
            <w:vAlign w:val="center"/>
          </w:tcPr>
          <w:p>
            <w:pPr>
              <w:pStyle w:val="15"/>
            </w:pPr>
            <w:r>
              <w:t>≤55833.34元/月</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保障工作开展</w:t>
            </w:r>
          </w:p>
        </w:tc>
        <w:tc>
          <w:tcPr>
            <w:tcW w:w="2835" w:type="dxa"/>
            <w:vAlign w:val="center"/>
          </w:tcPr>
          <w:p>
            <w:pPr>
              <w:pStyle w:val="15"/>
            </w:pPr>
            <w:r>
              <w:t>各项工作保质保量完成</w:t>
            </w:r>
          </w:p>
        </w:tc>
        <w:tc>
          <w:tcPr>
            <w:tcW w:w="2551" w:type="dxa"/>
            <w:vAlign w:val="center"/>
          </w:tcPr>
          <w:p>
            <w:pPr>
              <w:pStyle w:val="15"/>
            </w:pPr>
            <w:r>
              <w:t>优</w:t>
            </w:r>
          </w:p>
        </w:tc>
        <w:tc>
          <w:tcPr>
            <w:tcW w:w="2268" w:type="dxa"/>
            <w:vAlign w:val="center"/>
          </w:tcPr>
          <w:p>
            <w:pPr>
              <w:pStyle w:val="15"/>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居民了解政策程度</w:t>
            </w:r>
          </w:p>
        </w:tc>
        <w:tc>
          <w:tcPr>
            <w:tcW w:w="2835" w:type="dxa"/>
            <w:vAlign w:val="center"/>
          </w:tcPr>
          <w:p>
            <w:pPr>
              <w:pStyle w:val="15"/>
            </w:pPr>
            <w:r>
              <w:t>保障居民及时了解政策</w:t>
            </w:r>
          </w:p>
        </w:tc>
        <w:tc>
          <w:tcPr>
            <w:tcW w:w="2551" w:type="dxa"/>
            <w:vAlign w:val="center"/>
          </w:tcPr>
          <w:p>
            <w:pPr>
              <w:pStyle w:val="15"/>
            </w:pPr>
            <w:r>
              <w:t>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居民满意度</w:t>
            </w:r>
          </w:p>
        </w:tc>
        <w:tc>
          <w:tcPr>
            <w:tcW w:w="2835" w:type="dxa"/>
            <w:vAlign w:val="center"/>
          </w:tcPr>
          <w:p>
            <w:pPr>
              <w:pStyle w:val="15"/>
            </w:pPr>
            <w:r>
              <w:t>辖区广大居民满意程度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3、（2）防疫工作经费绩效目标表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1.完成疫苗接种</w:t>
            </w:r>
          </w:p>
          <w:p>
            <w:pPr>
              <w:pStyle w:val="15"/>
            </w:pPr>
            <w:r>
              <w:t>2.接种费用发放到位</w:t>
            </w:r>
          </w:p>
          <w:p>
            <w:pPr>
              <w:pStyle w:val="15"/>
            </w:pPr>
            <w:r>
              <w:t>3.辖区居民满意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疫苗接种率</w:t>
            </w:r>
          </w:p>
        </w:tc>
        <w:tc>
          <w:tcPr>
            <w:tcW w:w="2835" w:type="dxa"/>
            <w:vAlign w:val="center"/>
          </w:tcPr>
          <w:p>
            <w:pPr>
              <w:pStyle w:val="15"/>
            </w:pPr>
            <w:r>
              <w:t>疫苗接种人数占应接种的总人数比率</w:t>
            </w:r>
          </w:p>
        </w:tc>
        <w:tc>
          <w:tcPr>
            <w:tcW w:w="2551" w:type="dxa"/>
            <w:vAlign w:val="center"/>
          </w:tcPr>
          <w:p>
            <w:pPr>
              <w:pStyle w:val="15"/>
            </w:pPr>
            <w:r>
              <w:t>≥90%</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工作开展效果</w:t>
            </w:r>
          </w:p>
        </w:tc>
        <w:tc>
          <w:tcPr>
            <w:tcW w:w="2835" w:type="dxa"/>
            <w:vAlign w:val="center"/>
          </w:tcPr>
          <w:p>
            <w:pPr>
              <w:pStyle w:val="15"/>
            </w:pPr>
            <w:r>
              <w:t>疫苗接种的工作效果</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2835" w:type="dxa"/>
            <w:vAlign w:val="center"/>
          </w:tcPr>
          <w:p>
            <w:pPr>
              <w:pStyle w:val="15"/>
            </w:pPr>
            <w:r>
              <w:t>达到预期接种率的时间</w:t>
            </w:r>
          </w:p>
        </w:tc>
        <w:tc>
          <w:tcPr>
            <w:tcW w:w="2551" w:type="dxa"/>
            <w:vAlign w:val="center"/>
          </w:tcPr>
          <w:p>
            <w:pPr>
              <w:pStyle w:val="15"/>
            </w:pPr>
            <w:r>
              <w:t>2023年底前完成</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疫苗接种成本</w:t>
            </w:r>
          </w:p>
        </w:tc>
        <w:tc>
          <w:tcPr>
            <w:tcW w:w="2835" w:type="dxa"/>
            <w:vAlign w:val="center"/>
          </w:tcPr>
          <w:p>
            <w:pPr>
              <w:pStyle w:val="15"/>
            </w:pPr>
            <w:r>
              <w:t>平均每季度接种疫苗的费用</w:t>
            </w:r>
          </w:p>
        </w:tc>
        <w:tc>
          <w:tcPr>
            <w:tcW w:w="2551" w:type="dxa"/>
            <w:vAlign w:val="center"/>
          </w:tcPr>
          <w:p>
            <w:pPr>
              <w:pStyle w:val="15"/>
            </w:pPr>
            <w:r>
              <w:t>≤39050元/季度</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居民应接尽接</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居民主动接种比率</w:t>
            </w:r>
          </w:p>
        </w:tc>
        <w:tc>
          <w:tcPr>
            <w:tcW w:w="2835" w:type="dxa"/>
            <w:vAlign w:val="center"/>
          </w:tcPr>
          <w:p>
            <w:pPr>
              <w:pStyle w:val="15"/>
            </w:pPr>
            <w:r>
              <w:t>居民主动接种占未接种总人数的比</w:t>
            </w:r>
          </w:p>
        </w:tc>
        <w:tc>
          <w:tcPr>
            <w:tcW w:w="2551" w:type="dxa"/>
            <w:vAlign w:val="center"/>
          </w:tcPr>
          <w:p>
            <w:pPr>
              <w:pStyle w:val="15"/>
            </w:pPr>
            <w:r>
              <w:t>≥95%</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社区居民满意度</w:t>
            </w:r>
          </w:p>
        </w:tc>
        <w:tc>
          <w:tcPr>
            <w:tcW w:w="2835" w:type="dxa"/>
            <w:vAlign w:val="center"/>
          </w:tcPr>
          <w:p>
            <w:pPr>
              <w:pStyle w:val="15"/>
            </w:pPr>
            <w:r>
              <w:t>社区广大居民满意度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4、（2）专项奖励资金绩效目标表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1.增强与本辖区企业联系</w:t>
            </w:r>
          </w:p>
          <w:p>
            <w:pPr>
              <w:pStyle w:val="15"/>
            </w:pPr>
            <w:r>
              <w:t>2.及时为企业解决困难</w:t>
            </w:r>
          </w:p>
          <w:p>
            <w:pPr>
              <w:pStyle w:val="15"/>
            </w:pPr>
            <w:r>
              <w:t>3.为转型升级企业提供支持</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企业数量</w:t>
            </w:r>
          </w:p>
        </w:tc>
        <w:tc>
          <w:tcPr>
            <w:tcW w:w="2835" w:type="dxa"/>
            <w:vAlign w:val="center"/>
          </w:tcPr>
          <w:p>
            <w:pPr>
              <w:pStyle w:val="15"/>
            </w:pPr>
            <w:r>
              <w:t>企业数量</w:t>
            </w:r>
          </w:p>
        </w:tc>
        <w:tc>
          <w:tcPr>
            <w:tcW w:w="2551" w:type="dxa"/>
            <w:vAlign w:val="center"/>
          </w:tcPr>
          <w:p>
            <w:pPr>
              <w:pStyle w:val="15"/>
            </w:pPr>
            <w:r>
              <w:t>≥1个</w:t>
            </w:r>
          </w:p>
        </w:tc>
        <w:tc>
          <w:tcPr>
            <w:tcW w:w="2268" w:type="dxa"/>
            <w:vAlign w:val="center"/>
          </w:tcPr>
          <w:p>
            <w:pPr>
              <w:pStyle w:val="15"/>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企业科技创新情况</w:t>
            </w:r>
          </w:p>
        </w:tc>
        <w:tc>
          <w:tcPr>
            <w:tcW w:w="2835" w:type="dxa"/>
            <w:vAlign w:val="center"/>
          </w:tcPr>
          <w:p>
            <w:pPr>
              <w:pStyle w:val="15"/>
            </w:pPr>
            <w:r>
              <w:t>科技创新节能减排成果</w:t>
            </w:r>
          </w:p>
        </w:tc>
        <w:tc>
          <w:tcPr>
            <w:tcW w:w="2551" w:type="dxa"/>
            <w:vAlign w:val="center"/>
          </w:tcPr>
          <w:p>
            <w:pPr>
              <w:pStyle w:val="15"/>
            </w:pPr>
            <w:r>
              <w:t>≥1个</w:t>
            </w:r>
          </w:p>
        </w:tc>
        <w:tc>
          <w:tcPr>
            <w:tcW w:w="2268" w:type="dxa"/>
            <w:vAlign w:val="center"/>
          </w:tcPr>
          <w:p>
            <w:pPr>
              <w:pStyle w:val="15"/>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企业创新成果时间</w:t>
            </w:r>
          </w:p>
        </w:tc>
        <w:tc>
          <w:tcPr>
            <w:tcW w:w="2835" w:type="dxa"/>
            <w:vAlign w:val="center"/>
          </w:tcPr>
          <w:p>
            <w:pPr>
              <w:pStyle w:val="15"/>
            </w:pPr>
            <w:r>
              <w:t>企业完成创新成果时间</w:t>
            </w:r>
          </w:p>
        </w:tc>
        <w:tc>
          <w:tcPr>
            <w:tcW w:w="2551" w:type="dxa"/>
            <w:vAlign w:val="center"/>
          </w:tcPr>
          <w:p>
            <w:pPr>
              <w:pStyle w:val="15"/>
            </w:pPr>
            <w:r>
              <w:t>2023年底前完成</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企业创新成本</w:t>
            </w:r>
          </w:p>
        </w:tc>
        <w:tc>
          <w:tcPr>
            <w:tcW w:w="2835" w:type="dxa"/>
            <w:vAlign w:val="center"/>
          </w:tcPr>
          <w:p>
            <w:pPr>
              <w:pStyle w:val="15"/>
            </w:pPr>
            <w:r>
              <w:t>企业创新成本</w:t>
            </w:r>
          </w:p>
        </w:tc>
        <w:tc>
          <w:tcPr>
            <w:tcW w:w="2551" w:type="dxa"/>
            <w:vAlign w:val="center"/>
          </w:tcPr>
          <w:p>
            <w:pPr>
              <w:pStyle w:val="15"/>
            </w:pPr>
            <w:r>
              <w:t>≤25万/季度</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新成果影响</w:t>
            </w:r>
          </w:p>
        </w:tc>
        <w:tc>
          <w:tcPr>
            <w:tcW w:w="2835" w:type="dxa"/>
            <w:vAlign w:val="center"/>
          </w:tcPr>
          <w:p>
            <w:pPr>
              <w:pStyle w:val="15"/>
            </w:pPr>
            <w:r>
              <w:t>新成果带动的经济影响</w:t>
            </w:r>
          </w:p>
        </w:tc>
        <w:tc>
          <w:tcPr>
            <w:tcW w:w="2551" w:type="dxa"/>
            <w:vAlign w:val="center"/>
          </w:tcPr>
          <w:p>
            <w:pPr>
              <w:pStyle w:val="15"/>
            </w:pPr>
            <w:r>
              <w:t>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增加就业人数</w:t>
            </w:r>
          </w:p>
        </w:tc>
        <w:tc>
          <w:tcPr>
            <w:tcW w:w="2835" w:type="dxa"/>
            <w:vAlign w:val="center"/>
          </w:tcPr>
          <w:p>
            <w:pPr>
              <w:pStyle w:val="15"/>
            </w:pPr>
            <w:r>
              <w:t>相比上一年增加就业人数</w:t>
            </w:r>
          </w:p>
        </w:tc>
        <w:tc>
          <w:tcPr>
            <w:tcW w:w="2551" w:type="dxa"/>
            <w:vAlign w:val="center"/>
          </w:tcPr>
          <w:p>
            <w:pPr>
              <w:pStyle w:val="15"/>
            </w:pPr>
            <w:r>
              <w:t>≥20人</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企业满意度</w:t>
            </w:r>
          </w:p>
        </w:tc>
        <w:tc>
          <w:tcPr>
            <w:tcW w:w="2835" w:type="dxa"/>
            <w:vAlign w:val="center"/>
          </w:tcPr>
          <w:p>
            <w:pPr>
              <w:pStyle w:val="15"/>
            </w:pPr>
            <w:r>
              <w:t>企业满意度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5、财政所经费绩效目标表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1.按照上级要求做好各项工作</w:t>
            </w:r>
          </w:p>
          <w:p>
            <w:pPr>
              <w:pStyle w:val="15"/>
            </w:pPr>
            <w:r>
              <w:t>2.保证财政所工作正常运转</w:t>
            </w:r>
          </w:p>
          <w:p>
            <w:pPr>
              <w:pStyle w:val="15"/>
            </w:pPr>
            <w:r>
              <w:t>3.以最小成本维护日常办公要求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办公设备配置数量</w:t>
            </w:r>
          </w:p>
        </w:tc>
        <w:tc>
          <w:tcPr>
            <w:tcW w:w="2835" w:type="dxa"/>
            <w:vAlign w:val="center"/>
          </w:tcPr>
          <w:p>
            <w:pPr>
              <w:pStyle w:val="15"/>
            </w:pPr>
            <w:r>
              <w:t>购置电脑数量</w:t>
            </w:r>
          </w:p>
        </w:tc>
        <w:tc>
          <w:tcPr>
            <w:tcW w:w="2551" w:type="dxa"/>
            <w:vAlign w:val="center"/>
          </w:tcPr>
          <w:p>
            <w:pPr>
              <w:pStyle w:val="15"/>
            </w:pPr>
            <w:r>
              <w:t>≥2台</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验收合格电脑占采购数量的比率</w:t>
            </w:r>
          </w:p>
        </w:tc>
        <w:tc>
          <w:tcPr>
            <w:tcW w:w="2551" w:type="dxa"/>
            <w:vAlign w:val="center"/>
          </w:tcPr>
          <w:p>
            <w:pPr>
              <w:pStyle w:val="15"/>
            </w:pPr>
            <w:r>
              <w:t>≥95%</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2835" w:type="dxa"/>
            <w:vAlign w:val="center"/>
          </w:tcPr>
          <w:p>
            <w:pPr>
              <w:pStyle w:val="15"/>
            </w:pPr>
            <w:r>
              <w:t>按时完成上级要求的各项工作的时限</w:t>
            </w:r>
          </w:p>
        </w:tc>
        <w:tc>
          <w:tcPr>
            <w:tcW w:w="2551" w:type="dxa"/>
            <w:vAlign w:val="center"/>
          </w:tcPr>
          <w:p>
            <w:pPr>
              <w:pStyle w:val="15"/>
            </w:pPr>
            <w:r>
              <w:t>2023年底前完成</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购置成本</w:t>
            </w:r>
          </w:p>
        </w:tc>
        <w:tc>
          <w:tcPr>
            <w:tcW w:w="2835" w:type="dxa"/>
            <w:vAlign w:val="center"/>
          </w:tcPr>
          <w:p>
            <w:pPr>
              <w:pStyle w:val="15"/>
            </w:pPr>
            <w:r>
              <w:t>电脑购置成本</w:t>
            </w:r>
          </w:p>
        </w:tc>
        <w:tc>
          <w:tcPr>
            <w:tcW w:w="2551" w:type="dxa"/>
            <w:vAlign w:val="center"/>
          </w:tcPr>
          <w:p>
            <w:pPr>
              <w:pStyle w:val="15"/>
            </w:pPr>
            <w:r>
              <w:t>≤4500元/台</w:t>
            </w:r>
          </w:p>
        </w:tc>
        <w:tc>
          <w:tcPr>
            <w:tcW w:w="2268"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财务水平提高</w:t>
            </w:r>
          </w:p>
        </w:tc>
        <w:tc>
          <w:tcPr>
            <w:tcW w:w="2835" w:type="dxa"/>
            <w:vAlign w:val="center"/>
          </w:tcPr>
          <w:p>
            <w:pPr>
              <w:pStyle w:val="15"/>
            </w:pPr>
            <w:r>
              <w:t>财务业务及服务水平提高</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收支运转稳定</w:t>
            </w:r>
          </w:p>
        </w:tc>
        <w:tc>
          <w:tcPr>
            <w:tcW w:w="2835" w:type="dxa"/>
            <w:vAlign w:val="center"/>
          </w:tcPr>
          <w:p>
            <w:pPr>
              <w:pStyle w:val="15"/>
            </w:pPr>
            <w:r>
              <w:t>保证按时收支</w:t>
            </w:r>
          </w:p>
        </w:tc>
        <w:tc>
          <w:tcPr>
            <w:tcW w:w="2551" w:type="dxa"/>
            <w:vAlign w:val="center"/>
          </w:tcPr>
          <w:p>
            <w:pPr>
              <w:pStyle w:val="15"/>
            </w:pPr>
            <w:r>
              <w:t>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社区居民满意度</w:t>
            </w:r>
          </w:p>
        </w:tc>
        <w:tc>
          <w:tcPr>
            <w:tcW w:w="2835" w:type="dxa"/>
            <w:vAlign w:val="center"/>
          </w:tcPr>
          <w:p>
            <w:pPr>
              <w:pStyle w:val="15"/>
            </w:pPr>
            <w:r>
              <w:t>社区居民满意</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6、社区工作经费绩效目标表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1.按照区委区政府及街道办事处要求做好社区各项工作</w:t>
            </w:r>
          </w:p>
          <w:p>
            <w:pPr>
              <w:pStyle w:val="15"/>
            </w:pPr>
            <w:r>
              <w:t>2.通过社区组织的各种活动营造和谐的社区环境</w:t>
            </w:r>
          </w:p>
          <w:p>
            <w:pPr>
              <w:pStyle w:val="15"/>
            </w:pPr>
            <w:r>
              <w:t>3.保证社区正常运转，更好地为广大社区居民服务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社区数量</w:t>
            </w:r>
          </w:p>
        </w:tc>
        <w:tc>
          <w:tcPr>
            <w:tcW w:w="2835" w:type="dxa"/>
            <w:vAlign w:val="center"/>
          </w:tcPr>
          <w:p>
            <w:pPr>
              <w:pStyle w:val="15"/>
            </w:pPr>
            <w:r>
              <w:t>社区数量</w:t>
            </w:r>
          </w:p>
        </w:tc>
        <w:tc>
          <w:tcPr>
            <w:tcW w:w="2551" w:type="dxa"/>
            <w:vAlign w:val="center"/>
          </w:tcPr>
          <w:p>
            <w:pPr>
              <w:pStyle w:val="15"/>
            </w:pPr>
            <w:r>
              <w:t>≥14个</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社区工作开展效果</w:t>
            </w:r>
          </w:p>
        </w:tc>
        <w:tc>
          <w:tcPr>
            <w:tcW w:w="2835" w:type="dxa"/>
            <w:vAlign w:val="center"/>
          </w:tcPr>
          <w:p>
            <w:pPr>
              <w:pStyle w:val="15"/>
            </w:pPr>
            <w:r>
              <w:t>社区工作开展效果</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2835" w:type="dxa"/>
            <w:vAlign w:val="center"/>
          </w:tcPr>
          <w:p>
            <w:pPr>
              <w:pStyle w:val="15"/>
            </w:pPr>
            <w:r>
              <w:t>按年初计划宣传、慰问等工作完成时限</w:t>
            </w:r>
          </w:p>
        </w:tc>
        <w:tc>
          <w:tcPr>
            <w:tcW w:w="2551" w:type="dxa"/>
            <w:vAlign w:val="center"/>
          </w:tcPr>
          <w:p>
            <w:pPr>
              <w:pStyle w:val="15"/>
            </w:pPr>
            <w:r>
              <w:t>2023年底前完成</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社区办公成本</w:t>
            </w:r>
          </w:p>
        </w:tc>
        <w:tc>
          <w:tcPr>
            <w:tcW w:w="2835" w:type="dxa"/>
            <w:vAlign w:val="center"/>
          </w:tcPr>
          <w:p>
            <w:pPr>
              <w:pStyle w:val="15"/>
            </w:pPr>
            <w:r>
              <w:t>根据年初预算安排和年度工作计划社区办公费使用成本</w:t>
            </w:r>
          </w:p>
        </w:tc>
        <w:tc>
          <w:tcPr>
            <w:tcW w:w="2551" w:type="dxa"/>
            <w:vAlign w:val="center"/>
          </w:tcPr>
          <w:p>
            <w:pPr>
              <w:pStyle w:val="15"/>
            </w:pPr>
            <w:r>
              <w:t>≤8500元/月/社区</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为民服务能力提升</w:t>
            </w:r>
          </w:p>
        </w:tc>
        <w:tc>
          <w:tcPr>
            <w:tcW w:w="2835" w:type="dxa"/>
            <w:vAlign w:val="center"/>
          </w:tcPr>
          <w:p>
            <w:pPr>
              <w:pStyle w:val="15"/>
            </w:pPr>
            <w:r>
              <w:t>社区为民服务水平提升</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居民一次办结比率</w:t>
            </w:r>
          </w:p>
        </w:tc>
        <w:tc>
          <w:tcPr>
            <w:tcW w:w="2835" w:type="dxa"/>
            <w:vAlign w:val="center"/>
          </w:tcPr>
          <w:p>
            <w:pPr>
              <w:pStyle w:val="15"/>
            </w:pPr>
            <w:r>
              <w:t>居民一次办结业务占总业务比率</w:t>
            </w:r>
          </w:p>
        </w:tc>
        <w:tc>
          <w:tcPr>
            <w:tcW w:w="2551" w:type="dxa"/>
            <w:vAlign w:val="center"/>
          </w:tcPr>
          <w:p>
            <w:pPr>
              <w:pStyle w:val="15"/>
            </w:pPr>
            <w:r>
              <w:t>≥95%</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社区居民满意度</w:t>
            </w:r>
          </w:p>
        </w:tc>
        <w:tc>
          <w:tcPr>
            <w:tcW w:w="2835" w:type="dxa"/>
            <w:vAlign w:val="center"/>
          </w:tcPr>
          <w:p>
            <w:pPr>
              <w:pStyle w:val="15"/>
            </w:pPr>
            <w:r>
              <w:t>社区广大居民满意度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7、省专班环保工作经费绩效目标表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1.按照区委区政府要求做好街道办事处辖区内环保工作</w:t>
            </w:r>
          </w:p>
          <w:p>
            <w:pPr>
              <w:pStyle w:val="15"/>
            </w:pPr>
            <w:r>
              <w:t>2.保证辖区内空气质量，营造良好的居住环境</w:t>
            </w:r>
          </w:p>
          <w:p>
            <w:pPr>
              <w:pStyle w:val="15"/>
            </w:pPr>
            <w:r>
              <w:t>3.保证辖区内居民满意、社区环境和谐</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环保作业车辆</w:t>
            </w:r>
          </w:p>
        </w:tc>
        <w:tc>
          <w:tcPr>
            <w:tcW w:w="2835" w:type="dxa"/>
            <w:vAlign w:val="center"/>
          </w:tcPr>
          <w:p>
            <w:pPr>
              <w:pStyle w:val="15"/>
            </w:pPr>
            <w:r>
              <w:t>按照上级要求配备环保作业车辆</w:t>
            </w:r>
          </w:p>
        </w:tc>
        <w:tc>
          <w:tcPr>
            <w:tcW w:w="2551" w:type="dxa"/>
            <w:vAlign w:val="center"/>
          </w:tcPr>
          <w:p>
            <w:pPr>
              <w:pStyle w:val="15"/>
            </w:pPr>
            <w:r>
              <w:t>≥11辆</w:t>
            </w:r>
          </w:p>
        </w:tc>
        <w:tc>
          <w:tcPr>
            <w:tcW w:w="2268" w:type="dxa"/>
            <w:vAlign w:val="center"/>
          </w:tcPr>
          <w:p>
            <w:pPr>
              <w:pStyle w:val="15"/>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社区环境达标程度</w:t>
            </w:r>
          </w:p>
        </w:tc>
        <w:tc>
          <w:tcPr>
            <w:tcW w:w="2835" w:type="dxa"/>
            <w:vAlign w:val="center"/>
          </w:tcPr>
          <w:p>
            <w:pPr>
              <w:pStyle w:val="15"/>
            </w:pPr>
            <w:r>
              <w:t>社区环境、空气质量达到标准的程度</w:t>
            </w:r>
          </w:p>
        </w:tc>
        <w:tc>
          <w:tcPr>
            <w:tcW w:w="2551" w:type="dxa"/>
            <w:vAlign w:val="center"/>
          </w:tcPr>
          <w:p>
            <w:pPr>
              <w:pStyle w:val="15"/>
            </w:pPr>
            <w:r>
              <w:t>优</w:t>
            </w:r>
          </w:p>
        </w:tc>
        <w:tc>
          <w:tcPr>
            <w:tcW w:w="2268" w:type="dxa"/>
            <w:vAlign w:val="center"/>
          </w:tcPr>
          <w:p>
            <w:pPr>
              <w:pStyle w:val="15"/>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2835" w:type="dxa"/>
            <w:vAlign w:val="center"/>
          </w:tcPr>
          <w:p>
            <w:pPr>
              <w:pStyle w:val="15"/>
            </w:pPr>
            <w:r>
              <w:t>按时完成上级要求的各项工作的时限</w:t>
            </w:r>
          </w:p>
        </w:tc>
        <w:tc>
          <w:tcPr>
            <w:tcW w:w="2551" w:type="dxa"/>
            <w:vAlign w:val="center"/>
          </w:tcPr>
          <w:p>
            <w:pPr>
              <w:pStyle w:val="15"/>
            </w:pPr>
            <w:r>
              <w:t>2023年底前完成</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购置成本</w:t>
            </w:r>
          </w:p>
        </w:tc>
        <w:tc>
          <w:tcPr>
            <w:tcW w:w="2835" w:type="dxa"/>
            <w:vAlign w:val="center"/>
          </w:tcPr>
          <w:p>
            <w:pPr>
              <w:pStyle w:val="15"/>
            </w:pPr>
            <w:r>
              <w:t>车辆购置及维护运营平均成本</w:t>
            </w:r>
          </w:p>
        </w:tc>
        <w:tc>
          <w:tcPr>
            <w:tcW w:w="2551" w:type="dxa"/>
            <w:vAlign w:val="center"/>
          </w:tcPr>
          <w:p>
            <w:pPr>
              <w:pStyle w:val="15"/>
            </w:pPr>
            <w:r>
              <w:t>≤1.82万元/辆</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能为居民提供良好环境</w:t>
            </w:r>
          </w:p>
        </w:tc>
        <w:tc>
          <w:tcPr>
            <w:tcW w:w="2835" w:type="dxa"/>
            <w:vAlign w:val="center"/>
          </w:tcPr>
          <w:p>
            <w:pPr>
              <w:pStyle w:val="15"/>
            </w:pPr>
            <w:r>
              <w:t>保证辖区内空气质量，营造良好的居住环境</w:t>
            </w:r>
          </w:p>
        </w:tc>
        <w:tc>
          <w:tcPr>
            <w:tcW w:w="2551" w:type="dxa"/>
            <w:vAlign w:val="center"/>
          </w:tcPr>
          <w:p>
            <w:pPr>
              <w:pStyle w:val="15"/>
            </w:pPr>
            <w:r>
              <w:t>优</w:t>
            </w:r>
          </w:p>
        </w:tc>
        <w:tc>
          <w:tcPr>
            <w:tcW w:w="2268" w:type="dxa"/>
            <w:vAlign w:val="center"/>
          </w:tcPr>
          <w:p>
            <w:pPr>
              <w:pStyle w:val="15"/>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达标天数比率</w:t>
            </w:r>
          </w:p>
        </w:tc>
        <w:tc>
          <w:tcPr>
            <w:tcW w:w="2835" w:type="dxa"/>
            <w:vAlign w:val="center"/>
          </w:tcPr>
          <w:p>
            <w:pPr>
              <w:pStyle w:val="15"/>
            </w:pPr>
            <w:r>
              <w:t>达标天数占总天数比</w:t>
            </w:r>
          </w:p>
        </w:tc>
        <w:tc>
          <w:tcPr>
            <w:tcW w:w="2551" w:type="dxa"/>
            <w:vAlign w:val="center"/>
          </w:tcPr>
          <w:p>
            <w:pPr>
              <w:pStyle w:val="15"/>
            </w:pPr>
            <w:r>
              <w:t>≥95%</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居民满意度</w:t>
            </w:r>
          </w:p>
        </w:tc>
        <w:tc>
          <w:tcPr>
            <w:tcW w:w="2835" w:type="dxa"/>
            <w:vAlign w:val="center"/>
          </w:tcPr>
          <w:p>
            <w:pPr>
              <w:pStyle w:val="15"/>
            </w:pPr>
            <w:r>
              <w:t>辖区广大居民满意程度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8、统计专项业务经费绩效目标表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1.保证统计工作顺利进行</w:t>
            </w:r>
          </w:p>
          <w:p>
            <w:pPr>
              <w:pStyle w:val="15"/>
            </w:pPr>
            <w:r>
              <w:t>2.解决统计工作过程中遇到的问题</w:t>
            </w:r>
          </w:p>
          <w:p>
            <w:pPr>
              <w:pStyle w:val="15"/>
            </w:pPr>
            <w:r>
              <w:t>3.保障统计工作过程社会稳定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统计工作次数</w:t>
            </w:r>
          </w:p>
        </w:tc>
        <w:tc>
          <w:tcPr>
            <w:tcW w:w="2835" w:type="dxa"/>
            <w:vAlign w:val="center"/>
          </w:tcPr>
          <w:p>
            <w:pPr>
              <w:pStyle w:val="15"/>
            </w:pPr>
            <w:r>
              <w:t>配合提供统计工作过程经费次数</w:t>
            </w:r>
          </w:p>
        </w:tc>
        <w:tc>
          <w:tcPr>
            <w:tcW w:w="2551" w:type="dxa"/>
            <w:vAlign w:val="center"/>
          </w:tcPr>
          <w:p>
            <w:pPr>
              <w:pStyle w:val="15"/>
            </w:pPr>
            <w:r>
              <w:t>≥1次</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工作完成质量</w:t>
            </w:r>
          </w:p>
        </w:tc>
        <w:tc>
          <w:tcPr>
            <w:tcW w:w="2835" w:type="dxa"/>
            <w:vAlign w:val="center"/>
          </w:tcPr>
          <w:p>
            <w:pPr>
              <w:pStyle w:val="15"/>
            </w:pPr>
            <w:r>
              <w:t>维持统计工作正常运行，经费得到保障，完成工作占全年的比例</w:t>
            </w:r>
          </w:p>
        </w:tc>
        <w:tc>
          <w:tcPr>
            <w:tcW w:w="2551" w:type="dxa"/>
            <w:vAlign w:val="center"/>
          </w:tcPr>
          <w:p>
            <w:pPr>
              <w:pStyle w:val="15"/>
            </w:pPr>
            <w:r>
              <w:t>≥95％</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完成工作时间</w:t>
            </w:r>
          </w:p>
        </w:tc>
        <w:tc>
          <w:tcPr>
            <w:tcW w:w="2835" w:type="dxa"/>
            <w:vAlign w:val="center"/>
          </w:tcPr>
          <w:p>
            <w:pPr>
              <w:pStyle w:val="15"/>
            </w:pPr>
            <w:r>
              <w:t>严格按照年初预算计划执行，确保资金科学使用，按时完成</w:t>
            </w:r>
          </w:p>
        </w:tc>
        <w:tc>
          <w:tcPr>
            <w:tcW w:w="2551" w:type="dxa"/>
            <w:vAlign w:val="center"/>
          </w:tcPr>
          <w:p>
            <w:pPr>
              <w:pStyle w:val="15"/>
            </w:pPr>
            <w:r>
              <w:t>2023年底前完成</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经济成本指标</w:t>
            </w:r>
          </w:p>
        </w:tc>
        <w:tc>
          <w:tcPr>
            <w:tcW w:w="2835" w:type="dxa"/>
            <w:vAlign w:val="center"/>
          </w:tcPr>
          <w:p>
            <w:pPr>
              <w:pStyle w:val="15"/>
            </w:pPr>
            <w:r>
              <w:t>每次统计过程提供的经费</w:t>
            </w:r>
          </w:p>
        </w:tc>
        <w:tc>
          <w:tcPr>
            <w:tcW w:w="2551" w:type="dxa"/>
            <w:vAlign w:val="center"/>
          </w:tcPr>
          <w:p>
            <w:pPr>
              <w:pStyle w:val="15"/>
            </w:pPr>
            <w:r>
              <w:t>≤1666.67元/月</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维持统计工作正常运行，经费得到保障，保证社会稳定程度</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统计更新程度</w:t>
            </w:r>
          </w:p>
        </w:tc>
        <w:tc>
          <w:tcPr>
            <w:tcW w:w="2835" w:type="dxa"/>
            <w:vAlign w:val="center"/>
          </w:tcPr>
          <w:p>
            <w:pPr>
              <w:pStyle w:val="15"/>
            </w:pPr>
            <w:r>
              <w:t>保证统计数据精准</w:t>
            </w:r>
          </w:p>
        </w:tc>
        <w:tc>
          <w:tcPr>
            <w:tcW w:w="2551" w:type="dxa"/>
            <w:vAlign w:val="center"/>
          </w:tcPr>
          <w:p>
            <w:pPr>
              <w:pStyle w:val="15"/>
            </w:pPr>
            <w:r>
              <w:t>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基层群众对工作的满意度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9、燕办十一小区日常维护、路灯电费绩效目标表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1.十一小区公厕维护及时</w:t>
            </w:r>
          </w:p>
          <w:p>
            <w:pPr>
              <w:pStyle w:val="15"/>
            </w:pPr>
            <w:r>
              <w:t>2.十一小区损坏路灯维修更换</w:t>
            </w:r>
          </w:p>
          <w:p>
            <w:pPr>
              <w:pStyle w:val="15"/>
            </w:pPr>
            <w:r>
              <w:t>3.日常维护、保证小区正常运转，更好地为广大小区居民服务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公厕维护个数</w:t>
            </w:r>
          </w:p>
        </w:tc>
        <w:tc>
          <w:tcPr>
            <w:tcW w:w="2835" w:type="dxa"/>
            <w:vAlign w:val="center"/>
          </w:tcPr>
          <w:p>
            <w:pPr>
              <w:pStyle w:val="15"/>
            </w:pPr>
            <w:r>
              <w:t>维护公厕个数</w:t>
            </w:r>
          </w:p>
        </w:tc>
        <w:tc>
          <w:tcPr>
            <w:tcW w:w="2551" w:type="dxa"/>
            <w:vAlign w:val="center"/>
          </w:tcPr>
          <w:p>
            <w:pPr>
              <w:pStyle w:val="15"/>
            </w:pPr>
            <w:r>
              <w:t>≥1个</w:t>
            </w:r>
          </w:p>
        </w:tc>
        <w:tc>
          <w:tcPr>
            <w:tcW w:w="2268" w:type="dxa"/>
            <w:vAlign w:val="center"/>
          </w:tcPr>
          <w:p>
            <w:pPr>
              <w:pStyle w:val="15"/>
            </w:pPr>
            <w:r>
              <w:t>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公厕路灯正常使用率</w:t>
            </w:r>
          </w:p>
        </w:tc>
        <w:tc>
          <w:tcPr>
            <w:tcW w:w="2835" w:type="dxa"/>
            <w:vAlign w:val="center"/>
          </w:tcPr>
          <w:p>
            <w:pPr>
              <w:pStyle w:val="15"/>
            </w:pPr>
            <w:r>
              <w:t>小区公厕路灯正常使用天数占全年天数的比率</w:t>
            </w:r>
          </w:p>
        </w:tc>
        <w:tc>
          <w:tcPr>
            <w:tcW w:w="2551" w:type="dxa"/>
            <w:vAlign w:val="center"/>
          </w:tcPr>
          <w:p>
            <w:pPr>
              <w:pStyle w:val="15"/>
            </w:pPr>
            <w:r>
              <w:t>≥95%</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工作完成率</w:t>
            </w:r>
          </w:p>
        </w:tc>
        <w:tc>
          <w:tcPr>
            <w:tcW w:w="2835" w:type="dxa"/>
            <w:vAlign w:val="center"/>
          </w:tcPr>
          <w:p>
            <w:pPr>
              <w:pStyle w:val="15"/>
            </w:pPr>
            <w:r>
              <w:t>维护维修完成率</w:t>
            </w:r>
          </w:p>
        </w:tc>
        <w:tc>
          <w:tcPr>
            <w:tcW w:w="2551" w:type="dxa"/>
            <w:vAlign w:val="center"/>
          </w:tcPr>
          <w:p>
            <w:pPr>
              <w:pStyle w:val="15"/>
            </w:pPr>
            <w:r>
              <w:t>≥95%</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维护费投入成本</w:t>
            </w:r>
          </w:p>
        </w:tc>
        <w:tc>
          <w:tcPr>
            <w:tcW w:w="2835" w:type="dxa"/>
            <w:vAlign w:val="center"/>
          </w:tcPr>
          <w:p>
            <w:pPr>
              <w:pStyle w:val="15"/>
            </w:pPr>
            <w:r>
              <w:t>根据年初预算安排和年度工作计划维护费使用成本</w:t>
            </w:r>
          </w:p>
        </w:tc>
        <w:tc>
          <w:tcPr>
            <w:tcW w:w="2551" w:type="dxa"/>
            <w:vAlign w:val="center"/>
          </w:tcPr>
          <w:p>
            <w:pPr>
              <w:pStyle w:val="15"/>
            </w:pPr>
            <w:r>
              <w:t>≤7333.34元/月</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保障公共设施正常使用</w:t>
            </w:r>
          </w:p>
        </w:tc>
        <w:tc>
          <w:tcPr>
            <w:tcW w:w="2835" w:type="dxa"/>
            <w:vAlign w:val="center"/>
          </w:tcPr>
          <w:p>
            <w:pPr>
              <w:pStyle w:val="15"/>
            </w:pPr>
            <w:r>
              <w:t>小区公共设施正常使用</w:t>
            </w:r>
          </w:p>
        </w:tc>
        <w:tc>
          <w:tcPr>
            <w:tcW w:w="2551" w:type="dxa"/>
            <w:vAlign w:val="center"/>
          </w:tcPr>
          <w:p>
            <w:pPr>
              <w:pStyle w:val="15"/>
            </w:pPr>
            <w:r>
              <w:t>优</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维修到位</w:t>
            </w:r>
          </w:p>
        </w:tc>
        <w:tc>
          <w:tcPr>
            <w:tcW w:w="2835" w:type="dxa"/>
            <w:vAlign w:val="center"/>
          </w:tcPr>
          <w:p>
            <w:pPr>
              <w:pStyle w:val="15"/>
            </w:pPr>
            <w:r>
              <w:t>及时维修保障不影响居民使用</w:t>
            </w:r>
          </w:p>
        </w:tc>
        <w:tc>
          <w:tcPr>
            <w:tcW w:w="2551" w:type="dxa"/>
            <w:vAlign w:val="center"/>
          </w:tcPr>
          <w:p>
            <w:pPr>
              <w:pStyle w:val="15"/>
            </w:pPr>
            <w:r>
              <w:t>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小区居民满意度</w:t>
            </w:r>
          </w:p>
        </w:tc>
        <w:tc>
          <w:tcPr>
            <w:tcW w:w="2835" w:type="dxa"/>
            <w:vAlign w:val="center"/>
          </w:tcPr>
          <w:p>
            <w:pPr>
              <w:pStyle w:val="15"/>
            </w:pPr>
            <w:r>
              <w:t>十一小区居民满意度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10、燕办四术后遗症、计生业务费绩效目标表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1.按照上级要求做好各项工作</w:t>
            </w:r>
          </w:p>
          <w:p>
            <w:pPr>
              <w:pStyle w:val="15"/>
            </w:pPr>
            <w:r>
              <w:t>2.做好四术后遗症人员补贴工作</w:t>
            </w:r>
          </w:p>
          <w:p>
            <w:pPr>
              <w:pStyle w:val="15"/>
            </w:pPr>
            <w:r>
              <w:t>3.保证计生工作正常开展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四术补贴人数</w:t>
            </w:r>
          </w:p>
        </w:tc>
        <w:tc>
          <w:tcPr>
            <w:tcW w:w="2835" w:type="dxa"/>
            <w:vAlign w:val="center"/>
          </w:tcPr>
          <w:p>
            <w:pPr>
              <w:pStyle w:val="15"/>
            </w:pPr>
            <w:r>
              <w:t>发放四术补贴人数</w:t>
            </w:r>
          </w:p>
        </w:tc>
        <w:tc>
          <w:tcPr>
            <w:tcW w:w="2551" w:type="dxa"/>
            <w:vAlign w:val="center"/>
          </w:tcPr>
          <w:p>
            <w:pPr>
              <w:pStyle w:val="15"/>
            </w:pPr>
            <w:r>
              <w:t>≥1人</w:t>
            </w:r>
          </w:p>
        </w:tc>
        <w:tc>
          <w:tcPr>
            <w:tcW w:w="2268" w:type="dxa"/>
            <w:vAlign w:val="center"/>
          </w:tcPr>
          <w:p>
            <w:pPr>
              <w:pStyle w:val="15"/>
            </w:pPr>
            <w:r>
              <w:t>按协议书确定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资金按时发放率</w:t>
            </w:r>
          </w:p>
        </w:tc>
        <w:tc>
          <w:tcPr>
            <w:tcW w:w="2835" w:type="dxa"/>
            <w:vAlign w:val="center"/>
          </w:tcPr>
          <w:p>
            <w:pPr>
              <w:pStyle w:val="15"/>
            </w:pPr>
            <w:r>
              <w:t>按时发放季度占4个季度的比例</w:t>
            </w:r>
          </w:p>
        </w:tc>
        <w:tc>
          <w:tcPr>
            <w:tcW w:w="2551" w:type="dxa"/>
            <w:vAlign w:val="center"/>
          </w:tcPr>
          <w:p>
            <w:pPr>
              <w:pStyle w:val="15"/>
            </w:pPr>
            <w:r>
              <w:t>≥95%</w:t>
            </w:r>
          </w:p>
        </w:tc>
        <w:tc>
          <w:tcPr>
            <w:tcW w:w="2268" w:type="dxa"/>
            <w:vAlign w:val="center"/>
          </w:tcPr>
          <w:p>
            <w:pPr>
              <w:pStyle w:val="15"/>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工作完成时限</w:t>
            </w:r>
          </w:p>
        </w:tc>
        <w:tc>
          <w:tcPr>
            <w:tcW w:w="2835" w:type="dxa"/>
            <w:vAlign w:val="center"/>
          </w:tcPr>
          <w:p>
            <w:pPr>
              <w:pStyle w:val="15"/>
            </w:pPr>
            <w:r>
              <w:t>按时完成上级要求的各项工作</w:t>
            </w:r>
          </w:p>
        </w:tc>
        <w:tc>
          <w:tcPr>
            <w:tcW w:w="2551" w:type="dxa"/>
            <w:vAlign w:val="center"/>
          </w:tcPr>
          <w:p>
            <w:pPr>
              <w:pStyle w:val="15"/>
            </w:pPr>
            <w:r>
              <w:t>2023年底前完成</w:t>
            </w:r>
          </w:p>
        </w:tc>
        <w:tc>
          <w:tcPr>
            <w:tcW w:w="2268" w:type="dxa"/>
            <w:vAlign w:val="center"/>
          </w:tcPr>
          <w:p>
            <w:pPr>
              <w:pStyle w:val="15"/>
            </w:pPr>
            <w: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计生费使用成本</w:t>
            </w:r>
          </w:p>
        </w:tc>
        <w:tc>
          <w:tcPr>
            <w:tcW w:w="2835" w:type="dxa"/>
            <w:vAlign w:val="center"/>
          </w:tcPr>
          <w:p>
            <w:pPr>
              <w:pStyle w:val="15"/>
            </w:pPr>
            <w:r>
              <w:t>按年初预算和计划完成工作的成本</w:t>
            </w:r>
          </w:p>
        </w:tc>
        <w:tc>
          <w:tcPr>
            <w:tcW w:w="2551" w:type="dxa"/>
            <w:vAlign w:val="center"/>
          </w:tcPr>
          <w:p>
            <w:pPr>
              <w:pStyle w:val="15"/>
            </w:pPr>
            <w:r>
              <w:t>≤22150元/季度</w:t>
            </w:r>
          </w:p>
        </w:tc>
        <w:tc>
          <w:tcPr>
            <w:tcW w:w="2268" w:type="dxa"/>
            <w:vAlign w:val="center"/>
          </w:tcPr>
          <w:p>
            <w:pPr>
              <w:pStyle w:val="15"/>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良好的社会影响</w:t>
            </w:r>
          </w:p>
        </w:tc>
        <w:tc>
          <w:tcPr>
            <w:tcW w:w="2835" w:type="dxa"/>
            <w:vAlign w:val="center"/>
          </w:tcPr>
          <w:p>
            <w:pPr>
              <w:pStyle w:val="15"/>
            </w:pPr>
            <w:r>
              <w:t>良好的社会影响，和谐稳定</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发放时间</w:t>
            </w:r>
          </w:p>
        </w:tc>
        <w:tc>
          <w:tcPr>
            <w:tcW w:w="2835" w:type="dxa"/>
            <w:vAlign w:val="center"/>
          </w:tcPr>
          <w:p>
            <w:pPr>
              <w:pStyle w:val="15"/>
            </w:pPr>
            <w:r>
              <w:t>按时发放</w:t>
            </w:r>
          </w:p>
        </w:tc>
        <w:tc>
          <w:tcPr>
            <w:tcW w:w="2551" w:type="dxa"/>
            <w:vAlign w:val="center"/>
          </w:tcPr>
          <w:p>
            <w:pPr>
              <w:pStyle w:val="15"/>
            </w:pPr>
            <w:r>
              <w:t>每季度1次</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后遗症患者满意度</w:t>
            </w:r>
          </w:p>
        </w:tc>
        <w:tc>
          <w:tcPr>
            <w:tcW w:w="2835" w:type="dxa"/>
            <w:vAlign w:val="center"/>
          </w:tcPr>
          <w:p>
            <w:pPr>
              <w:pStyle w:val="15"/>
            </w:pPr>
            <w:r>
              <w:t>四术后遗症患者满意度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11、征兵工作经费绩效目标表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1.征兵工作各项支出，保障征兵工作顺利开展</w:t>
            </w:r>
          </w:p>
          <w:p>
            <w:pPr>
              <w:pStyle w:val="15"/>
            </w:pPr>
            <w:r>
              <w:t>2.保障征兵过程中的社会稳定</w:t>
            </w:r>
          </w:p>
          <w:p>
            <w:pPr>
              <w:pStyle w:val="15"/>
            </w:pPr>
            <w:r>
              <w:t>3.征兵宣传活动有序开展，宣传到位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征兵次数</w:t>
            </w:r>
          </w:p>
        </w:tc>
        <w:tc>
          <w:tcPr>
            <w:tcW w:w="2835" w:type="dxa"/>
            <w:vAlign w:val="center"/>
          </w:tcPr>
          <w:p>
            <w:pPr>
              <w:pStyle w:val="15"/>
            </w:pPr>
            <w:r>
              <w:t>开展征兵活动完成征兵任务</w:t>
            </w:r>
          </w:p>
        </w:tc>
        <w:tc>
          <w:tcPr>
            <w:tcW w:w="2551" w:type="dxa"/>
            <w:vAlign w:val="center"/>
          </w:tcPr>
          <w:p>
            <w:pPr>
              <w:pStyle w:val="15"/>
            </w:pPr>
            <w:r>
              <w:t>≥2次</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征兵质量</w:t>
            </w:r>
          </w:p>
        </w:tc>
        <w:tc>
          <w:tcPr>
            <w:tcW w:w="2835" w:type="dxa"/>
            <w:vAlign w:val="center"/>
          </w:tcPr>
          <w:p>
            <w:pPr>
              <w:pStyle w:val="15"/>
            </w:pPr>
            <w:r>
              <w:t>义务兵的优秀率</w:t>
            </w:r>
          </w:p>
        </w:tc>
        <w:tc>
          <w:tcPr>
            <w:tcW w:w="2551" w:type="dxa"/>
            <w:vAlign w:val="center"/>
          </w:tcPr>
          <w:p>
            <w:pPr>
              <w:pStyle w:val="15"/>
            </w:pPr>
            <w:r>
              <w:t>≥95%</w:t>
            </w:r>
          </w:p>
        </w:tc>
        <w:tc>
          <w:tcPr>
            <w:tcW w:w="2268" w:type="dxa"/>
            <w:vAlign w:val="center"/>
          </w:tcPr>
          <w:p>
            <w:pPr>
              <w:pStyle w:val="15"/>
            </w:pPr>
            <w:r>
              <w:t>工作标准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工作完成时间</w:t>
            </w:r>
          </w:p>
        </w:tc>
        <w:tc>
          <w:tcPr>
            <w:tcW w:w="2835" w:type="dxa"/>
            <w:vAlign w:val="center"/>
          </w:tcPr>
          <w:p>
            <w:pPr>
              <w:pStyle w:val="15"/>
            </w:pPr>
            <w:r>
              <w:t>根据上级要求,按时完成</w:t>
            </w:r>
          </w:p>
        </w:tc>
        <w:tc>
          <w:tcPr>
            <w:tcW w:w="2551" w:type="dxa"/>
            <w:vAlign w:val="center"/>
          </w:tcPr>
          <w:p>
            <w:pPr>
              <w:pStyle w:val="15"/>
            </w:pPr>
            <w:r>
              <w:t>2023年12月31日前完成</w:t>
            </w:r>
          </w:p>
        </w:tc>
        <w:tc>
          <w:tcPr>
            <w:tcW w:w="2268" w:type="dxa"/>
            <w:vAlign w:val="center"/>
          </w:tcPr>
          <w:p>
            <w:pPr>
              <w:pStyle w:val="15"/>
            </w:pPr>
            <w: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经费使用成本</w:t>
            </w:r>
          </w:p>
        </w:tc>
        <w:tc>
          <w:tcPr>
            <w:tcW w:w="2835" w:type="dxa"/>
            <w:vAlign w:val="center"/>
          </w:tcPr>
          <w:p>
            <w:pPr>
              <w:pStyle w:val="15"/>
            </w:pPr>
            <w:r>
              <w:t>征兵工作平均每月经费</w:t>
            </w:r>
          </w:p>
        </w:tc>
        <w:tc>
          <w:tcPr>
            <w:tcW w:w="2551" w:type="dxa"/>
            <w:vAlign w:val="center"/>
          </w:tcPr>
          <w:p>
            <w:pPr>
              <w:pStyle w:val="15"/>
            </w:pPr>
            <w:r>
              <w:t>≤2500元/月</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征兵工作有序开展，政策宣传到位</w:t>
            </w:r>
          </w:p>
        </w:tc>
        <w:tc>
          <w:tcPr>
            <w:tcW w:w="2551" w:type="dxa"/>
            <w:vAlign w:val="center"/>
          </w:tcPr>
          <w:p>
            <w:pPr>
              <w:pStyle w:val="15"/>
            </w:pPr>
            <w:r>
              <w:t>优</w:t>
            </w:r>
          </w:p>
        </w:tc>
        <w:tc>
          <w:tcPr>
            <w:tcW w:w="2268" w:type="dxa"/>
            <w:vAlign w:val="center"/>
          </w:tcPr>
          <w:p>
            <w:pPr>
              <w:pStyle w:val="15"/>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政策宣传程度</w:t>
            </w:r>
          </w:p>
        </w:tc>
        <w:tc>
          <w:tcPr>
            <w:tcW w:w="2835" w:type="dxa"/>
            <w:vAlign w:val="center"/>
          </w:tcPr>
          <w:p>
            <w:pPr>
              <w:pStyle w:val="15"/>
            </w:pPr>
            <w:r>
              <w:t>居民对政策了解清晰</w:t>
            </w:r>
          </w:p>
        </w:tc>
        <w:tc>
          <w:tcPr>
            <w:tcW w:w="2551" w:type="dxa"/>
            <w:vAlign w:val="center"/>
          </w:tcPr>
          <w:p>
            <w:pPr>
              <w:pStyle w:val="15"/>
            </w:pPr>
            <w:r>
              <w:t>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居民满意度</w:t>
            </w:r>
          </w:p>
        </w:tc>
        <w:tc>
          <w:tcPr>
            <w:tcW w:w="2835" w:type="dxa"/>
            <w:vAlign w:val="center"/>
          </w:tcPr>
          <w:p>
            <w:pPr>
              <w:pStyle w:val="15"/>
            </w:pPr>
            <w:r>
              <w:t>辖区居民满意度</w:t>
            </w:r>
          </w:p>
        </w:tc>
        <w:tc>
          <w:tcPr>
            <w:tcW w:w="2551" w:type="dxa"/>
            <w:vAlign w:val="center"/>
          </w:tcPr>
          <w:p>
            <w:pPr>
              <w:pStyle w:val="15"/>
            </w:pPr>
            <w:r>
              <w:t>≥95%</w:t>
            </w:r>
          </w:p>
        </w:tc>
        <w:tc>
          <w:tcPr>
            <w:tcW w:w="2268"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4" w:name="_Toc27769"/>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2023年，丰润区燕山路办事处安排政府采购预算0.00万元。具体内容见下表。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435丰润区燕山路办事处</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5" w:name="_Toc18645"/>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丰润区燕山路办事处（含所属单位）上年末固定资产金额为</w:t>
      </w:r>
      <w:r>
        <w:rPr>
          <w:rFonts w:hint="eastAsia" w:eastAsia="方正仿宋_GBK"/>
          <w:color w:val="000000"/>
          <w:sz w:val="28"/>
          <w:lang w:val="en-US" w:eastAsia="zh-CN"/>
        </w:rPr>
        <w:t>389.30</w:t>
      </w:r>
      <w:r>
        <w:rPr>
          <w:rFonts w:eastAsia="方正仿宋_GBK"/>
          <w:color w:val="000000"/>
          <w:sz w:val="28"/>
        </w:rPr>
        <w:t>万元（详见下表）。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rPr>
          <w:rFonts w:eastAsia="方正仿宋_GBK"/>
          <w:color w:val="000000"/>
          <w:sz w:val="28"/>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435丰润区燕山路办事处</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top"/>
          </w:tcPr>
          <w:p>
            <w:pPr>
              <w:snapToGrid w:val="0"/>
              <w:spacing w:line="588" w:lineRule="exact"/>
              <w:jc w:val="center"/>
            </w:pPr>
            <w:r>
              <w:rPr>
                <w:rFonts w:hint="eastAsia" w:ascii="仿宋" w:hAnsi="仿宋" w:eastAsia="仿宋"/>
                <w:sz w:val="32"/>
                <w:szCs w:val="32"/>
              </w:rPr>
              <w:t>资产总额</w:t>
            </w:r>
          </w:p>
        </w:tc>
        <w:tc>
          <w:tcPr>
            <w:tcW w:w="2835" w:type="dxa"/>
            <w:vAlign w:val="top"/>
          </w:tcPr>
          <w:p>
            <w:pPr>
              <w:snapToGrid w:val="0"/>
              <w:spacing w:line="588" w:lineRule="exact"/>
              <w:jc w:val="center"/>
            </w:pPr>
            <w:r>
              <w:rPr>
                <w:rFonts w:hint="eastAsia" w:ascii="宋体" w:hAnsi="宋体" w:cs="宋体"/>
                <w:sz w:val="32"/>
                <w:szCs w:val="32"/>
              </w:rPr>
              <w:t>－</w:t>
            </w:r>
          </w:p>
        </w:tc>
        <w:tc>
          <w:tcPr>
            <w:tcW w:w="2835" w:type="dxa"/>
            <w:vAlign w:val="top"/>
          </w:tcPr>
          <w:p>
            <w:pPr>
              <w:snapToGrid w:val="0"/>
              <w:spacing w:line="588" w:lineRule="exact"/>
              <w:jc w:val="center"/>
              <w:rPr>
                <w:rFonts w:hint="default" w:eastAsia="宋体"/>
                <w:lang w:val="en-US" w:eastAsia="zh-CN"/>
              </w:rPr>
            </w:pPr>
            <w:r>
              <w:rPr>
                <w:rFonts w:hint="eastAsia" w:ascii="仿宋" w:hAnsi="仿宋" w:eastAsia="仿宋"/>
                <w:sz w:val="32"/>
                <w:szCs w:val="32"/>
                <w:lang w:val="en-US" w:eastAsia="zh-CN"/>
              </w:rPr>
              <w:t>389.30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1、房屋（平方米）</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2691</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lang w:val="en-US" w:eastAsia="zh-CN"/>
              </w:rPr>
              <w:t>161.54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2、车辆（台、辆）</w:t>
            </w:r>
          </w:p>
        </w:tc>
        <w:tc>
          <w:tcPr>
            <w:tcW w:w="2835" w:type="dxa"/>
            <w:vAlign w:val="top"/>
          </w:tcPr>
          <w:p>
            <w:pPr>
              <w:snapToGrid w:val="0"/>
              <w:spacing w:line="588" w:lineRule="exact"/>
              <w:jc w:val="center"/>
              <w:rPr>
                <w:rFonts w:hint="eastAsia" w:eastAsia="方正书宋_GBK"/>
                <w:lang w:val="en-US" w:eastAsia="zh-CN"/>
              </w:rPr>
            </w:pPr>
            <w:r>
              <w:rPr>
                <w:rFonts w:hint="eastAsia" w:ascii="仿宋" w:hAnsi="仿宋" w:eastAsia="仿宋"/>
                <w:sz w:val="32"/>
                <w:szCs w:val="32"/>
              </w:rPr>
              <w:t>2</w:t>
            </w:r>
          </w:p>
        </w:tc>
        <w:tc>
          <w:tcPr>
            <w:tcW w:w="2835" w:type="dxa"/>
            <w:vAlign w:val="top"/>
          </w:tcPr>
          <w:p>
            <w:pPr>
              <w:snapToGrid w:val="0"/>
              <w:spacing w:line="588" w:lineRule="exact"/>
              <w:jc w:val="center"/>
              <w:rPr>
                <w:rFonts w:hint="default" w:eastAsia="方正书宋_GBK"/>
                <w:lang w:val="en-US" w:eastAsia="zh-CN"/>
              </w:rPr>
            </w:pPr>
            <w:r>
              <w:rPr>
                <w:rFonts w:hint="eastAsia" w:ascii="仿宋" w:hAnsi="仿宋" w:eastAsia="仿宋"/>
                <w:sz w:val="32"/>
                <w:szCs w:val="32"/>
              </w:rPr>
              <w:t>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24"/>
                <w:szCs w:val="24"/>
              </w:rPr>
              <w:t>3、单价在20万元以上设备</w:t>
            </w:r>
          </w:p>
        </w:tc>
        <w:tc>
          <w:tcPr>
            <w:tcW w:w="2835" w:type="dxa"/>
            <w:vAlign w:val="top"/>
          </w:tcPr>
          <w:p>
            <w:pPr>
              <w:snapToGrid w:val="0"/>
              <w:spacing w:line="588" w:lineRule="exact"/>
              <w:jc w:val="center"/>
              <w:rPr>
                <w:rFonts w:hint="default" w:eastAsia="方正书宋_GBK"/>
                <w:lang w:val="en-US" w:eastAsia="zh-CN"/>
              </w:rPr>
            </w:pPr>
            <w:r>
              <w:rPr>
                <w:rFonts w:hint="eastAsia" w:ascii="宋体" w:hAnsi="宋体" w:cs="宋体"/>
                <w:sz w:val="32"/>
                <w:szCs w:val="32"/>
              </w:rPr>
              <w:t>－</w:t>
            </w:r>
          </w:p>
        </w:tc>
        <w:tc>
          <w:tcPr>
            <w:tcW w:w="2835" w:type="dxa"/>
            <w:vAlign w:val="top"/>
          </w:tcPr>
          <w:p>
            <w:pPr>
              <w:snapToGrid w:val="0"/>
              <w:spacing w:line="588" w:lineRule="exact"/>
              <w:jc w:val="center"/>
              <w:rPr>
                <w:rFonts w:hint="eastAsia" w:eastAsia="方正书宋_GBK"/>
                <w:lang w:val="en-US" w:eastAsia="zh-CN"/>
              </w:rPr>
            </w:pPr>
            <w:r>
              <w:rPr>
                <w:rFonts w:hint="eastAsia" w:ascii="仿宋" w:hAnsi="仿宋" w:eastAsia="仿宋"/>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top"/>
          </w:tcPr>
          <w:p>
            <w:pPr>
              <w:snapToGrid w:val="0"/>
              <w:spacing w:line="588" w:lineRule="exact"/>
              <w:jc w:val="left"/>
              <w:rPr>
                <w:rFonts w:hint="eastAsia" w:eastAsia="方正书宋_GBK"/>
                <w:lang w:eastAsia="zh-CN"/>
              </w:rPr>
            </w:pPr>
            <w:r>
              <w:rPr>
                <w:rFonts w:hint="eastAsia" w:ascii="仿宋" w:hAnsi="仿宋" w:eastAsia="仿宋"/>
                <w:sz w:val="32"/>
                <w:szCs w:val="32"/>
              </w:rPr>
              <w:t>4、其他固定资产</w:t>
            </w:r>
          </w:p>
        </w:tc>
        <w:tc>
          <w:tcPr>
            <w:tcW w:w="2835" w:type="dxa"/>
            <w:vAlign w:val="top"/>
          </w:tcPr>
          <w:p>
            <w:pPr>
              <w:snapToGrid w:val="0"/>
              <w:spacing w:line="588" w:lineRule="exact"/>
              <w:jc w:val="center"/>
              <w:rPr>
                <w:rFonts w:hint="default" w:eastAsia="方正书宋_GBK"/>
                <w:lang w:val="en-US" w:eastAsia="zh-CN"/>
              </w:rPr>
            </w:pPr>
            <w:r>
              <w:rPr>
                <w:rFonts w:hint="eastAsia" w:ascii="宋体" w:hAnsi="宋体" w:cs="宋体"/>
                <w:sz w:val="32"/>
                <w:szCs w:val="32"/>
              </w:rPr>
              <w:t>－</w:t>
            </w:r>
          </w:p>
        </w:tc>
        <w:tc>
          <w:tcPr>
            <w:tcW w:w="2835" w:type="dxa"/>
            <w:vAlign w:val="top"/>
          </w:tcPr>
          <w:p>
            <w:pPr>
              <w:snapToGrid w:val="0"/>
              <w:spacing w:line="588" w:lineRule="exact"/>
              <w:jc w:val="center"/>
              <w:rPr>
                <w:rFonts w:hint="default" w:eastAsia="仿宋"/>
                <w:lang w:val="en-US" w:eastAsia="zh-CN"/>
              </w:rPr>
            </w:pPr>
            <w:r>
              <w:rPr>
                <w:rFonts w:hint="eastAsia" w:ascii="仿宋" w:hAnsi="仿宋" w:eastAsia="仿宋"/>
                <w:sz w:val="32"/>
                <w:szCs w:val="32"/>
                <w:lang w:val="en-US" w:eastAsia="zh-CN"/>
              </w:rPr>
              <w:t>198.98</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5176"/>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本</w:t>
      </w:r>
      <w:r>
        <w:rPr>
          <w:rFonts w:eastAsia="方正仿宋_GBK"/>
          <w:color w:val="000000"/>
          <w:sz w:val="28"/>
        </w:rPr>
        <w:t>级财政预算管理的“三公”经费，是指</w:t>
      </w:r>
      <w:r>
        <w:rPr>
          <w:rFonts w:hint="eastAsia" w:eastAsia="方正仿宋_GBK"/>
          <w:color w:val="000000"/>
          <w:sz w:val="28"/>
          <w:lang w:val="en-US"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p>
    <w:p>
      <w:pPr>
        <w:spacing w:before="10" w:after="10"/>
        <w:ind w:firstLine="640" w:firstLineChars="200"/>
        <w:outlineLvl w:val="2"/>
      </w:pPr>
      <w:bookmarkStart w:id="17" w:name="_Toc20767"/>
      <w:r>
        <w:rPr>
          <w:rFonts w:ascii="黑体" w:hAnsi="黑体" w:eastAsia="黑体" w:cs="黑体"/>
          <w:color w:val="000000"/>
          <w:sz w:val="32"/>
        </w:rPr>
        <w:t>九、其他需要说明的事项</w:t>
      </w:r>
      <w:bookmarkEnd w:id="17"/>
    </w:p>
    <w:p>
      <w:pPr>
        <w:ind w:firstLine="560" w:firstLineChars="200"/>
        <w:jc w:val="both"/>
        <w:rPr>
          <w:rFonts w:eastAsia="方正仿宋_GBK"/>
          <w:color w:val="000000"/>
          <w:sz w:val="28"/>
        </w:rPr>
      </w:pPr>
    </w:p>
    <w:p>
      <w:pPr>
        <w:ind w:firstLine="560" w:firstLineChars="200"/>
        <w:jc w:val="both"/>
        <w:rPr>
          <w:rFonts w:hint="eastAsia" w:eastAsia="宋体"/>
          <w:lang w:val="en-US" w:eastAsia="zh-CN"/>
        </w:rPr>
      </w:pPr>
      <w:r>
        <w:rPr>
          <w:rFonts w:eastAsia="方正仿宋_GBK"/>
          <w:color w:val="000000"/>
          <w:sz w:val="28"/>
        </w:rPr>
        <w:t>我部门无其他需要说明的</w:t>
      </w:r>
    </w:p>
    <w:sectPr>
      <w:headerReference r:id="rId11" w:type="default"/>
      <w:footerReference r:id="rId12" w:type="default"/>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61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62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9" o:spid="_x0000_s4099"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48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1" o:spid="_x0000_s4101"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MjYxNGZhYWFmN2QwYmJjMjQ2NzBkOGZhMmE4NTliM2QifQ=="/>
  </w:docVars>
  <w:rsids>
    <w:rsidRoot w:val="001563AD"/>
    <w:rsid w:val="001563AD"/>
    <w:rsid w:val="00637BD1"/>
    <w:rsid w:val="00C02060"/>
    <w:rsid w:val="0742641A"/>
    <w:rsid w:val="0D877CC3"/>
    <w:rsid w:val="1E1D0DE0"/>
    <w:rsid w:val="3C2F3532"/>
    <w:rsid w:val="3EA74939"/>
    <w:rsid w:val="531D20B0"/>
    <w:rsid w:val="6A67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semiHidden/>
    <w:unhideWhenUsed/>
    <w:qFormat/>
    <w:uiPriority w:val="39"/>
    <w:pPr>
      <w:ind w:left="840" w:leftChars="40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autoRedefine/>
    <w:semiHidden/>
    <w:unhideWhenUsed/>
    <w:qFormat/>
    <w:uiPriority w:val="39"/>
    <w:pPr>
      <w:ind w:left="1260" w:leftChars="600"/>
    </w:pPr>
  </w:style>
  <w:style w:type="paragraph" w:styleId="6">
    <w:name w:val="toc 2"/>
    <w:basedOn w:val="1"/>
    <w:next w:val="1"/>
    <w:autoRedefine/>
    <w:semiHidden/>
    <w:unhideWhenUsed/>
    <w:qFormat/>
    <w:uiPriority w:val="39"/>
    <w:pPr>
      <w:ind w:left="420" w:leftChars="20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2">
    <w:name w:val="TOC 2"/>
    <w:basedOn w:val="1"/>
    <w:autoRedefine/>
    <w:qFormat/>
    <w:uiPriority w:val="0"/>
    <w:pPr>
      <w:ind w:left="240"/>
    </w:pPr>
  </w:style>
  <w:style w:type="paragraph" w:customStyle="1" w:styleId="33">
    <w:name w:val="TOC 3"/>
    <w:basedOn w:val="1"/>
    <w:autoRedefine/>
    <w:qFormat/>
    <w:uiPriority w:val="0"/>
    <w:pPr>
      <w:ind w:left="480"/>
    </w:pPr>
  </w:style>
  <w:style w:type="paragraph" w:customStyle="1" w:styleId="34">
    <w:name w:val="TOC 4"/>
    <w:basedOn w:val="1"/>
    <w:autoRedefine/>
    <w:qFormat/>
    <w:uiPriority w:val="0"/>
    <w:pPr>
      <w:ind w:left="720"/>
    </w:pPr>
  </w:style>
  <w:style w:type="paragraph" w:customStyle="1" w:styleId="35">
    <w:name w:val="TOC 1"/>
    <w:basedOn w:val="1"/>
    <w:autoRedefine/>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9" Type="http://schemas.openxmlformats.org/officeDocument/2006/relationships/fontTable" Target="fontTable.xml"/><Relationship Id="rId68" Type="http://schemas.openxmlformats.org/officeDocument/2006/relationships/customXml" Target="../customXml/item55.xml"/><Relationship Id="rId67" Type="http://schemas.openxmlformats.org/officeDocument/2006/relationships/customXml" Target="../customXml/item54.xml"/><Relationship Id="rId66" Type="http://schemas.openxmlformats.org/officeDocument/2006/relationships/customXml" Target="../customXml/item53.xml"/><Relationship Id="rId65" Type="http://schemas.openxmlformats.org/officeDocument/2006/relationships/customXml" Target="../customXml/item52.xml"/><Relationship Id="rId64" Type="http://schemas.openxmlformats.org/officeDocument/2006/relationships/customXml" Target="../customXml/item51.xml"/><Relationship Id="rId63" Type="http://schemas.openxmlformats.org/officeDocument/2006/relationships/customXml" Target="../customXml/item50.xml"/><Relationship Id="rId62" Type="http://schemas.openxmlformats.org/officeDocument/2006/relationships/customXml" Target="../customXml/item49.xml"/><Relationship Id="rId61" Type="http://schemas.openxmlformats.org/officeDocument/2006/relationships/customXml" Target="../customXml/item48.xml"/><Relationship Id="rId60" Type="http://schemas.openxmlformats.org/officeDocument/2006/relationships/customXml" Target="../customXml/item47.xml"/><Relationship Id="rId6" Type="http://schemas.openxmlformats.org/officeDocument/2006/relationships/footer" Target="footer4.xml"/><Relationship Id="rId59" Type="http://schemas.openxmlformats.org/officeDocument/2006/relationships/customXml" Target="../customXml/item46.xml"/><Relationship Id="rId58" Type="http://schemas.openxmlformats.org/officeDocument/2006/relationships/customXml" Target="../customXml/item45.xml"/><Relationship Id="rId57" Type="http://schemas.openxmlformats.org/officeDocument/2006/relationships/customXml" Target="../customXml/item44.xml"/><Relationship Id="rId56" Type="http://schemas.openxmlformats.org/officeDocument/2006/relationships/customXml" Target="../customXml/item43.xml"/><Relationship Id="rId55" Type="http://schemas.openxmlformats.org/officeDocument/2006/relationships/customXml" Target="../customXml/item42.xml"/><Relationship Id="rId54" Type="http://schemas.openxmlformats.org/officeDocument/2006/relationships/customXml" Target="../customXml/item41.xml"/><Relationship Id="rId53" Type="http://schemas.openxmlformats.org/officeDocument/2006/relationships/customXml" Target="../customXml/item40.xml"/><Relationship Id="rId52" Type="http://schemas.openxmlformats.org/officeDocument/2006/relationships/customXml" Target="../customXml/item39.xml"/><Relationship Id="rId51" Type="http://schemas.openxmlformats.org/officeDocument/2006/relationships/customXml" Target="../customXml/item38.xml"/><Relationship Id="rId50" Type="http://schemas.openxmlformats.org/officeDocument/2006/relationships/customXml" Target="../customXml/item37.xml"/><Relationship Id="rId5" Type="http://schemas.openxmlformats.org/officeDocument/2006/relationships/footer" Target="footer3.xml"/><Relationship Id="rId49" Type="http://schemas.openxmlformats.org/officeDocument/2006/relationships/customXml" Target="../customXml/item36.xml"/><Relationship Id="rId48" Type="http://schemas.openxmlformats.org/officeDocument/2006/relationships/customXml" Target="../customXml/item35.xml"/><Relationship Id="rId47" Type="http://schemas.openxmlformats.org/officeDocument/2006/relationships/customXml" Target="../customXml/item34.xml"/><Relationship Id="rId46" Type="http://schemas.openxmlformats.org/officeDocument/2006/relationships/customXml" Target="../customXml/item33.xml"/><Relationship Id="rId45" Type="http://schemas.openxmlformats.org/officeDocument/2006/relationships/customXml" Target="../customXml/item32.xml"/><Relationship Id="rId44" Type="http://schemas.openxmlformats.org/officeDocument/2006/relationships/customXml" Target="../customXml/item31.xml"/><Relationship Id="rId43" Type="http://schemas.openxmlformats.org/officeDocument/2006/relationships/customXml" Target="../customXml/item30.xml"/><Relationship Id="rId42" Type="http://schemas.openxmlformats.org/officeDocument/2006/relationships/customXml" Target="../customXml/item29.xml"/><Relationship Id="rId41" Type="http://schemas.openxmlformats.org/officeDocument/2006/relationships/customXml" Target="../customXml/item28.xml"/><Relationship Id="rId40" Type="http://schemas.openxmlformats.org/officeDocument/2006/relationships/customXml" Target="../customXml/item27.xml"/><Relationship Id="rId4" Type="http://schemas.openxmlformats.org/officeDocument/2006/relationships/footer" Target="footer2.xml"/><Relationship Id="rId39" Type="http://schemas.openxmlformats.org/officeDocument/2006/relationships/customXml" Target="../customXml/item26.xml"/><Relationship Id="rId38" Type="http://schemas.openxmlformats.org/officeDocument/2006/relationships/customXml" Target="../customXml/item25.xml"/><Relationship Id="rId37" Type="http://schemas.openxmlformats.org/officeDocument/2006/relationships/customXml" Target="../customXml/item24.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er" Target="foot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2023-03-09T17:20:38Z</dcterms:created>
  <dcterms:modified xsi:type="dcterms:W3CDTF">2023-03-09T09:20:38Z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2023-03-09T17:20:39Z</dcterms:created>
  <dcterms:modified xsi:type="dcterms:W3CDTF">2023-03-09T09:20:39Z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2023-03-09T17:20:37Z</dcterms:created>
  <dcterms:modified xsi:type="dcterms:W3CDTF">2023-03-09T09:20:37Z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2023-03-09T17:20:48Z</dcterms:created>
  <dcterms:modified xsi:type="dcterms:W3CDTF">2023-03-09T09:20:48Z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2023-03-09T17:20:38Z</dcterms:created>
  <dcterms:modified xsi:type="dcterms:W3CDTF">2023-03-09T09:20:38Z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2023-03-09T17:20:47Z</dcterms:created>
  <dcterms:modified xsi:type="dcterms:W3CDTF">2023-03-09T09:20:47Z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2023-03-09T17:20:46Z</dcterms:created>
  <dcterms:modified xsi:type="dcterms:W3CDTF">2023-03-09T09:20:46Z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2023-03-09T17:20:46Z</dcterms:created>
  <dcterms:modified xsi:type="dcterms:W3CDTF">2023-03-09T09:20:46Z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2023-03-09T17:20:40Z</dcterms:created>
  <dcterms:modified xsi:type="dcterms:W3CDTF">2023-03-09T09:20:40Z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2023-03-09T17:20:46Z</dcterms:created>
  <dcterms:modified xsi:type="dcterms:W3CDTF">2023-03-09T09:20:45Z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2023-03-09T17:20:39Z</dcterms:created>
  <dcterms:modified xsi:type="dcterms:W3CDTF">2023-03-09T09:20:39Z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2023-03-09T17:20:47Z</dcterms:created>
  <dcterms:modified xsi:type="dcterms:W3CDTF">2023-03-09T09:20:47Z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2023-03-09T17:20:37Z</dcterms:created>
  <dcterms:modified xsi:type="dcterms:W3CDTF">2023-03-09T09:20:37Z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2023-03-09T17:20:47Z</dcterms:created>
  <dcterms:modified xsi:type="dcterms:W3CDTF">2023-03-09T09:20:47Z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2023-03-09T17:20:39Z</dcterms:created>
  <dcterms:modified xsi:type="dcterms:W3CDTF">2023-03-09T09:20:39Z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2023-03-09T17:20:38Z</dcterms:created>
  <dcterms:modified xsi:type="dcterms:W3CDTF">2023-03-09T09:20:38Z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2023-03-09T17:20:48Z</dcterms:created>
  <dcterms:modified xsi:type="dcterms:W3CDTF">2023-03-09T09:20:48Z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2023-03-09T17:20:47Z</dcterms:created>
  <dcterms:modified xsi:type="dcterms:W3CDTF">2023-03-09T09:20:47Z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2023-03-09T17:20:46Z</dcterms:created>
  <dcterms:modified xsi:type="dcterms:W3CDTF">2023-03-09T09:20:46Z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2023-03-09T17:20:38Z</dcterms:created>
  <dcterms:modified xsi:type="dcterms:W3CDTF">2023-03-09T09:20:38Z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2023-03-09T17:20:34Z</dcterms:created>
  <dcterms:modified xsi:type="dcterms:W3CDTF">2023-03-09T09:20:34Z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2023-03-09T17:20:47Z</dcterms:created>
  <dcterms:modified xsi:type="dcterms:W3CDTF">2023-03-09T09:20:47Z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2023-03-09T17:20:44Z</dcterms:created>
  <dcterms:modified xsi:type="dcterms:W3CDTF">2023-03-09T09:20:44Z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2023-03-09T17:20:37Z</dcterms:created>
  <dcterms:modified xsi:type="dcterms:W3CDTF">2023-03-09T09:20:37Z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2023-03-09T17:20:38Z</dcterms:created>
  <dcterms:modified xsi:type="dcterms:W3CDTF">2023-03-09T09:20:38Z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2023-03-09T17:20:46Z</dcterms:created>
  <dcterms:modified xsi:type="dcterms:W3CDTF">2023-03-09T09:20:46Z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2023-03-09T17:20:39Z</dcterms:created>
  <dcterms:modified xsi:type="dcterms:W3CDTF">2023-03-09T09:20:39Z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5F4113D-3534-40AC-86FE-22061DBDECA1}">
  <ds:schemaRefs/>
</ds:datastoreItem>
</file>

<file path=customXml/itemProps11.xml><?xml version="1.0" encoding="utf-8"?>
<ds:datastoreItem xmlns:ds="http://schemas.openxmlformats.org/officeDocument/2006/customXml" ds:itemID="{C2CCDC50-A0E8-4A20-BFED-C7D280DF6873}">
  <ds:schemaRefs/>
</ds:datastoreItem>
</file>

<file path=customXml/itemProps12.xml><?xml version="1.0" encoding="utf-8"?>
<ds:datastoreItem xmlns:ds="http://schemas.openxmlformats.org/officeDocument/2006/customXml" ds:itemID="{85284E12-29BF-4971-A915-054BA5126074}">
  <ds:schemaRefs/>
</ds:datastoreItem>
</file>

<file path=customXml/itemProps13.xml><?xml version="1.0" encoding="utf-8"?>
<ds:datastoreItem xmlns:ds="http://schemas.openxmlformats.org/officeDocument/2006/customXml" ds:itemID="{D81ADF75-1DB4-4AAF-B382-66164F8E9D99}">
  <ds:schemaRefs/>
</ds:datastoreItem>
</file>

<file path=customXml/itemProps14.xml><?xml version="1.0" encoding="utf-8"?>
<ds:datastoreItem xmlns:ds="http://schemas.openxmlformats.org/officeDocument/2006/customXml" ds:itemID="{2292EF0C-DAD8-4265-A3AC-6327C568AB79}">
  <ds:schemaRefs/>
</ds:datastoreItem>
</file>

<file path=customXml/itemProps15.xml><?xml version="1.0" encoding="utf-8"?>
<ds:datastoreItem xmlns:ds="http://schemas.openxmlformats.org/officeDocument/2006/customXml" ds:itemID="{5AAE88E6-1B1B-45AF-B1DF-79AA6BF8639D}">
  <ds:schemaRefs/>
</ds:datastoreItem>
</file>

<file path=customXml/itemProps16.xml><?xml version="1.0" encoding="utf-8"?>
<ds:datastoreItem xmlns:ds="http://schemas.openxmlformats.org/officeDocument/2006/customXml" ds:itemID="{3C5966A8-3C8E-4C62-9F0F-D1815EA1B61A}">
  <ds:schemaRefs/>
</ds:datastoreItem>
</file>

<file path=customXml/itemProps17.xml><?xml version="1.0" encoding="utf-8"?>
<ds:datastoreItem xmlns:ds="http://schemas.openxmlformats.org/officeDocument/2006/customXml" ds:itemID="{86B745AA-4784-436A-9470-9E21C78B89F6}">
  <ds:schemaRefs/>
</ds:datastoreItem>
</file>

<file path=customXml/itemProps18.xml><?xml version="1.0" encoding="utf-8"?>
<ds:datastoreItem xmlns:ds="http://schemas.openxmlformats.org/officeDocument/2006/customXml" ds:itemID="{98AE83D4-EADD-4D9A-B973-886A482FD56D}">
  <ds:schemaRefs/>
</ds:datastoreItem>
</file>

<file path=customXml/itemProps19.xml><?xml version="1.0" encoding="utf-8"?>
<ds:datastoreItem xmlns:ds="http://schemas.openxmlformats.org/officeDocument/2006/customXml" ds:itemID="{53E2B709-2A05-457D-870C-C752270B090D}">
  <ds:schemaRefs/>
</ds:datastoreItem>
</file>

<file path=customXml/itemProps2.xml><?xml version="1.0" encoding="utf-8"?>
<ds:datastoreItem xmlns:ds="http://schemas.openxmlformats.org/officeDocument/2006/customXml" ds:itemID="{197DD973-972B-4DD4-812A-8D4B6502443D}">
  <ds:schemaRefs/>
</ds:datastoreItem>
</file>

<file path=customXml/itemProps20.xml><?xml version="1.0" encoding="utf-8"?>
<ds:datastoreItem xmlns:ds="http://schemas.openxmlformats.org/officeDocument/2006/customXml" ds:itemID="{3D4D1D94-9574-4101-932D-2A9E4748DB7B}">
  <ds:schemaRefs/>
</ds:datastoreItem>
</file>

<file path=customXml/itemProps21.xml><?xml version="1.0" encoding="utf-8"?>
<ds:datastoreItem xmlns:ds="http://schemas.openxmlformats.org/officeDocument/2006/customXml" ds:itemID="{2DC32DF4-707D-448D-8047-5B053EB2E3E7}">
  <ds:schemaRefs/>
</ds:datastoreItem>
</file>

<file path=customXml/itemProps22.xml><?xml version="1.0" encoding="utf-8"?>
<ds:datastoreItem xmlns:ds="http://schemas.openxmlformats.org/officeDocument/2006/customXml" ds:itemID="{4661A110-62C8-422A-BB1C-3A7A0ADBB0F0}">
  <ds:schemaRefs/>
</ds:datastoreItem>
</file>

<file path=customXml/itemProps23.xml><?xml version="1.0" encoding="utf-8"?>
<ds:datastoreItem xmlns:ds="http://schemas.openxmlformats.org/officeDocument/2006/customXml" ds:itemID="{064E57F8-1BDF-4031-AA90-43130CE74B1C}">
  <ds:schemaRefs/>
</ds:datastoreItem>
</file>

<file path=customXml/itemProps24.xml><?xml version="1.0" encoding="utf-8"?>
<ds:datastoreItem xmlns:ds="http://schemas.openxmlformats.org/officeDocument/2006/customXml" ds:itemID="{E022974B-E766-4C7C-A420-7ECD7B70651A}">
  <ds:schemaRefs/>
</ds:datastoreItem>
</file>

<file path=customXml/itemProps25.xml><?xml version="1.0" encoding="utf-8"?>
<ds:datastoreItem xmlns:ds="http://schemas.openxmlformats.org/officeDocument/2006/customXml" ds:itemID="{DA4DA43E-8686-49FB-A892-C1340D785BA1}">
  <ds:schemaRefs/>
</ds:datastoreItem>
</file>

<file path=customXml/itemProps26.xml><?xml version="1.0" encoding="utf-8"?>
<ds:datastoreItem xmlns:ds="http://schemas.openxmlformats.org/officeDocument/2006/customXml" ds:itemID="{C18C7643-BDCF-4FAF-B4C4-51364AA5C4DA}">
  <ds:schemaRefs/>
</ds:datastoreItem>
</file>

<file path=customXml/itemProps27.xml><?xml version="1.0" encoding="utf-8"?>
<ds:datastoreItem xmlns:ds="http://schemas.openxmlformats.org/officeDocument/2006/customXml" ds:itemID="{E8D82365-2694-4C87-BD96-F209909000D0}">
  <ds:schemaRefs/>
</ds:datastoreItem>
</file>

<file path=customXml/itemProps28.xml><?xml version="1.0" encoding="utf-8"?>
<ds:datastoreItem xmlns:ds="http://schemas.openxmlformats.org/officeDocument/2006/customXml" ds:itemID="{C0007431-D287-44CB-82CB-C059E81C6330}">
  <ds:schemaRefs/>
</ds:datastoreItem>
</file>

<file path=customXml/itemProps29.xml><?xml version="1.0" encoding="utf-8"?>
<ds:datastoreItem xmlns:ds="http://schemas.openxmlformats.org/officeDocument/2006/customXml" ds:itemID="{6F4F901A-6063-4A74-9C35-A9B946A8C292}">
  <ds:schemaRefs/>
</ds:datastoreItem>
</file>

<file path=customXml/itemProps3.xml><?xml version="1.0" encoding="utf-8"?>
<ds:datastoreItem xmlns:ds="http://schemas.openxmlformats.org/officeDocument/2006/customXml" ds:itemID="{7171DF72-9FD2-4470-9A74-152C9EAD16C9}">
  <ds:schemaRefs/>
</ds:datastoreItem>
</file>

<file path=customXml/itemProps30.xml><?xml version="1.0" encoding="utf-8"?>
<ds:datastoreItem xmlns:ds="http://schemas.openxmlformats.org/officeDocument/2006/customXml" ds:itemID="{FC95A644-44EE-432B-AA3C-D8D8161CCEDE}">
  <ds:schemaRefs/>
</ds:datastoreItem>
</file>

<file path=customXml/itemProps31.xml><?xml version="1.0" encoding="utf-8"?>
<ds:datastoreItem xmlns:ds="http://schemas.openxmlformats.org/officeDocument/2006/customXml" ds:itemID="{FEB9F3EA-698F-4526-B157-C930666C8C89}">
  <ds:schemaRefs/>
</ds:datastoreItem>
</file>

<file path=customXml/itemProps32.xml><?xml version="1.0" encoding="utf-8"?>
<ds:datastoreItem xmlns:ds="http://schemas.openxmlformats.org/officeDocument/2006/customXml" ds:itemID="{BB168C99-31C6-46AF-B2A6-B5A7E3F47168}">
  <ds:schemaRefs/>
</ds:datastoreItem>
</file>

<file path=customXml/itemProps33.xml><?xml version="1.0" encoding="utf-8"?>
<ds:datastoreItem xmlns:ds="http://schemas.openxmlformats.org/officeDocument/2006/customXml" ds:itemID="{89AECB99-6BC4-4241-A07A-E2A22DD7DA5B}">
  <ds:schemaRefs/>
</ds:datastoreItem>
</file>

<file path=customXml/itemProps34.xml><?xml version="1.0" encoding="utf-8"?>
<ds:datastoreItem xmlns:ds="http://schemas.openxmlformats.org/officeDocument/2006/customXml" ds:itemID="{F1C98098-3F3C-443E-8E4C-C100E15A4950}">
  <ds:schemaRefs/>
</ds:datastoreItem>
</file>

<file path=customXml/itemProps35.xml><?xml version="1.0" encoding="utf-8"?>
<ds:datastoreItem xmlns:ds="http://schemas.openxmlformats.org/officeDocument/2006/customXml" ds:itemID="{AA7AE3B2-2E29-493D-BF90-2C399D261025}">
  <ds:schemaRefs/>
</ds:datastoreItem>
</file>

<file path=customXml/itemProps36.xml><?xml version="1.0" encoding="utf-8"?>
<ds:datastoreItem xmlns:ds="http://schemas.openxmlformats.org/officeDocument/2006/customXml" ds:itemID="{38BBB50E-1374-44B1-85BB-10FB4C2D0F23}">
  <ds:schemaRefs/>
</ds:datastoreItem>
</file>

<file path=customXml/itemProps37.xml><?xml version="1.0" encoding="utf-8"?>
<ds:datastoreItem xmlns:ds="http://schemas.openxmlformats.org/officeDocument/2006/customXml" ds:itemID="{582F910F-23AB-4B84-B10A-82C049F082FB}">
  <ds:schemaRefs/>
</ds:datastoreItem>
</file>

<file path=customXml/itemProps38.xml><?xml version="1.0" encoding="utf-8"?>
<ds:datastoreItem xmlns:ds="http://schemas.openxmlformats.org/officeDocument/2006/customXml" ds:itemID="{61F4E96F-8740-458B-915F-1F55F8AF3F3D}">
  <ds:schemaRefs/>
</ds:datastoreItem>
</file>

<file path=customXml/itemProps39.xml><?xml version="1.0" encoding="utf-8"?>
<ds:datastoreItem xmlns:ds="http://schemas.openxmlformats.org/officeDocument/2006/customXml" ds:itemID="{3F1A7F38-5D18-44B9-A6E5-CC3C718068F1}">
  <ds:schemaRefs/>
</ds:datastoreItem>
</file>

<file path=customXml/itemProps4.xml><?xml version="1.0" encoding="utf-8"?>
<ds:datastoreItem xmlns:ds="http://schemas.openxmlformats.org/officeDocument/2006/customXml" ds:itemID="{4D3FE3AF-457C-49F0-91BA-ABAF9A9079E6}">
  <ds:schemaRefs/>
</ds:datastoreItem>
</file>

<file path=customXml/itemProps40.xml><?xml version="1.0" encoding="utf-8"?>
<ds:datastoreItem xmlns:ds="http://schemas.openxmlformats.org/officeDocument/2006/customXml" ds:itemID="{4AA67D83-EC59-4DF7-B39E-A8F38C938EE0}">
  <ds:schemaRefs/>
</ds:datastoreItem>
</file>

<file path=customXml/itemProps41.xml><?xml version="1.0" encoding="utf-8"?>
<ds:datastoreItem xmlns:ds="http://schemas.openxmlformats.org/officeDocument/2006/customXml" ds:itemID="{26582C83-F3E6-4EC9-9887-845B5034D4C7}">
  <ds:schemaRefs/>
</ds:datastoreItem>
</file>

<file path=customXml/itemProps42.xml><?xml version="1.0" encoding="utf-8"?>
<ds:datastoreItem xmlns:ds="http://schemas.openxmlformats.org/officeDocument/2006/customXml" ds:itemID="{1CABBAB4-34AA-4624-B378-D5477875200E}">
  <ds:schemaRefs/>
</ds:datastoreItem>
</file>

<file path=customXml/itemProps43.xml><?xml version="1.0" encoding="utf-8"?>
<ds:datastoreItem xmlns:ds="http://schemas.openxmlformats.org/officeDocument/2006/customXml" ds:itemID="{34F64C9D-E228-40FA-B6A1-58413C61FA0E}">
  <ds:schemaRefs/>
</ds:datastoreItem>
</file>

<file path=customXml/itemProps44.xml><?xml version="1.0" encoding="utf-8"?>
<ds:datastoreItem xmlns:ds="http://schemas.openxmlformats.org/officeDocument/2006/customXml" ds:itemID="{44120524-A04F-4E29-A9BA-0C3C3D773B94}">
  <ds:schemaRefs/>
</ds:datastoreItem>
</file>

<file path=customXml/itemProps45.xml><?xml version="1.0" encoding="utf-8"?>
<ds:datastoreItem xmlns:ds="http://schemas.openxmlformats.org/officeDocument/2006/customXml" ds:itemID="{05F47C8C-2180-439D-89F0-DD7EABA916C1}">
  <ds:schemaRefs/>
</ds:datastoreItem>
</file>

<file path=customXml/itemProps46.xml><?xml version="1.0" encoding="utf-8"?>
<ds:datastoreItem xmlns:ds="http://schemas.openxmlformats.org/officeDocument/2006/customXml" ds:itemID="{200ECFCF-E9A5-442C-9C92-D096D57DA415}">
  <ds:schemaRefs/>
</ds:datastoreItem>
</file>

<file path=customXml/itemProps47.xml><?xml version="1.0" encoding="utf-8"?>
<ds:datastoreItem xmlns:ds="http://schemas.openxmlformats.org/officeDocument/2006/customXml" ds:itemID="{8CC5A985-B8FE-4C67-8493-7D26E7B159F1}">
  <ds:schemaRefs/>
</ds:datastoreItem>
</file>

<file path=customXml/itemProps48.xml><?xml version="1.0" encoding="utf-8"?>
<ds:datastoreItem xmlns:ds="http://schemas.openxmlformats.org/officeDocument/2006/customXml" ds:itemID="{A20DC87C-8065-4DE0-B5B5-C19FAF05C79C}">
  <ds:schemaRefs/>
</ds:datastoreItem>
</file>

<file path=customXml/itemProps49.xml><?xml version="1.0" encoding="utf-8"?>
<ds:datastoreItem xmlns:ds="http://schemas.openxmlformats.org/officeDocument/2006/customXml" ds:itemID="{1F49C222-3975-4324-BA17-1D7DA18E9F22}">
  <ds:schemaRefs/>
</ds:datastoreItem>
</file>

<file path=customXml/itemProps5.xml><?xml version="1.0" encoding="utf-8"?>
<ds:datastoreItem xmlns:ds="http://schemas.openxmlformats.org/officeDocument/2006/customXml" ds:itemID="{608BEC96-34A1-43B8-8948-C991B75FC7B9}">
  <ds:schemaRefs/>
</ds:datastoreItem>
</file>

<file path=customXml/itemProps50.xml><?xml version="1.0" encoding="utf-8"?>
<ds:datastoreItem xmlns:ds="http://schemas.openxmlformats.org/officeDocument/2006/customXml" ds:itemID="{47BBAA41-B2C9-4D82-8712-AD734804A9A9}">
  <ds:schemaRefs/>
</ds:datastoreItem>
</file>

<file path=customXml/itemProps51.xml><?xml version="1.0" encoding="utf-8"?>
<ds:datastoreItem xmlns:ds="http://schemas.openxmlformats.org/officeDocument/2006/customXml" ds:itemID="{2454E5A9-F4F8-4CCE-AFBE-842A60B71635}">
  <ds:schemaRefs/>
</ds:datastoreItem>
</file>

<file path=customXml/itemProps52.xml><?xml version="1.0" encoding="utf-8"?>
<ds:datastoreItem xmlns:ds="http://schemas.openxmlformats.org/officeDocument/2006/customXml" ds:itemID="{C5130446-B15E-482E-93AC-52A9526943E2}">
  <ds:schemaRefs/>
</ds:datastoreItem>
</file>

<file path=customXml/itemProps53.xml><?xml version="1.0" encoding="utf-8"?>
<ds:datastoreItem xmlns:ds="http://schemas.openxmlformats.org/officeDocument/2006/customXml" ds:itemID="{70D1BF98-64A1-496A-AE06-9DC48C6248A5}">
  <ds:schemaRefs/>
</ds:datastoreItem>
</file>

<file path=customXml/itemProps54.xml><?xml version="1.0" encoding="utf-8"?>
<ds:datastoreItem xmlns:ds="http://schemas.openxmlformats.org/officeDocument/2006/customXml" ds:itemID="{816E7D81-7E43-4F13-9713-333517BEF49C}">
  <ds:schemaRefs/>
</ds:datastoreItem>
</file>

<file path=customXml/itemProps55.xml><?xml version="1.0" encoding="utf-8"?>
<ds:datastoreItem xmlns:ds="http://schemas.openxmlformats.org/officeDocument/2006/customXml" ds:itemID="{A960E2B0-8D38-4409-B097-1F62FBF3CB9F}">
  <ds:schemaRefs/>
</ds:datastoreItem>
</file>

<file path=customXml/itemProps6.xml><?xml version="1.0" encoding="utf-8"?>
<ds:datastoreItem xmlns:ds="http://schemas.openxmlformats.org/officeDocument/2006/customXml" ds:itemID="{009D0443-2C30-4FEC-A593-53F8E43409A6}">
  <ds:schemaRefs/>
</ds:datastoreItem>
</file>

<file path=customXml/itemProps7.xml><?xml version="1.0" encoding="utf-8"?>
<ds:datastoreItem xmlns:ds="http://schemas.openxmlformats.org/officeDocument/2006/customXml" ds:itemID="{0D2EA345-7C8D-47D6-808C-D1777F04C23B}">
  <ds:schemaRefs/>
</ds:datastoreItem>
</file>

<file path=customXml/itemProps8.xml><?xml version="1.0" encoding="utf-8"?>
<ds:datastoreItem xmlns:ds="http://schemas.openxmlformats.org/officeDocument/2006/customXml" ds:itemID="{C427801B-D7B2-4E5F-A093-6C8144621175}">
  <ds:schemaRefs/>
</ds:datastoreItem>
</file>

<file path=customXml/itemProps9.xml><?xml version="1.0" encoding="utf-8"?>
<ds:datastoreItem xmlns:ds="http://schemas.openxmlformats.org/officeDocument/2006/customXml" ds:itemID="{7A0BD0E9-ED92-47B2-8BC8-EE03FE2AD948}">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4089</Words>
  <Characters>23313</Characters>
  <Lines>194</Lines>
  <Paragraphs>54</Paragraphs>
  <TotalTime>2</TotalTime>
  <ScaleCrop>false</ScaleCrop>
  <LinksUpToDate>false</LinksUpToDate>
  <CharactersWithSpaces>27348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2023-03-09T09:30:00Z</dcterms:created>
  <dc:creator>Administrator</dc:creator>
  <cp:lastModifiedBy>Administrator</cp:lastModifiedBy>
  <cp:lastPrinted>2023-03-10T03:20:00Z</cp:lastPrinted>
  <dcterms:modified xsi:type="dcterms:W3CDTF">2024-03-19T01:50:46Z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5074C192D399460FA8D7D75F567D805B</vt:lpwstr>
  </property>
</Properties>
</file>