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部门</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部门</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476丰润区姜家营乡人民政府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1212.47</w:t>
            </w:r>
          </w:p>
        </w:tc>
        <w:tc>
          <w:tcPr>
            <w:tcW w:w="4535" w:type="dxa"/>
            <w:vAlign w:val="center"/>
          </w:tcPr>
          <w:p>
            <w:pPr>
              <w:pStyle w:val="16"/>
            </w:pPr>
            <w:r>
              <w:t>一、一般公共服务支出</w:t>
            </w:r>
          </w:p>
        </w:tc>
        <w:tc>
          <w:tcPr>
            <w:tcW w:w="2126" w:type="dxa"/>
            <w:vAlign w:val="center"/>
          </w:tcPr>
          <w:p>
            <w:pPr>
              <w:pStyle w:val="15"/>
            </w:pPr>
            <w:r>
              <w:t>858.77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一、一般公共预算拨款收入</w:t>
            </w:r>
          </w:p>
        </w:tc>
        <w:tc>
          <w:tcPr>
            <w:tcW w:w="2126" w:type="dxa"/>
            <w:vAlign w:val="center"/>
          </w:tcPr>
          <w:p>
            <w:pPr>
              <w:pStyle w:val="15"/>
            </w:pPr>
            <w:r>
              <w:t>1212.47</w:t>
            </w:r>
          </w:p>
        </w:tc>
        <w:tc>
          <w:tcPr>
            <w:tcW w:w="4535" w:type="dxa"/>
            <w:vAlign w:val="center"/>
          </w:tcPr>
          <w:p>
            <w:pPr>
              <w:pStyle w:val="16"/>
            </w:pPr>
            <w:r>
              <w:t>一、一般公共服务支出</w:t>
            </w:r>
          </w:p>
        </w:tc>
        <w:tc>
          <w:tcPr>
            <w:tcW w:w="2126" w:type="dxa"/>
            <w:vAlign w:val="center"/>
          </w:tcPr>
          <w:p>
            <w:pPr>
              <w:pStyle w:val="15"/>
            </w:pPr>
            <w:r>
              <w:t>858.77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r>
              <w:t>六、事业</w:t>
            </w:r>
            <w:r>
              <w:rPr>
                <w:rFonts w:hint="eastAsia"/>
                <w:lang w:eastAsia="zh-CN"/>
              </w:rPr>
              <w:t>部门</w:t>
            </w:r>
            <w:r>
              <w:t>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r>
              <w:t>六、事业</w:t>
            </w:r>
            <w:r>
              <w:rPr>
                <w:rFonts w:hint="eastAsia"/>
                <w:lang w:eastAsia="zh-CN"/>
              </w:rPr>
              <w:t>部门</w:t>
            </w:r>
            <w:r>
              <w:t>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r>
              <w:t>八、附属</w:t>
            </w:r>
            <w:r>
              <w:rPr>
                <w:rFonts w:hint="eastAsia"/>
                <w:lang w:eastAsia="zh-CN"/>
              </w:rPr>
              <w:t>部门</w:t>
            </w:r>
            <w:r>
              <w:t>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r>
              <w:t>八、附属</w:t>
            </w:r>
            <w:r>
              <w:rPr>
                <w:rFonts w:hint="eastAsia"/>
                <w:lang w:eastAsia="zh-CN"/>
              </w:rPr>
              <w:t>部门</w:t>
            </w:r>
            <w:r>
              <w:t>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63</w:t>
            </w:r>
          </w:p>
        </w:tc>
        <w:tc>
          <w:tcPr>
            <w:tcW w:w="4535" w:type="dxa"/>
            <w:vAlign w:val="center"/>
          </w:tcPr>
          <w:p>
            <w:pPr>
              <w:pStyle w:val="18"/>
            </w:pPr>
            <w:r>
              <w:t>本年收入合计</w:t>
            </w:r>
          </w:p>
        </w:tc>
        <w:tc>
          <w:tcPr>
            <w:tcW w:w="2126" w:type="dxa"/>
            <w:vAlign w:val="center"/>
          </w:tcPr>
          <w:p>
            <w:pPr>
              <w:pStyle w:val="19"/>
            </w:pPr>
            <w:r>
              <w:t>1212.47</w:t>
            </w:r>
          </w:p>
        </w:tc>
        <w:tc>
          <w:tcPr>
            <w:tcW w:w="4535" w:type="dxa"/>
            <w:vAlign w:val="center"/>
          </w:tcPr>
          <w:p>
            <w:pPr>
              <w:pStyle w:val="18"/>
            </w:pPr>
            <w:r>
              <w:t>本年支出合计</w:t>
            </w:r>
          </w:p>
        </w:tc>
        <w:tc>
          <w:tcPr>
            <w:tcW w:w="2126" w:type="dxa"/>
            <w:vAlign w:val="center"/>
          </w:tcPr>
          <w:p>
            <w:pPr>
              <w:pStyle w:val="19"/>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64</w:t>
            </w:r>
          </w:p>
        </w:tc>
        <w:tc>
          <w:tcPr>
            <w:tcW w:w="4535" w:type="dxa"/>
            <w:vAlign w:val="center"/>
          </w:tcPr>
          <w:p>
            <w:pPr>
              <w:pStyle w:val="18"/>
            </w:pPr>
            <w:r>
              <w:t>本年收入合计</w:t>
            </w:r>
          </w:p>
        </w:tc>
        <w:tc>
          <w:tcPr>
            <w:tcW w:w="2126" w:type="dxa"/>
            <w:vAlign w:val="center"/>
          </w:tcPr>
          <w:p>
            <w:pPr>
              <w:pStyle w:val="19"/>
            </w:pPr>
            <w:r>
              <w:t>1212.47</w:t>
            </w:r>
          </w:p>
        </w:tc>
        <w:tc>
          <w:tcPr>
            <w:tcW w:w="4535" w:type="dxa"/>
            <w:vAlign w:val="center"/>
          </w:tcPr>
          <w:p>
            <w:pPr>
              <w:pStyle w:val="18"/>
            </w:pPr>
            <w:r>
              <w:t>本年支出合计</w:t>
            </w:r>
          </w:p>
        </w:tc>
        <w:tc>
          <w:tcPr>
            <w:tcW w:w="2126" w:type="dxa"/>
            <w:vAlign w:val="center"/>
          </w:tcPr>
          <w:p>
            <w:pPr>
              <w:pStyle w:val="19"/>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65</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66</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67</w:t>
            </w:r>
          </w:p>
        </w:tc>
        <w:tc>
          <w:tcPr>
            <w:tcW w:w="4535" w:type="dxa"/>
            <w:vAlign w:val="center"/>
          </w:tcPr>
          <w:p>
            <w:pPr>
              <w:pStyle w:val="18"/>
            </w:pPr>
            <w:r>
              <w:t>收入总计</w:t>
            </w:r>
          </w:p>
        </w:tc>
        <w:tc>
          <w:tcPr>
            <w:tcW w:w="2126" w:type="dxa"/>
            <w:vAlign w:val="center"/>
          </w:tcPr>
          <w:p>
            <w:pPr>
              <w:pStyle w:val="19"/>
            </w:pPr>
            <w:r>
              <w:t>1212.47</w:t>
            </w:r>
          </w:p>
        </w:tc>
        <w:tc>
          <w:tcPr>
            <w:tcW w:w="4535" w:type="dxa"/>
            <w:vAlign w:val="center"/>
          </w:tcPr>
          <w:p>
            <w:pPr>
              <w:pStyle w:val="18"/>
            </w:pPr>
            <w:r>
              <w:t>支出总计</w:t>
            </w:r>
          </w:p>
        </w:tc>
        <w:tc>
          <w:tcPr>
            <w:tcW w:w="2126" w:type="dxa"/>
            <w:vAlign w:val="center"/>
          </w:tcPr>
          <w:p>
            <w:pPr>
              <w:pStyle w:val="19"/>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68</w:t>
            </w:r>
          </w:p>
        </w:tc>
        <w:tc>
          <w:tcPr>
            <w:tcW w:w="4535" w:type="dxa"/>
            <w:vAlign w:val="center"/>
          </w:tcPr>
          <w:p>
            <w:pPr>
              <w:pStyle w:val="18"/>
            </w:pPr>
            <w:r>
              <w:t>收入总计</w:t>
            </w:r>
          </w:p>
        </w:tc>
        <w:tc>
          <w:tcPr>
            <w:tcW w:w="2126" w:type="dxa"/>
            <w:vAlign w:val="center"/>
          </w:tcPr>
          <w:p>
            <w:pPr>
              <w:pStyle w:val="19"/>
            </w:pPr>
            <w:r>
              <w:t>1212.47</w:t>
            </w:r>
          </w:p>
        </w:tc>
        <w:tc>
          <w:tcPr>
            <w:tcW w:w="4535" w:type="dxa"/>
            <w:vAlign w:val="center"/>
          </w:tcPr>
          <w:p>
            <w:pPr>
              <w:pStyle w:val="18"/>
            </w:pPr>
            <w:r>
              <w:t>支出总计</w:t>
            </w:r>
          </w:p>
        </w:tc>
        <w:tc>
          <w:tcPr>
            <w:tcW w:w="2126" w:type="dxa"/>
            <w:vAlign w:val="center"/>
          </w:tcPr>
          <w:p>
            <w:pPr>
              <w:pStyle w:val="19"/>
            </w:pPr>
            <w:r>
              <w:t>1212.47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476丰润区姜家营乡人民政府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w:t>
            </w:r>
            <w:r>
              <w:rPr>
                <w:rFonts w:hint="eastAsia"/>
                <w:lang w:eastAsia="zh-CN"/>
              </w:rPr>
              <w:t>部门</w:t>
            </w:r>
            <w:r>
              <w:t>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1212.47</w:t>
            </w:r>
          </w:p>
        </w:tc>
        <w:tc>
          <w:tcPr>
            <w:tcW w:w="1134" w:type="dxa"/>
            <w:vAlign w:val="center"/>
          </w:tcPr>
          <w:p>
            <w:pPr>
              <w:pStyle w:val="19"/>
            </w:pPr>
            <w:r>
              <w:t>1212.47</w:t>
            </w:r>
          </w:p>
        </w:tc>
        <w:tc>
          <w:tcPr>
            <w:tcW w:w="1134" w:type="dxa"/>
            <w:vAlign w:val="center"/>
          </w:tcPr>
          <w:p>
            <w:pPr>
              <w:pStyle w:val="19"/>
            </w:pPr>
            <w:r>
              <w:t>1212.47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p>
        </w:tc>
        <w:tc>
          <w:tcPr>
            <w:tcW w:w="1559" w:type="dxa"/>
            <w:vAlign w:val="center"/>
          </w:tcPr>
          <w:p>
            <w:pPr>
              <w:pStyle w:val="16"/>
            </w:pPr>
            <w:r>
              <w:t>合计</w:t>
            </w:r>
          </w:p>
        </w:tc>
        <w:tc>
          <w:tcPr>
            <w:tcW w:w="1134" w:type="dxa"/>
            <w:vAlign w:val="center"/>
          </w:tcPr>
          <w:p>
            <w:pPr>
              <w:pStyle w:val="15"/>
            </w:pPr>
            <w:r>
              <w:t>1212.47</w:t>
            </w:r>
          </w:p>
        </w:tc>
        <w:tc>
          <w:tcPr>
            <w:tcW w:w="1134" w:type="dxa"/>
            <w:vAlign w:val="center"/>
          </w:tcPr>
          <w:p>
            <w:pPr>
              <w:pStyle w:val="15"/>
            </w:pPr>
            <w:r>
              <w:t>1212.47</w:t>
            </w:r>
          </w:p>
        </w:tc>
        <w:tc>
          <w:tcPr>
            <w:tcW w:w="1134" w:type="dxa"/>
            <w:vAlign w:val="center"/>
          </w:tcPr>
          <w:p>
            <w:pPr>
              <w:pStyle w:val="15"/>
            </w:pPr>
            <w:r>
              <w:t>1212.47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r>
              <w:t>858.77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792.64</w:t>
            </w:r>
          </w:p>
        </w:tc>
        <w:tc>
          <w:tcPr>
            <w:tcW w:w="1134" w:type="dxa"/>
            <w:vAlign w:val="center"/>
          </w:tcPr>
          <w:p>
            <w:pPr>
              <w:pStyle w:val="15"/>
            </w:pPr>
            <w:r>
              <w:t>792.64</w:t>
            </w:r>
          </w:p>
        </w:tc>
        <w:tc>
          <w:tcPr>
            <w:tcW w:w="1134" w:type="dxa"/>
            <w:vAlign w:val="center"/>
          </w:tcPr>
          <w:p>
            <w:pPr>
              <w:pStyle w:val="15"/>
            </w:pPr>
            <w:r>
              <w:t>792.64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792.64</w:t>
            </w:r>
          </w:p>
        </w:tc>
        <w:tc>
          <w:tcPr>
            <w:tcW w:w="1134" w:type="dxa"/>
            <w:vAlign w:val="center"/>
          </w:tcPr>
          <w:p>
            <w:pPr>
              <w:pStyle w:val="15"/>
            </w:pPr>
            <w:r>
              <w:t>792.64</w:t>
            </w:r>
          </w:p>
        </w:tc>
        <w:tc>
          <w:tcPr>
            <w:tcW w:w="1134" w:type="dxa"/>
            <w:vAlign w:val="center"/>
          </w:tcPr>
          <w:p>
            <w:pPr>
              <w:pStyle w:val="15"/>
            </w:pPr>
            <w:r>
              <w:t>792.64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66.13</w:t>
            </w:r>
          </w:p>
        </w:tc>
        <w:tc>
          <w:tcPr>
            <w:tcW w:w="1134" w:type="dxa"/>
            <w:vAlign w:val="center"/>
          </w:tcPr>
          <w:p>
            <w:pPr>
              <w:pStyle w:val="15"/>
            </w:pPr>
            <w:r>
              <w:t>66.13</w:t>
            </w:r>
          </w:p>
        </w:tc>
        <w:tc>
          <w:tcPr>
            <w:tcW w:w="1134" w:type="dxa"/>
            <w:vAlign w:val="center"/>
          </w:tcPr>
          <w:p>
            <w:pPr>
              <w:pStyle w:val="15"/>
            </w:pPr>
            <w:r>
              <w:t>66.13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66.13</w:t>
            </w:r>
          </w:p>
        </w:tc>
        <w:tc>
          <w:tcPr>
            <w:tcW w:w="1134" w:type="dxa"/>
            <w:vAlign w:val="center"/>
          </w:tcPr>
          <w:p>
            <w:pPr>
              <w:pStyle w:val="15"/>
            </w:pPr>
            <w:r>
              <w:t>66.13</w:t>
            </w:r>
          </w:p>
        </w:tc>
        <w:tc>
          <w:tcPr>
            <w:tcW w:w="1134" w:type="dxa"/>
            <w:vAlign w:val="center"/>
          </w:tcPr>
          <w:p>
            <w:pPr>
              <w:pStyle w:val="15"/>
            </w:pPr>
            <w:r>
              <w:t>66.13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w:t>
            </w:r>
            <w:r>
              <w:rPr>
                <w:rFonts w:hint="eastAsia"/>
                <w:lang w:eastAsia="zh-CN"/>
              </w:rPr>
              <w:t>部门</w:t>
            </w:r>
            <w:r>
              <w:t>养老支出</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w:t>
            </w:r>
          </w:p>
        </w:tc>
        <w:tc>
          <w:tcPr>
            <w:tcW w:w="1559" w:type="dxa"/>
            <w:vAlign w:val="center"/>
          </w:tcPr>
          <w:p>
            <w:pPr>
              <w:pStyle w:val="16"/>
            </w:pPr>
            <w:r>
              <w:t>行政事业</w:t>
            </w:r>
            <w:r>
              <w:rPr>
                <w:rFonts w:hint="eastAsia"/>
                <w:lang w:eastAsia="zh-CN"/>
              </w:rPr>
              <w:t>部门</w:t>
            </w:r>
            <w:r>
              <w:t>养老支出</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r>
              <w:t>120.87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w:t>
            </w:r>
            <w:r>
              <w:rPr>
                <w:rFonts w:hint="eastAsia"/>
                <w:lang w:eastAsia="zh-CN"/>
              </w:rPr>
              <w:t>部门</w:t>
            </w:r>
            <w:r>
              <w:t>基本养老保险缴费支出</w:t>
            </w:r>
          </w:p>
        </w:tc>
        <w:tc>
          <w:tcPr>
            <w:tcW w:w="1134" w:type="dxa"/>
            <w:vAlign w:val="center"/>
          </w:tcPr>
          <w:p>
            <w:pPr>
              <w:pStyle w:val="15"/>
            </w:pPr>
            <w:r>
              <w:t>80.58</w:t>
            </w:r>
          </w:p>
        </w:tc>
        <w:tc>
          <w:tcPr>
            <w:tcW w:w="1134" w:type="dxa"/>
            <w:vAlign w:val="center"/>
          </w:tcPr>
          <w:p>
            <w:pPr>
              <w:pStyle w:val="15"/>
            </w:pPr>
            <w:r>
              <w:t>80.58</w:t>
            </w:r>
          </w:p>
        </w:tc>
        <w:tc>
          <w:tcPr>
            <w:tcW w:w="1134" w:type="dxa"/>
            <w:vAlign w:val="center"/>
          </w:tcPr>
          <w:p>
            <w:pPr>
              <w:pStyle w:val="15"/>
            </w:pPr>
            <w:r>
              <w:t>80.58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2080505</w:t>
            </w:r>
          </w:p>
        </w:tc>
        <w:tc>
          <w:tcPr>
            <w:tcW w:w="1559" w:type="dxa"/>
            <w:vAlign w:val="center"/>
          </w:tcPr>
          <w:p>
            <w:pPr>
              <w:pStyle w:val="16"/>
            </w:pPr>
            <w:r>
              <w:t>机关事业</w:t>
            </w:r>
            <w:r>
              <w:rPr>
                <w:rFonts w:hint="eastAsia"/>
                <w:lang w:eastAsia="zh-CN"/>
              </w:rPr>
              <w:t>部门</w:t>
            </w:r>
            <w:r>
              <w:t>基本养老保险缴费支出</w:t>
            </w:r>
          </w:p>
        </w:tc>
        <w:tc>
          <w:tcPr>
            <w:tcW w:w="1134" w:type="dxa"/>
            <w:vAlign w:val="center"/>
          </w:tcPr>
          <w:p>
            <w:pPr>
              <w:pStyle w:val="15"/>
            </w:pPr>
            <w:r>
              <w:t>80.58</w:t>
            </w:r>
          </w:p>
        </w:tc>
        <w:tc>
          <w:tcPr>
            <w:tcW w:w="1134" w:type="dxa"/>
            <w:vAlign w:val="center"/>
          </w:tcPr>
          <w:p>
            <w:pPr>
              <w:pStyle w:val="15"/>
            </w:pPr>
            <w:r>
              <w:t>80.58</w:t>
            </w:r>
          </w:p>
        </w:tc>
        <w:tc>
          <w:tcPr>
            <w:tcW w:w="1134" w:type="dxa"/>
            <w:vAlign w:val="center"/>
          </w:tcPr>
          <w:p>
            <w:pPr>
              <w:pStyle w:val="15"/>
            </w:pPr>
            <w:r>
              <w:t>80.58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2080506</w:t>
            </w:r>
          </w:p>
        </w:tc>
        <w:tc>
          <w:tcPr>
            <w:tcW w:w="1559" w:type="dxa"/>
            <w:vAlign w:val="center"/>
          </w:tcPr>
          <w:p>
            <w:pPr>
              <w:pStyle w:val="16"/>
            </w:pPr>
            <w:r>
              <w:t>机关事业</w:t>
            </w:r>
            <w:r>
              <w:rPr>
                <w:rFonts w:hint="eastAsia"/>
                <w:lang w:eastAsia="zh-CN"/>
              </w:rPr>
              <w:t>部门</w:t>
            </w:r>
            <w:r>
              <w:t>职业年金缴费支出</w:t>
            </w:r>
          </w:p>
        </w:tc>
        <w:tc>
          <w:tcPr>
            <w:tcW w:w="1134" w:type="dxa"/>
            <w:vAlign w:val="center"/>
          </w:tcPr>
          <w:p>
            <w:pPr>
              <w:pStyle w:val="15"/>
            </w:pPr>
            <w:r>
              <w:t>40.29</w:t>
            </w:r>
          </w:p>
        </w:tc>
        <w:tc>
          <w:tcPr>
            <w:tcW w:w="1134" w:type="dxa"/>
            <w:vAlign w:val="center"/>
          </w:tcPr>
          <w:p>
            <w:pPr>
              <w:pStyle w:val="15"/>
            </w:pPr>
            <w:r>
              <w:t>40.29</w:t>
            </w:r>
          </w:p>
        </w:tc>
        <w:tc>
          <w:tcPr>
            <w:tcW w:w="1134" w:type="dxa"/>
            <w:vAlign w:val="center"/>
          </w:tcPr>
          <w:p>
            <w:pPr>
              <w:pStyle w:val="15"/>
            </w:pPr>
            <w:r>
              <w:t>40.29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2080506</w:t>
            </w:r>
          </w:p>
        </w:tc>
        <w:tc>
          <w:tcPr>
            <w:tcW w:w="1559" w:type="dxa"/>
            <w:vAlign w:val="center"/>
          </w:tcPr>
          <w:p>
            <w:pPr>
              <w:pStyle w:val="16"/>
            </w:pPr>
            <w:r>
              <w:t>机关事业</w:t>
            </w:r>
            <w:r>
              <w:rPr>
                <w:rFonts w:hint="eastAsia"/>
                <w:lang w:eastAsia="zh-CN"/>
              </w:rPr>
              <w:t>部门</w:t>
            </w:r>
            <w:r>
              <w:t>职业年金缴费支出</w:t>
            </w:r>
          </w:p>
        </w:tc>
        <w:tc>
          <w:tcPr>
            <w:tcW w:w="1134" w:type="dxa"/>
            <w:vAlign w:val="center"/>
          </w:tcPr>
          <w:p>
            <w:pPr>
              <w:pStyle w:val="15"/>
            </w:pPr>
            <w:r>
              <w:t>40.29</w:t>
            </w:r>
          </w:p>
        </w:tc>
        <w:tc>
          <w:tcPr>
            <w:tcW w:w="1134" w:type="dxa"/>
            <w:vAlign w:val="center"/>
          </w:tcPr>
          <w:p>
            <w:pPr>
              <w:pStyle w:val="15"/>
            </w:pPr>
            <w:r>
              <w:t>40.29</w:t>
            </w:r>
          </w:p>
        </w:tc>
        <w:tc>
          <w:tcPr>
            <w:tcW w:w="1134" w:type="dxa"/>
            <w:vAlign w:val="center"/>
          </w:tcPr>
          <w:p>
            <w:pPr>
              <w:pStyle w:val="15"/>
            </w:pPr>
            <w:r>
              <w:t>40.29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21011</w:t>
            </w:r>
          </w:p>
        </w:tc>
        <w:tc>
          <w:tcPr>
            <w:tcW w:w="1559" w:type="dxa"/>
            <w:vAlign w:val="center"/>
          </w:tcPr>
          <w:p>
            <w:pPr>
              <w:pStyle w:val="16"/>
            </w:pPr>
            <w:r>
              <w:t>行政事业</w:t>
            </w:r>
            <w:r>
              <w:rPr>
                <w:rFonts w:hint="eastAsia"/>
                <w:lang w:eastAsia="zh-CN"/>
              </w:rPr>
              <w:t>部门</w:t>
            </w:r>
            <w:r>
              <w:t>医疗</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21011</w:t>
            </w:r>
          </w:p>
        </w:tc>
        <w:tc>
          <w:tcPr>
            <w:tcW w:w="1559" w:type="dxa"/>
            <w:vAlign w:val="center"/>
          </w:tcPr>
          <w:p>
            <w:pPr>
              <w:pStyle w:val="16"/>
            </w:pPr>
            <w:r>
              <w:t>行政事业</w:t>
            </w:r>
            <w:r>
              <w:rPr>
                <w:rFonts w:hint="eastAsia"/>
                <w:lang w:eastAsia="zh-CN"/>
              </w:rPr>
              <w:t>部门</w:t>
            </w:r>
            <w:r>
              <w:t>医疗</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2101101</w:t>
            </w:r>
          </w:p>
        </w:tc>
        <w:tc>
          <w:tcPr>
            <w:tcW w:w="1559" w:type="dxa"/>
            <w:vAlign w:val="center"/>
          </w:tcPr>
          <w:p>
            <w:pPr>
              <w:pStyle w:val="16"/>
            </w:pPr>
            <w:r>
              <w:t>行政</w:t>
            </w:r>
            <w:r>
              <w:rPr>
                <w:rFonts w:hint="eastAsia"/>
                <w:lang w:eastAsia="zh-CN"/>
              </w:rPr>
              <w:t>部门</w:t>
            </w:r>
            <w:r>
              <w:t>医疗</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2101101</w:t>
            </w:r>
          </w:p>
        </w:tc>
        <w:tc>
          <w:tcPr>
            <w:tcW w:w="1559" w:type="dxa"/>
            <w:vAlign w:val="center"/>
          </w:tcPr>
          <w:p>
            <w:pPr>
              <w:pStyle w:val="16"/>
            </w:pPr>
            <w:r>
              <w:t>行政</w:t>
            </w:r>
            <w:r>
              <w:rPr>
                <w:rFonts w:hint="eastAsia"/>
                <w:lang w:eastAsia="zh-CN"/>
              </w:rPr>
              <w:t>部门</w:t>
            </w:r>
            <w:r>
              <w:t>医疗</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r>
              <w:t>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r>
              <w:t>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2130701</w:t>
            </w:r>
          </w:p>
        </w:tc>
        <w:tc>
          <w:tcPr>
            <w:tcW w:w="1559" w:type="dxa"/>
            <w:vAlign w:val="center"/>
          </w:tcPr>
          <w:p>
            <w:pPr>
              <w:pStyle w:val="16"/>
            </w:pPr>
            <w:r>
              <w:t>对村级公益事业建设的补助</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2130701</w:t>
            </w:r>
          </w:p>
        </w:tc>
        <w:tc>
          <w:tcPr>
            <w:tcW w:w="1559" w:type="dxa"/>
            <w:vAlign w:val="center"/>
          </w:tcPr>
          <w:p>
            <w:pPr>
              <w:pStyle w:val="16"/>
            </w:pPr>
            <w:r>
              <w:t>对村级公益事业建设的补助</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15.60</w:t>
            </w:r>
          </w:p>
        </w:tc>
        <w:tc>
          <w:tcPr>
            <w:tcW w:w="1134" w:type="dxa"/>
            <w:vAlign w:val="center"/>
          </w:tcPr>
          <w:p>
            <w:pPr>
              <w:pStyle w:val="15"/>
            </w:pPr>
            <w:r>
              <w:t>15.60</w:t>
            </w:r>
          </w:p>
        </w:tc>
        <w:tc>
          <w:tcPr>
            <w:tcW w:w="1134" w:type="dxa"/>
            <w:vAlign w:val="center"/>
          </w:tcPr>
          <w:p>
            <w:pPr>
              <w:pStyle w:val="15"/>
            </w:pPr>
            <w:r>
              <w:t>15.60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15.60</w:t>
            </w:r>
          </w:p>
        </w:tc>
        <w:tc>
          <w:tcPr>
            <w:tcW w:w="1134" w:type="dxa"/>
            <w:vAlign w:val="center"/>
          </w:tcPr>
          <w:p>
            <w:pPr>
              <w:pStyle w:val="15"/>
            </w:pPr>
            <w:r>
              <w:t>15.60</w:t>
            </w:r>
          </w:p>
        </w:tc>
        <w:tc>
          <w:tcPr>
            <w:tcW w:w="1134" w:type="dxa"/>
            <w:vAlign w:val="center"/>
          </w:tcPr>
          <w:p>
            <w:pPr>
              <w:pStyle w:val="15"/>
            </w:pPr>
            <w:r>
              <w:t>15.60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1212.47</w:t>
            </w:r>
          </w:p>
        </w:tc>
        <w:tc>
          <w:tcPr>
            <w:tcW w:w="1361" w:type="dxa"/>
            <w:vAlign w:val="center"/>
          </w:tcPr>
          <w:p>
            <w:pPr>
              <w:pStyle w:val="19"/>
            </w:pPr>
            <w:r>
              <w:t>1050.74</w:t>
            </w:r>
          </w:p>
        </w:tc>
        <w:tc>
          <w:tcPr>
            <w:tcW w:w="1361" w:type="dxa"/>
            <w:vAlign w:val="center"/>
          </w:tcPr>
          <w:p>
            <w:pPr>
              <w:pStyle w:val="19"/>
            </w:pPr>
            <w:r>
              <w:t>161.73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p>
        </w:tc>
        <w:tc>
          <w:tcPr>
            <w:tcW w:w="4535" w:type="dxa"/>
            <w:vAlign w:val="center"/>
          </w:tcPr>
          <w:p>
            <w:pPr>
              <w:pStyle w:val="16"/>
            </w:pPr>
            <w:r>
              <w:t>合计</w:t>
            </w:r>
          </w:p>
        </w:tc>
        <w:tc>
          <w:tcPr>
            <w:tcW w:w="1361" w:type="dxa"/>
            <w:vAlign w:val="center"/>
          </w:tcPr>
          <w:p>
            <w:pPr>
              <w:pStyle w:val="15"/>
            </w:pPr>
            <w:r>
              <w:t>1212.47</w:t>
            </w:r>
          </w:p>
        </w:tc>
        <w:tc>
          <w:tcPr>
            <w:tcW w:w="1361" w:type="dxa"/>
            <w:vAlign w:val="center"/>
          </w:tcPr>
          <w:p>
            <w:pPr>
              <w:pStyle w:val="15"/>
            </w:pPr>
            <w:r>
              <w:t>1050.74</w:t>
            </w:r>
          </w:p>
        </w:tc>
        <w:tc>
          <w:tcPr>
            <w:tcW w:w="1361" w:type="dxa"/>
            <w:vAlign w:val="center"/>
          </w:tcPr>
          <w:p>
            <w:pPr>
              <w:pStyle w:val="15"/>
            </w:pPr>
            <w:r>
              <w:t>161.73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858.77</w:t>
            </w:r>
          </w:p>
        </w:tc>
        <w:tc>
          <w:tcPr>
            <w:tcW w:w="1361" w:type="dxa"/>
            <w:vAlign w:val="center"/>
          </w:tcPr>
          <w:p>
            <w:pPr>
              <w:pStyle w:val="15"/>
            </w:pPr>
            <w:r>
              <w:t>792.64</w:t>
            </w: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858.77</w:t>
            </w:r>
          </w:p>
        </w:tc>
        <w:tc>
          <w:tcPr>
            <w:tcW w:w="1361" w:type="dxa"/>
            <w:vAlign w:val="center"/>
          </w:tcPr>
          <w:p>
            <w:pPr>
              <w:pStyle w:val="15"/>
            </w:pPr>
            <w:r>
              <w:t>792.64</w:t>
            </w: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858.77</w:t>
            </w:r>
          </w:p>
        </w:tc>
        <w:tc>
          <w:tcPr>
            <w:tcW w:w="1361" w:type="dxa"/>
            <w:vAlign w:val="center"/>
          </w:tcPr>
          <w:p>
            <w:pPr>
              <w:pStyle w:val="15"/>
            </w:pPr>
            <w:r>
              <w:t>792.64</w:t>
            </w: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858.77</w:t>
            </w:r>
          </w:p>
        </w:tc>
        <w:tc>
          <w:tcPr>
            <w:tcW w:w="1361" w:type="dxa"/>
            <w:vAlign w:val="center"/>
          </w:tcPr>
          <w:p>
            <w:pPr>
              <w:pStyle w:val="15"/>
            </w:pPr>
            <w:r>
              <w:t>792.64</w:t>
            </w: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792.64</w:t>
            </w:r>
          </w:p>
        </w:tc>
        <w:tc>
          <w:tcPr>
            <w:tcW w:w="1361" w:type="dxa"/>
            <w:vAlign w:val="center"/>
          </w:tcPr>
          <w:p>
            <w:pPr>
              <w:pStyle w:val="15"/>
            </w:pPr>
            <w:r>
              <w:t>792.64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792.64</w:t>
            </w:r>
          </w:p>
        </w:tc>
        <w:tc>
          <w:tcPr>
            <w:tcW w:w="1361" w:type="dxa"/>
            <w:vAlign w:val="center"/>
          </w:tcPr>
          <w:p>
            <w:pPr>
              <w:pStyle w:val="15"/>
            </w:pPr>
            <w:r>
              <w:t>792.64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r>
              <w:t>66.13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120.87</w:t>
            </w:r>
          </w:p>
        </w:tc>
        <w:tc>
          <w:tcPr>
            <w:tcW w:w="1361" w:type="dxa"/>
            <w:vAlign w:val="center"/>
          </w:tcPr>
          <w:p>
            <w:pPr>
              <w:pStyle w:val="15"/>
            </w:pPr>
            <w:r>
              <w:t>120.87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120.87</w:t>
            </w:r>
          </w:p>
        </w:tc>
        <w:tc>
          <w:tcPr>
            <w:tcW w:w="1361" w:type="dxa"/>
            <w:vAlign w:val="center"/>
          </w:tcPr>
          <w:p>
            <w:pPr>
              <w:pStyle w:val="15"/>
            </w:pPr>
            <w:r>
              <w:t>120.87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1361" w:type="dxa"/>
            <w:vAlign w:val="center"/>
          </w:tcPr>
          <w:p>
            <w:pPr>
              <w:pStyle w:val="15"/>
            </w:pPr>
            <w:r>
              <w:t>120.87</w:t>
            </w:r>
          </w:p>
        </w:tc>
        <w:tc>
          <w:tcPr>
            <w:tcW w:w="1361" w:type="dxa"/>
            <w:vAlign w:val="center"/>
          </w:tcPr>
          <w:p>
            <w:pPr>
              <w:pStyle w:val="15"/>
            </w:pPr>
            <w:r>
              <w:t>120.87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1361" w:type="dxa"/>
            <w:vAlign w:val="center"/>
          </w:tcPr>
          <w:p>
            <w:pPr>
              <w:pStyle w:val="15"/>
            </w:pPr>
            <w:r>
              <w:t>120.87</w:t>
            </w:r>
          </w:p>
        </w:tc>
        <w:tc>
          <w:tcPr>
            <w:tcW w:w="1361" w:type="dxa"/>
            <w:vAlign w:val="center"/>
          </w:tcPr>
          <w:p>
            <w:pPr>
              <w:pStyle w:val="15"/>
            </w:pPr>
            <w:r>
              <w:t>120.87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1361" w:type="dxa"/>
            <w:vAlign w:val="center"/>
          </w:tcPr>
          <w:p>
            <w:pPr>
              <w:pStyle w:val="15"/>
            </w:pPr>
            <w:r>
              <w:t>80.58</w:t>
            </w:r>
          </w:p>
        </w:tc>
        <w:tc>
          <w:tcPr>
            <w:tcW w:w="1361" w:type="dxa"/>
            <w:vAlign w:val="center"/>
          </w:tcPr>
          <w:p>
            <w:pPr>
              <w:pStyle w:val="15"/>
            </w:pPr>
            <w:r>
              <w:t>80.58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1361" w:type="dxa"/>
            <w:vAlign w:val="center"/>
          </w:tcPr>
          <w:p>
            <w:pPr>
              <w:pStyle w:val="15"/>
            </w:pPr>
            <w:r>
              <w:t>80.58</w:t>
            </w:r>
          </w:p>
        </w:tc>
        <w:tc>
          <w:tcPr>
            <w:tcW w:w="1361" w:type="dxa"/>
            <w:vAlign w:val="center"/>
          </w:tcPr>
          <w:p>
            <w:pPr>
              <w:pStyle w:val="15"/>
            </w:pPr>
            <w:r>
              <w:t>80.58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2080506</w:t>
            </w:r>
          </w:p>
        </w:tc>
        <w:tc>
          <w:tcPr>
            <w:tcW w:w="4535" w:type="dxa"/>
            <w:vAlign w:val="center"/>
          </w:tcPr>
          <w:p>
            <w:pPr>
              <w:pStyle w:val="16"/>
            </w:pPr>
            <w:r>
              <w:t>机关事业</w:t>
            </w:r>
            <w:r>
              <w:rPr>
                <w:rFonts w:hint="eastAsia"/>
                <w:lang w:eastAsia="zh-CN"/>
              </w:rPr>
              <w:t>部门</w:t>
            </w:r>
            <w:r>
              <w:t>职业年金缴费支出</w:t>
            </w:r>
          </w:p>
        </w:tc>
        <w:tc>
          <w:tcPr>
            <w:tcW w:w="1361" w:type="dxa"/>
            <w:vAlign w:val="center"/>
          </w:tcPr>
          <w:p>
            <w:pPr>
              <w:pStyle w:val="15"/>
            </w:pPr>
            <w:r>
              <w:t>40.29</w:t>
            </w:r>
          </w:p>
        </w:tc>
        <w:tc>
          <w:tcPr>
            <w:tcW w:w="1361" w:type="dxa"/>
            <w:vAlign w:val="center"/>
          </w:tcPr>
          <w:p>
            <w:pPr>
              <w:pStyle w:val="15"/>
            </w:pPr>
            <w:r>
              <w:t>40.29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2080506</w:t>
            </w:r>
          </w:p>
        </w:tc>
        <w:tc>
          <w:tcPr>
            <w:tcW w:w="4535" w:type="dxa"/>
            <w:vAlign w:val="center"/>
          </w:tcPr>
          <w:p>
            <w:pPr>
              <w:pStyle w:val="16"/>
            </w:pPr>
            <w:r>
              <w:t>机关事业</w:t>
            </w:r>
            <w:r>
              <w:rPr>
                <w:rFonts w:hint="eastAsia"/>
                <w:lang w:eastAsia="zh-CN"/>
              </w:rPr>
              <w:t>部门</w:t>
            </w:r>
            <w:r>
              <w:t>职业年金缴费支出</w:t>
            </w:r>
          </w:p>
        </w:tc>
        <w:tc>
          <w:tcPr>
            <w:tcW w:w="1361" w:type="dxa"/>
            <w:vAlign w:val="center"/>
          </w:tcPr>
          <w:p>
            <w:pPr>
              <w:pStyle w:val="15"/>
            </w:pPr>
            <w:r>
              <w:t>40.29</w:t>
            </w:r>
          </w:p>
        </w:tc>
        <w:tc>
          <w:tcPr>
            <w:tcW w:w="1361" w:type="dxa"/>
            <w:vAlign w:val="center"/>
          </w:tcPr>
          <w:p>
            <w:pPr>
              <w:pStyle w:val="15"/>
            </w:pPr>
            <w:r>
              <w:t>40.29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21011</w:t>
            </w:r>
          </w:p>
        </w:tc>
        <w:tc>
          <w:tcPr>
            <w:tcW w:w="4535" w:type="dxa"/>
            <w:vAlign w:val="center"/>
          </w:tcPr>
          <w:p>
            <w:pPr>
              <w:pStyle w:val="16"/>
            </w:pPr>
            <w:r>
              <w:t>行政事业</w:t>
            </w:r>
            <w:r>
              <w:rPr>
                <w:rFonts w:hint="eastAsia"/>
                <w:lang w:eastAsia="zh-CN"/>
              </w:rPr>
              <w:t>部门</w:t>
            </w:r>
            <w:r>
              <w:t>医疗</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21011</w:t>
            </w:r>
          </w:p>
        </w:tc>
        <w:tc>
          <w:tcPr>
            <w:tcW w:w="4535" w:type="dxa"/>
            <w:vAlign w:val="center"/>
          </w:tcPr>
          <w:p>
            <w:pPr>
              <w:pStyle w:val="16"/>
            </w:pPr>
            <w:r>
              <w:t>行政事业</w:t>
            </w:r>
            <w:r>
              <w:rPr>
                <w:rFonts w:hint="eastAsia"/>
                <w:lang w:eastAsia="zh-CN"/>
              </w:rPr>
              <w:t>部门</w:t>
            </w:r>
            <w:r>
              <w:t>医疗</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2101101</w:t>
            </w:r>
          </w:p>
        </w:tc>
        <w:tc>
          <w:tcPr>
            <w:tcW w:w="4535" w:type="dxa"/>
            <w:vAlign w:val="center"/>
          </w:tcPr>
          <w:p>
            <w:pPr>
              <w:pStyle w:val="16"/>
            </w:pPr>
            <w:r>
              <w:t>行政</w:t>
            </w:r>
            <w:r>
              <w:rPr>
                <w:rFonts w:hint="eastAsia"/>
                <w:lang w:eastAsia="zh-CN"/>
              </w:rPr>
              <w:t>部门</w:t>
            </w:r>
            <w:r>
              <w:t>医疗</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2101101</w:t>
            </w:r>
          </w:p>
        </w:tc>
        <w:tc>
          <w:tcPr>
            <w:tcW w:w="4535" w:type="dxa"/>
            <w:vAlign w:val="center"/>
          </w:tcPr>
          <w:p>
            <w:pPr>
              <w:pStyle w:val="16"/>
            </w:pPr>
            <w:r>
              <w:t>行政</w:t>
            </w:r>
            <w:r>
              <w:rPr>
                <w:rFonts w:hint="eastAsia"/>
                <w:lang w:eastAsia="zh-CN"/>
              </w:rPr>
              <w:t>部门</w:t>
            </w:r>
            <w:r>
              <w:t>医疗</w:t>
            </w:r>
          </w:p>
        </w:tc>
        <w:tc>
          <w:tcPr>
            <w:tcW w:w="1361" w:type="dxa"/>
            <w:vAlign w:val="center"/>
          </w:tcPr>
          <w:p>
            <w:pPr>
              <w:pStyle w:val="15"/>
            </w:pPr>
            <w:r>
              <w:t>76.80</w:t>
            </w:r>
          </w:p>
        </w:tc>
        <w:tc>
          <w:tcPr>
            <w:tcW w:w="1361" w:type="dxa"/>
            <w:vAlign w:val="center"/>
          </w:tcPr>
          <w:p>
            <w:pPr>
              <w:pStyle w:val="15"/>
            </w:pPr>
            <w:r>
              <w:t>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r>
              <w:t>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2130701</w:t>
            </w:r>
          </w:p>
        </w:tc>
        <w:tc>
          <w:tcPr>
            <w:tcW w:w="4535" w:type="dxa"/>
            <w:vAlign w:val="center"/>
          </w:tcPr>
          <w:p>
            <w:pPr>
              <w:pStyle w:val="16"/>
            </w:pPr>
            <w:r>
              <w:t>对村级公益事业建设的补助</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2130701</w:t>
            </w:r>
          </w:p>
        </w:tc>
        <w:tc>
          <w:tcPr>
            <w:tcW w:w="4535" w:type="dxa"/>
            <w:vAlign w:val="center"/>
          </w:tcPr>
          <w:p>
            <w:pPr>
              <w:pStyle w:val="16"/>
            </w:pPr>
            <w:r>
              <w:t>对村级公益事业建设的补助</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15.60</w:t>
            </w:r>
          </w:p>
        </w:tc>
        <w:tc>
          <w:tcPr>
            <w:tcW w:w="1361" w:type="dxa"/>
            <w:vAlign w:val="center"/>
          </w:tcPr>
          <w:p>
            <w:pPr>
              <w:pStyle w:val="15"/>
            </w:pPr>
          </w:p>
        </w:tc>
        <w:tc>
          <w:tcPr>
            <w:tcW w:w="1361" w:type="dxa"/>
            <w:vAlign w:val="center"/>
          </w:tcPr>
          <w:p>
            <w:pPr>
              <w:pStyle w:val="15"/>
            </w:pPr>
            <w:r>
              <w:t>15.60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15.60</w:t>
            </w:r>
          </w:p>
        </w:tc>
        <w:tc>
          <w:tcPr>
            <w:tcW w:w="1361" w:type="dxa"/>
            <w:vAlign w:val="center"/>
          </w:tcPr>
          <w:p>
            <w:pPr>
              <w:pStyle w:val="15"/>
            </w:pPr>
          </w:p>
        </w:tc>
        <w:tc>
          <w:tcPr>
            <w:tcW w:w="1361" w:type="dxa"/>
            <w:vAlign w:val="center"/>
          </w:tcPr>
          <w:p>
            <w:pPr>
              <w:pStyle w:val="15"/>
            </w:pPr>
            <w:r>
              <w:t>15.60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1212.47</w:t>
            </w:r>
          </w:p>
        </w:tc>
        <w:tc>
          <w:tcPr>
            <w:tcW w:w="3402" w:type="dxa"/>
            <w:vAlign w:val="center"/>
          </w:tcPr>
          <w:p>
            <w:pPr>
              <w:pStyle w:val="16"/>
            </w:pPr>
            <w:r>
              <w:t>一、一般公共服务支出</w:t>
            </w:r>
          </w:p>
        </w:tc>
        <w:tc>
          <w:tcPr>
            <w:tcW w:w="1474" w:type="dxa"/>
            <w:vAlign w:val="center"/>
          </w:tcPr>
          <w:p>
            <w:pPr>
              <w:pStyle w:val="15"/>
            </w:pPr>
            <w:r>
              <w:t>858.77</w:t>
            </w:r>
          </w:p>
        </w:tc>
        <w:tc>
          <w:tcPr>
            <w:tcW w:w="1474" w:type="dxa"/>
            <w:vAlign w:val="center"/>
          </w:tcPr>
          <w:p>
            <w:pPr>
              <w:pStyle w:val="15"/>
            </w:pPr>
            <w:r>
              <w:t>858.77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一、一般公共预算拨款</w:t>
            </w:r>
          </w:p>
        </w:tc>
        <w:tc>
          <w:tcPr>
            <w:tcW w:w="1474" w:type="dxa"/>
            <w:vAlign w:val="center"/>
          </w:tcPr>
          <w:p>
            <w:pPr>
              <w:pStyle w:val="15"/>
            </w:pPr>
            <w:r>
              <w:t>1212.47</w:t>
            </w:r>
          </w:p>
        </w:tc>
        <w:tc>
          <w:tcPr>
            <w:tcW w:w="3402" w:type="dxa"/>
            <w:vAlign w:val="center"/>
          </w:tcPr>
          <w:p>
            <w:pPr>
              <w:pStyle w:val="16"/>
            </w:pPr>
            <w:r>
              <w:t>一、一般公共服务支出</w:t>
            </w:r>
          </w:p>
        </w:tc>
        <w:tc>
          <w:tcPr>
            <w:tcW w:w="1474" w:type="dxa"/>
            <w:vAlign w:val="center"/>
          </w:tcPr>
          <w:p>
            <w:pPr>
              <w:pStyle w:val="15"/>
            </w:pPr>
            <w:r>
              <w:t>858.77</w:t>
            </w:r>
          </w:p>
        </w:tc>
        <w:tc>
          <w:tcPr>
            <w:tcW w:w="1474" w:type="dxa"/>
            <w:vAlign w:val="center"/>
          </w:tcPr>
          <w:p>
            <w:pPr>
              <w:pStyle w:val="15"/>
            </w:pPr>
            <w:r>
              <w:t>858.77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120.87</w:t>
            </w:r>
          </w:p>
        </w:tc>
        <w:tc>
          <w:tcPr>
            <w:tcW w:w="1474" w:type="dxa"/>
            <w:vAlign w:val="center"/>
          </w:tcPr>
          <w:p>
            <w:pPr>
              <w:pStyle w:val="15"/>
            </w:pPr>
            <w:r>
              <w:t>120.87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120.87</w:t>
            </w:r>
          </w:p>
        </w:tc>
        <w:tc>
          <w:tcPr>
            <w:tcW w:w="1474" w:type="dxa"/>
            <w:vAlign w:val="center"/>
          </w:tcPr>
          <w:p>
            <w:pPr>
              <w:pStyle w:val="15"/>
            </w:pPr>
            <w:r>
              <w:t>120.87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76.80</w:t>
            </w:r>
          </w:p>
        </w:tc>
        <w:tc>
          <w:tcPr>
            <w:tcW w:w="1474" w:type="dxa"/>
            <w:vAlign w:val="center"/>
          </w:tcPr>
          <w:p>
            <w:pPr>
              <w:pStyle w:val="15"/>
            </w:pPr>
            <w:r>
              <w:t>76.80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76.80</w:t>
            </w:r>
          </w:p>
        </w:tc>
        <w:tc>
          <w:tcPr>
            <w:tcW w:w="1474" w:type="dxa"/>
            <w:vAlign w:val="center"/>
          </w:tcPr>
          <w:p>
            <w:pPr>
              <w:pStyle w:val="15"/>
            </w:pPr>
            <w:r>
              <w:t>76.80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95.60</w:t>
            </w:r>
          </w:p>
        </w:tc>
        <w:tc>
          <w:tcPr>
            <w:tcW w:w="1474" w:type="dxa"/>
            <w:vAlign w:val="center"/>
          </w:tcPr>
          <w:p>
            <w:pPr>
              <w:pStyle w:val="15"/>
            </w:pPr>
            <w:r>
              <w:t>95.60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95.60</w:t>
            </w:r>
          </w:p>
        </w:tc>
        <w:tc>
          <w:tcPr>
            <w:tcW w:w="1474" w:type="dxa"/>
            <w:vAlign w:val="center"/>
          </w:tcPr>
          <w:p>
            <w:pPr>
              <w:pStyle w:val="15"/>
            </w:pPr>
            <w:r>
              <w:t>95.60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60.43</w:t>
            </w:r>
          </w:p>
        </w:tc>
        <w:tc>
          <w:tcPr>
            <w:tcW w:w="1474" w:type="dxa"/>
            <w:vAlign w:val="center"/>
          </w:tcPr>
          <w:p>
            <w:pPr>
              <w:pStyle w:val="15"/>
            </w:pPr>
            <w:r>
              <w:t>60.43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60.43</w:t>
            </w:r>
          </w:p>
        </w:tc>
        <w:tc>
          <w:tcPr>
            <w:tcW w:w="1474" w:type="dxa"/>
            <w:vAlign w:val="center"/>
          </w:tcPr>
          <w:p>
            <w:pPr>
              <w:pStyle w:val="15"/>
            </w:pPr>
            <w:r>
              <w:t>60.43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63</w:t>
            </w:r>
          </w:p>
        </w:tc>
        <w:tc>
          <w:tcPr>
            <w:tcW w:w="3402" w:type="dxa"/>
            <w:vAlign w:val="center"/>
          </w:tcPr>
          <w:p>
            <w:pPr>
              <w:pStyle w:val="18"/>
            </w:pPr>
            <w:r>
              <w:t>本年收入合计</w:t>
            </w:r>
          </w:p>
        </w:tc>
        <w:tc>
          <w:tcPr>
            <w:tcW w:w="1474" w:type="dxa"/>
            <w:vAlign w:val="center"/>
          </w:tcPr>
          <w:p>
            <w:pPr>
              <w:pStyle w:val="19"/>
            </w:pPr>
            <w:r>
              <w:t>1212.47</w:t>
            </w:r>
          </w:p>
        </w:tc>
        <w:tc>
          <w:tcPr>
            <w:tcW w:w="3402" w:type="dxa"/>
            <w:vAlign w:val="center"/>
          </w:tcPr>
          <w:p>
            <w:pPr>
              <w:pStyle w:val="18"/>
            </w:pPr>
            <w:r>
              <w:t>本年支出合计</w:t>
            </w:r>
          </w:p>
        </w:tc>
        <w:tc>
          <w:tcPr>
            <w:tcW w:w="1474" w:type="dxa"/>
            <w:vAlign w:val="center"/>
          </w:tcPr>
          <w:p>
            <w:pPr>
              <w:pStyle w:val="19"/>
            </w:pPr>
            <w:r>
              <w:t>1212.47</w:t>
            </w:r>
          </w:p>
        </w:tc>
        <w:tc>
          <w:tcPr>
            <w:tcW w:w="1474" w:type="dxa"/>
            <w:vAlign w:val="center"/>
          </w:tcPr>
          <w:p>
            <w:pPr>
              <w:pStyle w:val="19"/>
            </w:pPr>
            <w:r>
              <w:t>1212.47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64</w:t>
            </w:r>
          </w:p>
        </w:tc>
        <w:tc>
          <w:tcPr>
            <w:tcW w:w="3402" w:type="dxa"/>
            <w:vAlign w:val="center"/>
          </w:tcPr>
          <w:p>
            <w:pPr>
              <w:pStyle w:val="18"/>
            </w:pPr>
            <w:r>
              <w:t>本年收入合计</w:t>
            </w:r>
          </w:p>
        </w:tc>
        <w:tc>
          <w:tcPr>
            <w:tcW w:w="1474" w:type="dxa"/>
            <w:vAlign w:val="center"/>
          </w:tcPr>
          <w:p>
            <w:pPr>
              <w:pStyle w:val="19"/>
            </w:pPr>
            <w:r>
              <w:t>1212.47</w:t>
            </w:r>
          </w:p>
        </w:tc>
        <w:tc>
          <w:tcPr>
            <w:tcW w:w="3402" w:type="dxa"/>
            <w:vAlign w:val="center"/>
          </w:tcPr>
          <w:p>
            <w:pPr>
              <w:pStyle w:val="18"/>
            </w:pPr>
            <w:r>
              <w:t>本年支出合计</w:t>
            </w:r>
          </w:p>
        </w:tc>
        <w:tc>
          <w:tcPr>
            <w:tcW w:w="1474" w:type="dxa"/>
            <w:vAlign w:val="center"/>
          </w:tcPr>
          <w:p>
            <w:pPr>
              <w:pStyle w:val="19"/>
            </w:pPr>
            <w:r>
              <w:t>1212.47</w:t>
            </w:r>
          </w:p>
        </w:tc>
        <w:tc>
          <w:tcPr>
            <w:tcW w:w="1474" w:type="dxa"/>
            <w:vAlign w:val="center"/>
          </w:tcPr>
          <w:p>
            <w:pPr>
              <w:pStyle w:val="19"/>
            </w:pPr>
            <w:r>
              <w:t>1212.47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65</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66</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67</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68</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69</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70</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71</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72</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73</w:t>
            </w:r>
          </w:p>
        </w:tc>
        <w:tc>
          <w:tcPr>
            <w:tcW w:w="3402" w:type="dxa"/>
            <w:vAlign w:val="center"/>
          </w:tcPr>
          <w:p>
            <w:pPr>
              <w:pStyle w:val="18"/>
            </w:pPr>
            <w:r>
              <w:t>收入总计</w:t>
            </w:r>
          </w:p>
        </w:tc>
        <w:tc>
          <w:tcPr>
            <w:tcW w:w="1474" w:type="dxa"/>
            <w:vAlign w:val="center"/>
          </w:tcPr>
          <w:p>
            <w:pPr>
              <w:pStyle w:val="19"/>
            </w:pPr>
            <w:r>
              <w:t>1212.47</w:t>
            </w:r>
          </w:p>
        </w:tc>
        <w:tc>
          <w:tcPr>
            <w:tcW w:w="3402" w:type="dxa"/>
            <w:vAlign w:val="center"/>
          </w:tcPr>
          <w:p>
            <w:pPr>
              <w:pStyle w:val="18"/>
            </w:pPr>
            <w:r>
              <w:t>支出总计</w:t>
            </w:r>
          </w:p>
        </w:tc>
        <w:tc>
          <w:tcPr>
            <w:tcW w:w="1474" w:type="dxa"/>
            <w:vAlign w:val="center"/>
          </w:tcPr>
          <w:p>
            <w:pPr>
              <w:pStyle w:val="19"/>
            </w:pPr>
            <w:r>
              <w:t>1212.47</w:t>
            </w:r>
          </w:p>
        </w:tc>
        <w:tc>
          <w:tcPr>
            <w:tcW w:w="1474" w:type="dxa"/>
            <w:vAlign w:val="center"/>
          </w:tcPr>
          <w:p>
            <w:pPr>
              <w:pStyle w:val="19"/>
            </w:pPr>
            <w:r>
              <w:t>1212.47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74</w:t>
            </w:r>
          </w:p>
        </w:tc>
        <w:tc>
          <w:tcPr>
            <w:tcW w:w="3402" w:type="dxa"/>
            <w:vAlign w:val="center"/>
          </w:tcPr>
          <w:p>
            <w:pPr>
              <w:pStyle w:val="18"/>
            </w:pPr>
            <w:r>
              <w:t>收入总计</w:t>
            </w:r>
          </w:p>
        </w:tc>
        <w:tc>
          <w:tcPr>
            <w:tcW w:w="1474" w:type="dxa"/>
            <w:vAlign w:val="center"/>
          </w:tcPr>
          <w:p>
            <w:pPr>
              <w:pStyle w:val="19"/>
            </w:pPr>
            <w:r>
              <w:t>1212.47</w:t>
            </w:r>
          </w:p>
        </w:tc>
        <w:tc>
          <w:tcPr>
            <w:tcW w:w="3402" w:type="dxa"/>
            <w:vAlign w:val="center"/>
          </w:tcPr>
          <w:p>
            <w:pPr>
              <w:pStyle w:val="18"/>
            </w:pPr>
            <w:r>
              <w:t>支出总计</w:t>
            </w:r>
          </w:p>
        </w:tc>
        <w:tc>
          <w:tcPr>
            <w:tcW w:w="1474" w:type="dxa"/>
            <w:vAlign w:val="center"/>
          </w:tcPr>
          <w:p>
            <w:pPr>
              <w:pStyle w:val="19"/>
            </w:pPr>
            <w:r>
              <w:t>1212.47</w:t>
            </w:r>
          </w:p>
        </w:tc>
        <w:tc>
          <w:tcPr>
            <w:tcW w:w="1474" w:type="dxa"/>
            <w:vAlign w:val="center"/>
          </w:tcPr>
          <w:p>
            <w:pPr>
              <w:pStyle w:val="19"/>
            </w:pPr>
            <w:r>
              <w:t>1212.47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1212.47</w:t>
            </w:r>
          </w:p>
        </w:tc>
        <w:tc>
          <w:tcPr>
            <w:tcW w:w="2551" w:type="dxa"/>
            <w:vAlign w:val="center"/>
          </w:tcPr>
          <w:p>
            <w:pPr>
              <w:pStyle w:val="19"/>
            </w:pPr>
            <w:r>
              <w:t>1050.74</w:t>
            </w:r>
          </w:p>
        </w:tc>
        <w:tc>
          <w:tcPr>
            <w:tcW w:w="2551" w:type="dxa"/>
            <w:vAlign w:val="center"/>
          </w:tcPr>
          <w:p>
            <w:pPr>
              <w:pStyle w:val="19"/>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p>
        </w:tc>
        <w:tc>
          <w:tcPr>
            <w:tcW w:w="4535" w:type="dxa"/>
            <w:vAlign w:val="center"/>
          </w:tcPr>
          <w:p>
            <w:pPr>
              <w:pStyle w:val="16"/>
            </w:pPr>
            <w:r>
              <w:t>合计</w:t>
            </w:r>
          </w:p>
        </w:tc>
        <w:tc>
          <w:tcPr>
            <w:tcW w:w="2551" w:type="dxa"/>
            <w:vAlign w:val="center"/>
          </w:tcPr>
          <w:p>
            <w:pPr>
              <w:pStyle w:val="15"/>
            </w:pPr>
            <w:r>
              <w:t>1212.47</w:t>
            </w:r>
          </w:p>
        </w:tc>
        <w:tc>
          <w:tcPr>
            <w:tcW w:w="2551" w:type="dxa"/>
            <w:vAlign w:val="center"/>
          </w:tcPr>
          <w:p>
            <w:pPr>
              <w:pStyle w:val="15"/>
            </w:pPr>
            <w:r>
              <w:t>1050.74</w:t>
            </w:r>
          </w:p>
        </w:tc>
        <w:tc>
          <w:tcPr>
            <w:tcW w:w="2551" w:type="dxa"/>
            <w:vAlign w:val="center"/>
          </w:tcPr>
          <w:p>
            <w:pPr>
              <w:pStyle w:val="15"/>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858.77</w:t>
            </w:r>
          </w:p>
        </w:tc>
        <w:tc>
          <w:tcPr>
            <w:tcW w:w="2551" w:type="dxa"/>
            <w:vAlign w:val="center"/>
          </w:tcPr>
          <w:p>
            <w:pPr>
              <w:pStyle w:val="15"/>
            </w:pPr>
            <w:r>
              <w:t>792.64</w:t>
            </w:r>
          </w:p>
        </w:tc>
        <w:tc>
          <w:tcPr>
            <w:tcW w:w="2551" w:type="dxa"/>
            <w:vAlign w:val="center"/>
          </w:tcPr>
          <w:p>
            <w:pPr>
              <w:pStyle w:val="15"/>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858.77</w:t>
            </w:r>
          </w:p>
        </w:tc>
        <w:tc>
          <w:tcPr>
            <w:tcW w:w="2551" w:type="dxa"/>
            <w:vAlign w:val="center"/>
          </w:tcPr>
          <w:p>
            <w:pPr>
              <w:pStyle w:val="15"/>
            </w:pPr>
            <w:r>
              <w:t>792.64</w:t>
            </w:r>
          </w:p>
        </w:tc>
        <w:tc>
          <w:tcPr>
            <w:tcW w:w="2551" w:type="dxa"/>
            <w:vAlign w:val="center"/>
          </w:tcPr>
          <w:p>
            <w:pPr>
              <w:pStyle w:val="15"/>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858.77</w:t>
            </w:r>
          </w:p>
        </w:tc>
        <w:tc>
          <w:tcPr>
            <w:tcW w:w="2551" w:type="dxa"/>
            <w:vAlign w:val="center"/>
          </w:tcPr>
          <w:p>
            <w:pPr>
              <w:pStyle w:val="15"/>
            </w:pPr>
            <w:r>
              <w:t>792.64</w:t>
            </w:r>
          </w:p>
        </w:tc>
        <w:tc>
          <w:tcPr>
            <w:tcW w:w="2551" w:type="dxa"/>
            <w:vAlign w:val="center"/>
          </w:tcPr>
          <w:p>
            <w:pPr>
              <w:pStyle w:val="15"/>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858.77</w:t>
            </w:r>
          </w:p>
        </w:tc>
        <w:tc>
          <w:tcPr>
            <w:tcW w:w="2551" w:type="dxa"/>
            <w:vAlign w:val="center"/>
          </w:tcPr>
          <w:p>
            <w:pPr>
              <w:pStyle w:val="15"/>
            </w:pPr>
            <w:r>
              <w:t>792.64</w:t>
            </w:r>
          </w:p>
        </w:tc>
        <w:tc>
          <w:tcPr>
            <w:tcW w:w="2551" w:type="dxa"/>
            <w:vAlign w:val="center"/>
          </w:tcPr>
          <w:p>
            <w:pPr>
              <w:pStyle w:val="15"/>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792.64</w:t>
            </w:r>
          </w:p>
        </w:tc>
        <w:tc>
          <w:tcPr>
            <w:tcW w:w="2551" w:type="dxa"/>
            <w:vAlign w:val="center"/>
          </w:tcPr>
          <w:p>
            <w:pPr>
              <w:pStyle w:val="15"/>
            </w:pPr>
            <w:r>
              <w:t>792.64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792.64</w:t>
            </w:r>
          </w:p>
        </w:tc>
        <w:tc>
          <w:tcPr>
            <w:tcW w:w="2551" w:type="dxa"/>
            <w:vAlign w:val="center"/>
          </w:tcPr>
          <w:p>
            <w:pPr>
              <w:pStyle w:val="15"/>
            </w:pPr>
            <w:r>
              <w:t>792.64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66.13</w:t>
            </w:r>
          </w:p>
        </w:tc>
        <w:tc>
          <w:tcPr>
            <w:tcW w:w="2551" w:type="dxa"/>
            <w:vAlign w:val="center"/>
          </w:tcPr>
          <w:p>
            <w:pPr>
              <w:pStyle w:val="15"/>
            </w:pPr>
          </w:p>
        </w:tc>
        <w:tc>
          <w:tcPr>
            <w:tcW w:w="2551" w:type="dxa"/>
            <w:vAlign w:val="center"/>
          </w:tcPr>
          <w:p>
            <w:pPr>
              <w:pStyle w:val="15"/>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66.13</w:t>
            </w:r>
          </w:p>
        </w:tc>
        <w:tc>
          <w:tcPr>
            <w:tcW w:w="2551" w:type="dxa"/>
            <w:vAlign w:val="center"/>
          </w:tcPr>
          <w:p>
            <w:pPr>
              <w:pStyle w:val="15"/>
            </w:pPr>
          </w:p>
        </w:tc>
        <w:tc>
          <w:tcPr>
            <w:tcW w:w="2551" w:type="dxa"/>
            <w:vAlign w:val="center"/>
          </w:tcPr>
          <w:p>
            <w:pPr>
              <w:pStyle w:val="15"/>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120.87</w:t>
            </w:r>
          </w:p>
        </w:tc>
        <w:tc>
          <w:tcPr>
            <w:tcW w:w="2551" w:type="dxa"/>
            <w:vAlign w:val="center"/>
          </w:tcPr>
          <w:p>
            <w:pPr>
              <w:pStyle w:val="15"/>
            </w:pPr>
            <w:r>
              <w:t>120.87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120.87</w:t>
            </w:r>
          </w:p>
        </w:tc>
        <w:tc>
          <w:tcPr>
            <w:tcW w:w="2551" w:type="dxa"/>
            <w:vAlign w:val="center"/>
          </w:tcPr>
          <w:p>
            <w:pPr>
              <w:pStyle w:val="15"/>
            </w:pPr>
            <w:r>
              <w:t>120.87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2551" w:type="dxa"/>
            <w:vAlign w:val="center"/>
          </w:tcPr>
          <w:p>
            <w:pPr>
              <w:pStyle w:val="15"/>
            </w:pPr>
            <w:r>
              <w:t>120.87</w:t>
            </w:r>
          </w:p>
        </w:tc>
        <w:tc>
          <w:tcPr>
            <w:tcW w:w="2551" w:type="dxa"/>
            <w:vAlign w:val="center"/>
          </w:tcPr>
          <w:p>
            <w:pPr>
              <w:pStyle w:val="15"/>
            </w:pPr>
            <w:r>
              <w:t>120.87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w:t>
            </w:r>
          </w:p>
        </w:tc>
        <w:tc>
          <w:tcPr>
            <w:tcW w:w="4535" w:type="dxa"/>
            <w:vAlign w:val="center"/>
          </w:tcPr>
          <w:p>
            <w:pPr>
              <w:pStyle w:val="16"/>
            </w:pPr>
            <w:r>
              <w:t>行政事业</w:t>
            </w:r>
            <w:r>
              <w:rPr>
                <w:rFonts w:hint="eastAsia"/>
                <w:lang w:eastAsia="zh-CN"/>
              </w:rPr>
              <w:t>部门</w:t>
            </w:r>
            <w:r>
              <w:t>养老支出</w:t>
            </w:r>
          </w:p>
        </w:tc>
        <w:tc>
          <w:tcPr>
            <w:tcW w:w="2551" w:type="dxa"/>
            <w:vAlign w:val="center"/>
          </w:tcPr>
          <w:p>
            <w:pPr>
              <w:pStyle w:val="15"/>
            </w:pPr>
            <w:r>
              <w:t>120.87</w:t>
            </w:r>
          </w:p>
        </w:tc>
        <w:tc>
          <w:tcPr>
            <w:tcW w:w="2551" w:type="dxa"/>
            <w:vAlign w:val="center"/>
          </w:tcPr>
          <w:p>
            <w:pPr>
              <w:pStyle w:val="15"/>
            </w:pPr>
            <w:r>
              <w:t>120.87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2551" w:type="dxa"/>
            <w:vAlign w:val="center"/>
          </w:tcPr>
          <w:p>
            <w:pPr>
              <w:pStyle w:val="15"/>
            </w:pPr>
            <w:r>
              <w:t>80.58</w:t>
            </w:r>
          </w:p>
        </w:tc>
        <w:tc>
          <w:tcPr>
            <w:tcW w:w="2551" w:type="dxa"/>
            <w:vAlign w:val="center"/>
          </w:tcPr>
          <w:p>
            <w:pPr>
              <w:pStyle w:val="15"/>
            </w:pPr>
            <w:r>
              <w:t>80.58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2080505</w:t>
            </w:r>
          </w:p>
        </w:tc>
        <w:tc>
          <w:tcPr>
            <w:tcW w:w="4535" w:type="dxa"/>
            <w:vAlign w:val="center"/>
          </w:tcPr>
          <w:p>
            <w:pPr>
              <w:pStyle w:val="16"/>
            </w:pPr>
            <w:r>
              <w:t>机关事业</w:t>
            </w:r>
            <w:r>
              <w:rPr>
                <w:rFonts w:hint="eastAsia"/>
                <w:lang w:eastAsia="zh-CN"/>
              </w:rPr>
              <w:t>部门</w:t>
            </w:r>
            <w:r>
              <w:t>基本养老保险缴费支出</w:t>
            </w:r>
          </w:p>
        </w:tc>
        <w:tc>
          <w:tcPr>
            <w:tcW w:w="2551" w:type="dxa"/>
            <w:vAlign w:val="center"/>
          </w:tcPr>
          <w:p>
            <w:pPr>
              <w:pStyle w:val="15"/>
            </w:pPr>
            <w:r>
              <w:t>80.58</w:t>
            </w:r>
          </w:p>
        </w:tc>
        <w:tc>
          <w:tcPr>
            <w:tcW w:w="2551" w:type="dxa"/>
            <w:vAlign w:val="center"/>
          </w:tcPr>
          <w:p>
            <w:pPr>
              <w:pStyle w:val="15"/>
            </w:pPr>
            <w:r>
              <w:t>80.58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2080506</w:t>
            </w:r>
          </w:p>
        </w:tc>
        <w:tc>
          <w:tcPr>
            <w:tcW w:w="4535" w:type="dxa"/>
            <w:vAlign w:val="center"/>
          </w:tcPr>
          <w:p>
            <w:pPr>
              <w:pStyle w:val="16"/>
            </w:pPr>
            <w:r>
              <w:t>机关事业</w:t>
            </w:r>
            <w:r>
              <w:rPr>
                <w:rFonts w:hint="eastAsia"/>
                <w:lang w:eastAsia="zh-CN"/>
              </w:rPr>
              <w:t>部门</w:t>
            </w:r>
            <w:r>
              <w:t>职业年金缴费支出</w:t>
            </w:r>
          </w:p>
        </w:tc>
        <w:tc>
          <w:tcPr>
            <w:tcW w:w="2551" w:type="dxa"/>
            <w:vAlign w:val="center"/>
          </w:tcPr>
          <w:p>
            <w:pPr>
              <w:pStyle w:val="15"/>
            </w:pPr>
            <w:r>
              <w:t>40.29</w:t>
            </w:r>
          </w:p>
        </w:tc>
        <w:tc>
          <w:tcPr>
            <w:tcW w:w="2551" w:type="dxa"/>
            <w:vAlign w:val="center"/>
          </w:tcPr>
          <w:p>
            <w:pPr>
              <w:pStyle w:val="15"/>
            </w:pPr>
            <w:r>
              <w:t>40.29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2080506</w:t>
            </w:r>
          </w:p>
        </w:tc>
        <w:tc>
          <w:tcPr>
            <w:tcW w:w="4535" w:type="dxa"/>
            <w:vAlign w:val="center"/>
          </w:tcPr>
          <w:p>
            <w:pPr>
              <w:pStyle w:val="16"/>
            </w:pPr>
            <w:r>
              <w:t>机关事业</w:t>
            </w:r>
            <w:r>
              <w:rPr>
                <w:rFonts w:hint="eastAsia"/>
                <w:lang w:eastAsia="zh-CN"/>
              </w:rPr>
              <w:t>部门</w:t>
            </w:r>
            <w:r>
              <w:t>职业年金缴费支出</w:t>
            </w:r>
          </w:p>
        </w:tc>
        <w:tc>
          <w:tcPr>
            <w:tcW w:w="2551" w:type="dxa"/>
            <w:vAlign w:val="center"/>
          </w:tcPr>
          <w:p>
            <w:pPr>
              <w:pStyle w:val="15"/>
            </w:pPr>
            <w:r>
              <w:t>40.29</w:t>
            </w:r>
          </w:p>
        </w:tc>
        <w:tc>
          <w:tcPr>
            <w:tcW w:w="2551" w:type="dxa"/>
            <w:vAlign w:val="center"/>
          </w:tcPr>
          <w:p>
            <w:pPr>
              <w:pStyle w:val="15"/>
            </w:pPr>
            <w:r>
              <w:t>40.29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21011</w:t>
            </w:r>
          </w:p>
        </w:tc>
        <w:tc>
          <w:tcPr>
            <w:tcW w:w="4535" w:type="dxa"/>
            <w:vAlign w:val="center"/>
          </w:tcPr>
          <w:p>
            <w:pPr>
              <w:pStyle w:val="16"/>
            </w:pPr>
            <w:r>
              <w:t>行政事业</w:t>
            </w:r>
            <w:r>
              <w:rPr>
                <w:rFonts w:hint="eastAsia"/>
                <w:lang w:eastAsia="zh-CN"/>
              </w:rPr>
              <w:t>部门</w:t>
            </w:r>
            <w:r>
              <w:t>医疗</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21011</w:t>
            </w:r>
          </w:p>
        </w:tc>
        <w:tc>
          <w:tcPr>
            <w:tcW w:w="4535" w:type="dxa"/>
            <w:vAlign w:val="center"/>
          </w:tcPr>
          <w:p>
            <w:pPr>
              <w:pStyle w:val="16"/>
            </w:pPr>
            <w:r>
              <w:t>行政事业</w:t>
            </w:r>
            <w:r>
              <w:rPr>
                <w:rFonts w:hint="eastAsia"/>
                <w:lang w:eastAsia="zh-CN"/>
              </w:rPr>
              <w:t>部门</w:t>
            </w:r>
            <w:r>
              <w:t>医疗</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2101101</w:t>
            </w:r>
          </w:p>
        </w:tc>
        <w:tc>
          <w:tcPr>
            <w:tcW w:w="4535" w:type="dxa"/>
            <w:vAlign w:val="center"/>
          </w:tcPr>
          <w:p>
            <w:pPr>
              <w:pStyle w:val="16"/>
            </w:pPr>
            <w:r>
              <w:t>行政</w:t>
            </w:r>
            <w:r>
              <w:rPr>
                <w:rFonts w:hint="eastAsia"/>
                <w:lang w:eastAsia="zh-CN"/>
              </w:rPr>
              <w:t>部门</w:t>
            </w:r>
            <w:r>
              <w:t>医疗</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2101101</w:t>
            </w:r>
          </w:p>
        </w:tc>
        <w:tc>
          <w:tcPr>
            <w:tcW w:w="4535" w:type="dxa"/>
            <w:vAlign w:val="center"/>
          </w:tcPr>
          <w:p>
            <w:pPr>
              <w:pStyle w:val="16"/>
            </w:pPr>
            <w:r>
              <w:t>行政</w:t>
            </w:r>
            <w:r>
              <w:rPr>
                <w:rFonts w:hint="eastAsia"/>
                <w:lang w:eastAsia="zh-CN"/>
              </w:rPr>
              <w:t>部门</w:t>
            </w:r>
            <w:r>
              <w:t>医疗</w:t>
            </w:r>
          </w:p>
        </w:tc>
        <w:tc>
          <w:tcPr>
            <w:tcW w:w="2551" w:type="dxa"/>
            <w:vAlign w:val="center"/>
          </w:tcPr>
          <w:p>
            <w:pPr>
              <w:pStyle w:val="15"/>
            </w:pPr>
            <w:r>
              <w:t>76.80</w:t>
            </w:r>
          </w:p>
        </w:tc>
        <w:tc>
          <w:tcPr>
            <w:tcW w:w="2551" w:type="dxa"/>
            <w:vAlign w:val="center"/>
          </w:tcPr>
          <w:p>
            <w:pPr>
              <w:pStyle w:val="15"/>
            </w:pPr>
            <w:r>
              <w:t>76.80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95.60</w:t>
            </w:r>
          </w:p>
        </w:tc>
        <w:tc>
          <w:tcPr>
            <w:tcW w:w="2551" w:type="dxa"/>
            <w:vAlign w:val="center"/>
          </w:tcPr>
          <w:p>
            <w:pPr>
              <w:pStyle w:val="15"/>
            </w:pPr>
          </w:p>
        </w:tc>
        <w:tc>
          <w:tcPr>
            <w:tcW w:w="2551"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95.60</w:t>
            </w:r>
          </w:p>
        </w:tc>
        <w:tc>
          <w:tcPr>
            <w:tcW w:w="2551" w:type="dxa"/>
            <w:vAlign w:val="center"/>
          </w:tcPr>
          <w:p>
            <w:pPr>
              <w:pStyle w:val="15"/>
            </w:pPr>
          </w:p>
        </w:tc>
        <w:tc>
          <w:tcPr>
            <w:tcW w:w="2551"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95.60</w:t>
            </w:r>
          </w:p>
        </w:tc>
        <w:tc>
          <w:tcPr>
            <w:tcW w:w="2551" w:type="dxa"/>
            <w:vAlign w:val="center"/>
          </w:tcPr>
          <w:p>
            <w:pPr>
              <w:pStyle w:val="15"/>
            </w:pPr>
          </w:p>
        </w:tc>
        <w:tc>
          <w:tcPr>
            <w:tcW w:w="2551"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95.60</w:t>
            </w:r>
          </w:p>
        </w:tc>
        <w:tc>
          <w:tcPr>
            <w:tcW w:w="2551" w:type="dxa"/>
            <w:vAlign w:val="center"/>
          </w:tcPr>
          <w:p>
            <w:pPr>
              <w:pStyle w:val="15"/>
            </w:pPr>
          </w:p>
        </w:tc>
        <w:tc>
          <w:tcPr>
            <w:tcW w:w="2551" w:type="dxa"/>
            <w:vAlign w:val="center"/>
          </w:tcPr>
          <w:p>
            <w:pPr>
              <w:pStyle w:val="15"/>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2130701</w:t>
            </w:r>
          </w:p>
        </w:tc>
        <w:tc>
          <w:tcPr>
            <w:tcW w:w="4535" w:type="dxa"/>
            <w:vAlign w:val="center"/>
          </w:tcPr>
          <w:p>
            <w:pPr>
              <w:pStyle w:val="16"/>
            </w:pPr>
            <w:r>
              <w:t>对村级公益事业建设的补助</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2130701</w:t>
            </w:r>
          </w:p>
        </w:tc>
        <w:tc>
          <w:tcPr>
            <w:tcW w:w="4535" w:type="dxa"/>
            <w:vAlign w:val="center"/>
          </w:tcPr>
          <w:p>
            <w:pPr>
              <w:pStyle w:val="16"/>
            </w:pPr>
            <w:r>
              <w:t>对村级公益事业建设的补助</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15.60</w:t>
            </w:r>
          </w:p>
        </w:tc>
        <w:tc>
          <w:tcPr>
            <w:tcW w:w="2551" w:type="dxa"/>
            <w:vAlign w:val="center"/>
          </w:tcPr>
          <w:p>
            <w:pPr>
              <w:pStyle w:val="15"/>
            </w:pPr>
          </w:p>
        </w:tc>
        <w:tc>
          <w:tcPr>
            <w:tcW w:w="2551" w:type="dxa"/>
            <w:vAlign w:val="center"/>
          </w:tcPr>
          <w:p>
            <w:pPr>
              <w:pStyle w:val="15"/>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15.60</w:t>
            </w:r>
          </w:p>
        </w:tc>
        <w:tc>
          <w:tcPr>
            <w:tcW w:w="2551" w:type="dxa"/>
            <w:vAlign w:val="center"/>
          </w:tcPr>
          <w:p>
            <w:pPr>
              <w:pStyle w:val="15"/>
            </w:pPr>
          </w:p>
        </w:tc>
        <w:tc>
          <w:tcPr>
            <w:tcW w:w="2551" w:type="dxa"/>
            <w:vAlign w:val="center"/>
          </w:tcPr>
          <w:p>
            <w:pPr>
              <w:pStyle w:val="15"/>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部门</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1050.74</w:t>
            </w:r>
          </w:p>
        </w:tc>
        <w:tc>
          <w:tcPr>
            <w:tcW w:w="2551" w:type="dxa"/>
            <w:vAlign w:val="center"/>
          </w:tcPr>
          <w:p>
            <w:pPr>
              <w:pStyle w:val="19"/>
            </w:pPr>
            <w:r>
              <w:t>957.60</w:t>
            </w:r>
          </w:p>
        </w:tc>
        <w:tc>
          <w:tcPr>
            <w:tcW w:w="2551" w:type="dxa"/>
            <w:vAlign w:val="center"/>
          </w:tcPr>
          <w:p>
            <w:pPr>
              <w:pStyle w:val="19"/>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p>
        </w:tc>
        <w:tc>
          <w:tcPr>
            <w:tcW w:w="4535" w:type="dxa"/>
            <w:vAlign w:val="center"/>
          </w:tcPr>
          <w:p>
            <w:pPr>
              <w:pStyle w:val="16"/>
            </w:pPr>
            <w:r>
              <w:t>合计</w:t>
            </w:r>
          </w:p>
        </w:tc>
        <w:tc>
          <w:tcPr>
            <w:tcW w:w="2551" w:type="dxa"/>
            <w:vAlign w:val="center"/>
          </w:tcPr>
          <w:p>
            <w:pPr>
              <w:pStyle w:val="15"/>
            </w:pPr>
            <w:r>
              <w:t>1050.74</w:t>
            </w:r>
          </w:p>
        </w:tc>
        <w:tc>
          <w:tcPr>
            <w:tcW w:w="2551" w:type="dxa"/>
            <w:vAlign w:val="center"/>
          </w:tcPr>
          <w:p>
            <w:pPr>
              <w:pStyle w:val="15"/>
            </w:pPr>
            <w:r>
              <w:t>957.60</w:t>
            </w:r>
          </w:p>
        </w:tc>
        <w:tc>
          <w:tcPr>
            <w:tcW w:w="2551" w:type="dxa"/>
            <w:vAlign w:val="center"/>
          </w:tcPr>
          <w:p>
            <w:pPr>
              <w:pStyle w:val="15"/>
            </w:pPr>
            <w:r>
              <w:t>93.14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898.39</w:t>
            </w:r>
          </w:p>
        </w:tc>
        <w:tc>
          <w:tcPr>
            <w:tcW w:w="2551" w:type="dxa"/>
            <w:vAlign w:val="center"/>
          </w:tcPr>
          <w:p>
            <w:pPr>
              <w:pStyle w:val="15"/>
            </w:pPr>
            <w:r>
              <w:t>898.39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898.39</w:t>
            </w:r>
          </w:p>
        </w:tc>
        <w:tc>
          <w:tcPr>
            <w:tcW w:w="2551" w:type="dxa"/>
            <w:vAlign w:val="center"/>
          </w:tcPr>
          <w:p>
            <w:pPr>
              <w:pStyle w:val="15"/>
            </w:pPr>
            <w:r>
              <w:t>898.39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240.76</w:t>
            </w:r>
          </w:p>
        </w:tc>
        <w:tc>
          <w:tcPr>
            <w:tcW w:w="2551" w:type="dxa"/>
            <w:vAlign w:val="center"/>
          </w:tcPr>
          <w:p>
            <w:pPr>
              <w:pStyle w:val="15"/>
            </w:pPr>
            <w:r>
              <w:t>240.76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240.76</w:t>
            </w:r>
          </w:p>
        </w:tc>
        <w:tc>
          <w:tcPr>
            <w:tcW w:w="2551" w:type="dxa"/>
            <w:vAlign w:val="center"/>
          </w:tcPr>
          <w:p>
            <w:pPr>
              <w:pStyle w:val="15"/>
            </w:pPr>
            <w:r>
              <w:t>240.76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200.38</w:t>
            </w:r>
          </w:p>
        </w:tc>
        <w:tc>
          <w:tcPr>
            <w:tcW w:w="2551" w:type="dxa"/>
            <w:vAlign w:val="center"/>
          </w:tcPr>
          <w:p>
            <w:pPr>
              <w:pStyle w:val="15"/>
            </w:pPr>
            <w:r>
              <w:t>200.38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200.38</w:t>
            </w:r>
          </w:p>
        </w:tc>
        <w:tc>
          <w:tcPr>
            <w:tcW w:w="2551" w:type="dxa"/>
            <w:vAlign w:val="center"/>
          </w:tcPr>
          <w:p>
            <w:pPr>
              <w:pStyle w:val="15"/>
            </w:pPr>
            <w:r>
              <w:t>200.38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50.75</w:t>
            </w:r>
          </w:p>
        </w:tc>
        <w:tc>
          <w:tcPr>
            <w:tcW w:w="2551" w:type="dxa"/>
            <w:vAlign w:val="center"/>
          </w:tcPr>
          <w:p>
            <w:pPr>
              <w:pStyle w:val="15"/>
            </w:pPr>
            <w:r>
              <w:t>50.75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50.75</w:t>
            </w:r>
          </w:p>
        </w:tc>
        <w:tc>
          <w:tcPr>
            <w:tcW w:w="2551" w:type="dxa"/>
            <w:vAlign w:val="center"/>
          </w:tcPr>
          <w:p>
            <w:pPr>
              <w:pStyle w:val="15"/>
            </w:pPr>
            <w:r>
              <w:t>50.75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144.12</w:t>
            </w:r>
          </w:p>
        </w:tc>
        <w:tc>
          <w:tcPr>
            <w:tcW w:w="2551" w:type="dxa"/>
            <w:vAlign w:val="center"/>
          </w:tcPr>
          <w:p>
            <w:pPr>
              <w:pStyle w:val="15"/>
            </w:pPr>
            <w:r>
              <w:t>144.12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144.12</w:t>
            </w:r>
          </w:p>
        </w:tc>
        <w:tc>
          <w:tcPr>
            <w:tcW w:w="2551" w:type="dxa"/>
            <w:vAlign w:val="center"/>
          </w:tcPr>
          <w:p>
            <w:pPr>
              <w:pStyle w:val="15"/>
            </w:pPr>
            <w:r>
              <w:t>144.12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30108</w:t>
            </w:r>
          </w:p>
        </w:tc>
        <w:tc>
          <w:tcPr>
            <w:tcW w:w="4535" w:type="dxa"/>
            <w:vAlign w:val="center"/>
          </w:tcPr>
          <w:p>
            <w:pPr>
              <w:pStyle w:val="16"/>
            </w:pPr>
            <w:r>
              <w:t>机关事业</w:t>
            </w:r>
            <w:r>
              <w:rPr>
                <w:rFonts w:hint="eastAsia"/>
                <w:lang w:eastAsia="zh-CN"/>
              </w:rPr>
              <w:t>部门</w:t>
            </w:r>
            <w:r>
              <w:t>基本养老保险缴费</w:t>
            </w:r>
          </w:p>
        </w:tc>
        <w:tc>
          <w:tcPr>
            <w:tcW w:w="2551" w:type="dxa"/>
            <w:vAlign w:val="center"/>
          </w:tcPr>
          <w:p>
            <w:pPr>
              <w:pStyle w:val="15"/>
            </w:pPr>
            <w:r>
              <w:t>80.58</w:t>
            </w:r>
          </w:p>
        </w:tc>
        <w:tc>
          <w:tcPr>
            <w:tcW w:w="2551" w:type="dxa"/>
            <w:vAlign w:val="center"/>
          </w:tcPr>
          <w:p>
            <w:pPr>
              <w:pStyle w:val="15"/>
            </w:pPr>
            <w:r>
              <w:t>80.58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30108</w:t>
            </w:r>
          </w:p>
        </w:tc>
        <w:tc>
          <w:tcPr>
            <w:tcW w:w="4535" w:type="dxa"/>
            <w:vAlign w:val="center"/>
          </w:tcPr>
          <w:p>
            <w:pPr>
              <w:pStyle w:val="16"/>
            </w:pPr>
            <w:r>
              <w:t>机关事业</w:t>
            </w:r>
            <w:r>
              <w:rPr>
                <w:rFonts w:hint="eastAsia"/>
                <w:lang w:eastAsia="zh-CN"/>
              </w:rPr>
              <w:t>部门</w:t>
            </w:r>
            <w:r>
              <w:t>基本养老保险缴费</w:t>
            </w:r>
          </w:p>
        </w:tc>
        <w:tc>
          <w:tcPr>
            <w:tcW w:w="2551" w:type="dxa"/>
            <w:vAlign w:val="center"/>
          </w:tcPr>
          <w:p>
            <w:pPr>
              <w:pStyle w:val="15"/>
            </w:pPr>
            <w:r>
              <w:t>80.58</w:t>
            </w:r>
          </w:p>
        </w:tc>
        <w:tc>
          <w:tcPr>
            <w:tcW w:w="2551" w:type="dxa"/>
            <w:vAlign w:val="center"/>
          </w:tcPr>
          <w:p>
            <w:pPr>
              <w:pStyle w:val="15"/>
            </w:pPr>
            <w:r>
              <w:t>80.58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40.29</w:t>
            </w:r>
          </w:p>
        </w:tc>
        <w:tc>
          <w:tcPr>
            <w:tcW w:w="2551" w:type="dxa"/>
            <w:vAlign w:val="center"/>
          </w:tcPr>
          <w:p>
            <w:pPr>
              <w:pStyle w:val="15"/>
            </w:pPr>
            <w:r>
              <w:t>40.29</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40.29</w:t>
            </w:r>
          </w:p>
        </w:tc>
        <w:tc>
          <w:tcPr>
            <w:tcW w:w="2551" w:type="dxa"/>
            <w:vAlign w:val="center"/>
          </w:tcPr>
          <w:p>
            <w:pPr>
              <w:pStyle w:val="15"/>
            </w:pPr>
            <w:r>
              <w:t>40.29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36.51</w:t>
            </w:r>
          </w:p>
        </w:tc>
        <w:tc>
          <w:tcPr>
            <w:tcW w:w="2551" w:type="dxa"/>
            <w:vAlign w:val="center"/>
          </w:tcPr>
          <w:p>
            <w:pPr>
              <w:pStyle w:val="15"/>
            </w:pPr>
            <w:r>
              <w:t>36.51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36.51</w:t>
            </w:r>
          </w:p>
        </w:tc>
        <w:tc>
          <w:tcPr>
            <w:tcW w:w="2551" w:type="dxa"/>
            <w:vAlign w:val="center"/>
          </w:tcPr>
          <w:p>
            <w:pPr>
              <w:pStyle w:val="15"/>
            </w:pPr>
            <w:r>
              <w:t>36.51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40.29</w:t>
            </w:r>
          </w:p>
        </w:tc>
        <w:tc>
          <w:tcPr>
            <w:tcW w:w="2551" w:type="dxa"/>
            <w:vAlign w:val="center"/>
          </w:tcPr>
          <w:p>
            <w:pPr>
              <w:pStyle w:val="15"/>
            </w:pPr>
            <w:r>
              <w:t>40.29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40.29</w:t>
            </w:r>
          </w:p>
        </w:tc>
        <w:tc>
          <w:tcPr>
            <w:tcW w:w="2551" w:type="dxa"/>
            <w:vAlign w:val="center"/>
          </w:tcPr>
          <w:p>
            <w:pPr>
              <w:pStyle w:val="15"/>
            </w:pPr>
            <w:r>
              <w:t>40.29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4.28</w:t>
            </w:r>
          </w:p>
        </w:tc>
        <w:tc>
          <w:tcPr>
            <w:tcW w:w="2551" w:type="dxa"/>
            <w:vAlign w:val="center"/>
          </w:tcPr>
          <w:p>
            <w:pPr>
              <w:pStyle w:val="15"/>
            </w:pPr>
            <w:r>
              <w:t>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4.28</w:t>
            </w:r>
          </w:p>
        </w:tc>
        <w:tc>
          <w:tcPr>
            <w:tcW w:w="2551" w:type="dxa"/>
            <w:vAlign w:val="center"/>
          </w:tcPr>
          <w:p>
            <w:pPr>
              <w:pStyle w:val="15"/>
            </w:pPr>
            <w:r>
              <w:t>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93.14</w:t>
            </w:r>
          </w:p>
        </w:tc>
        <w:tc>
          <w:tcPr>
            <w:tcW w:w="2551" w:type="dxa"/>
            <w:vAlign w:val="center"/>
          </w:tcPr>
          <w:p>
            <w:pPr>
              <w:pStyle w:val="15"/>
            </w:pPr>
          </w:p>
        </w:tc>
        <w:tc>
          <w:tcPr>
            <w:tcW w:w="2551" w:type="dxa"/>
            <w:vAlign w:val="center"/>
          </w:tcPr>
          <w:p>
            <w:pPr>
              <w:pStyle w:val="15"/>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93.14</w:t>
            </w:r>
          </w:p>
        </w:tc>
        <w:tc>
          <w:tcPr>
            <w:tcW w:w="2551" w:type="dxa"/>
            <w:vAlign w:val="center"/>
          </w:tcPr>
          <w:p>
            <w:pPr>
              <w:pStyle w:val="15"/>
            </w:pPr>
          </w:p>
        </w:tc>
        <w:tc>
          <w:tcPr>
            <w:tcW w:w="2551" w:type="dxa"/>
            <w:vAlign w:val="center"/>
          </w:tcPr>
          <w:p>
            <w:pPr>
              <w:pStyle w:val="15"/>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8.75</w:t>
            </w:r>
          </w:p>
        </w:tc>
        <w:tc>
          <w:tcPr>
            <w:tcW w:w="2551" w:type="dxa"/>
            <w:vAlign w:val="center"/>
          </w:tcPr>
          <w:p>
            <w:pPr>
              <w:pStyle w:val="15"/>
            </w:pPr>
          </w:p>
        </w:tc>
        <w:tc>
          <w:tcPr>
            <w:tcW w:w="2551" w:type="dxa"/>
            <w:vAlign w:val="center"/>
          </w:tcPr>
          <w:p>
            <w:pPr>
              <w:pStyle w:val="15"/>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8.75</w:t>
            </w:r>
          </w:p>
        </w:tc>
        <w:tc>
          <w:tcPr>
            <w:tcW w:w="2551" w:type="dxa"/>
            <w:vAlign w:val="center"/>
          </w:tcPr>
          <w:p>
            <w:pPr>
              <w:pStyle w:val="15"/>
            </w:pPr>
          </w:p>
        </w:tc>
        <w:tc>
          <w:tcPr>
            <w:tcW w:w="2551" w:type="dxa"/>
            <w:vAlign w:val="center"/>
          </w:tcPr>
          <w:p>
            <w:pPr>
              <w:pStyle w:val="15"/>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14.02</w:t>
            </w:r>
          </w:p>
        </w:tc>
        <w:tc>
          <w:tcPr>
            <w:tcW w:w="2551" w:type="dxa"/>
            <w:vAlign w:val="center"/>
          </w:tcPr>
          <w:p>
            <w:pPr>
              <w:pStyle w:val="15"/>
            </w:pPr>
          </w:p>
        </w:tc>
        <w:tc>
          <w:tcPr>
            <w:tcW w:w="2551" w:type="dxa"/>
            <w:vAlign w:val="center"/>
          </w:tcPr>
          <w:p>
            <w:pPr>
              <w:pStyle w:val="15"/>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14.02</w:t>
            </w:r>
          </w:p>
        </w:tc>
        <w:tc>
          <w:tcPr>
            <w:tcW w:w="2551" w:type="dxa"/>
            <w:vAlign w:val="center"/>
          </w:tcPr>
          <w:p>
            <w:pPr>
              <w:pStyle w:val="15"/>
            </w:pPr>
          </w:p>
        </w:tc>
        <w:tc>
          <w:tcPr>
            <w:tcW w:w="2551" w:type="dxa"/>
            <w:vAlign w:val="center"/>
          </w:tcPr>
          <w:p>
            <w:pPr>
              <w:pStyle w:val="15"/>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18.00</w:t>
            </w:r>
          </w:p>
        </w:tc>
        <w:tc>
          <w:tcPr>
            <w:tcW w:w="2551" w:type="dxa"/>
            <w:vAlign w:val="center"/>
          </w:tcPr>
          <w:p>
            <w:pPr>
              <w:pStyle w:val="15"/>
            </w:pPr>
          </w:p>
        </w:tc>
        <w:tc>
          <w:tcPr>
            <w:tcW w:w="2551"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18.00</w:t>
            </w:r>
          </w:p>
        </w:tc>
        <w:tc>
          <w:tcPr>
            <w:tcW w:w="2551" w:type="dxa"/>
            <w:vAlign w:val="center"/>
          </w:tcPr>
          <w:p>
            <w:pPr>
              <w:pStyle w:val="15"/>
            </w:pPr>
          </w:p>
        </w:tc>
        <w:tc>
          <w:tcPr>
            <w:tcW w:w="2551"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1.83</w:t>
            </w:r>
          </w:p>
        </w:tc>
        <w:tc>
          <w:tcPr>
            <w:tcW w:w="2551" w:type="dxa"/>
            <w:vAlign w:val="center"/>
          </w:tcPr>
          <w:p>
            <w:pPr>
              <w:pStyle w:val="15"/>
            </w:pPr>
          </w:p>
        </w:tc>
        <w:tc>
          <w:tcPr>
            <w:tcW w:w="2551" w:type="dxa"/>
            <w:vAlign w:val="center"/>
          </w:tcPr>
          <w:p>
            <w:pPr>
              <w:pStyle w:val="15"/>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1.83</w:t>
            </w:r>
          </w:p>
        </w:tc>
        <w:tc>
          <w:tcPr>
            <w:tcW w:w="2551" w:type="dxa"/>
            <w:vAlign w:val="center"/>
          </w:tcPr>
          <w:p>
            <w:pPr>
              <w:pStyle w:val="15"/>
            </w:pPr>
          </w:p>
        </w:tc>
        <w:tc>
          <w:tcPr>
            <w:tcW w:w="2551" w:type="dxa"/>
            <w:vAlign w:val="center"/>
          </w:tcPr>
          <w:p>
            <w:pPr>
              <w:pStyle w:val="15"/>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1.97</w:t>
            </w:r>
          </w:p>
        </w:tc>
        <w:tc>
          <w:tcPr>
            <w:tcW w:w="2551" w:type="dxa"/>
            <w:vAlign w:val="center"/>
          </w:tcPr>
          <w:p>
            <w:pPr>
              <w:pStyle w:val="15"/>
            </w:pPr>
          </w:p>
        </w:tc>
        <w:tc>
          <w:tcPr>
            <w:tcW w:w="2551" w:type="dxa"/>
            <w:vAlign w:val="center"/>
          </w:tcPr>
          <w:p>
            <w:pPr>
              <w:pStyle w:val="15"/>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1.97</w:t>
            </w:r>
          </w:p>
        </w:tc>
        <w:tc>
          <w:tcPr>
            <w:tcW w:w="2551" w:type="dxa"/>
            <w:vAlign w:val="center"/>
          </w:tcPr>
          <w:p>
            <w:pPr>
              <w:pStyle w:val="15"/>
            </w:pPr>
          </w:p>
        </w:tc>
        <w:tc>
          <w:tcPr>
            <w:tcW w:w="2551" w:type="dxa"/>
            <w:vAlign w:val="center"/>
          </w:tcPr>
          <w:p>
            <w:pPr>
              <w:pStyle w:val="15"/>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34.08</w:t>
            </w:r>
          </w:p>
        </w:tc>
        <w:tc>
          <w:tcPr>
            <w:tcW w:w="2551" w:type="dxa"/>
            <w:vAlign w:val="center"/>
          </w:tcPr>
          <w:p>
            <w:pPr>
              <w:pStyle w:val="15"/>
            </w:pPr>
          </w:p>
        </w:tc>
        <w:tc>
          <w:tcPr>
            <w:tcW w:w="2551" w:type="dxa"/>
            <w:vAlign w:val="center"/>
          </w:tcPr>
          <w:p>
            <w:pPr>
              <w:pStyle w:val="15"/>
            </w:pPr>
            <w: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34.08</w:t>
            </w:r>
          </w:p>
        </w:tc>
        <w:tc>
          <w:tcPr>
            <w:tcW w:w="2551" w:type="dxa"/>
            <w:vAlign w:val="center"/>
          </w:tcPr>
          <w:p>
            <w:pPr>
              <w:pStyle w:val="15"/>
            </w:pPr>
          </w:p>
        </w:tc>
        <w:tc>
          <w:tcPr>
            <w:tcW w:w="2551" w:type="dxa"/>
            <w:vAlign w:val="center"/>
          </w:tcPr>
          <w:p>
            <w:pPr>
              <w:pStyle w:val="15"/>
            </w:pPr>
            <w: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59.21</w:t>
            </w:r>
          </w:p>
        </w:tc>
        <w:tc>
          <w:tcPr>
            <w:tcW w:w="2551" w:type="dxa"/>
            <w:vAlign w:val="center"/>
          </w:tcPr>
          <w:p>
            <w:pPr>
              <w:pStyle w:val="15"/>
            </w:pPr>
            <w:r>
              <w:t>59.21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59.21</w:t>
            </w:r>
          </w:p>
        </w:tc>
        <w:tc>
          <w:tcPr>
            <w:tcW w:w="2551" w:type="dxa"/>
            <w:vAlign w:val="center"/>
          </w:tcPr>
          <w:p>
            <w:pPr>
              <w:pStyle w:val="15"/>
            </w:pPr>
            <w:r>
              <w:t>59.21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54.73</w:t>
            </w:r>
          </w:p>
        </w:tc>
        <w:tc>
          <w:tcPr>
            <w:tcW w:w="2551" w:type="dxa"/>
            <w:vAlign w:val="center"/>
          </w:tcPr>
          <w:p>
            <w:pPr>
              <w:pStyle w:val="15"/>
            </w:pPr>
            <w:r>
              <w:t>54.73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54.73</w:t>
            </w:r>
          </w:p>
        </w:tc>
        <w:tc>
          <w:tcPr>
            <w:tcW w:w="2551" w:type="dxa"/>
            <w:vAlign w:val="center"/>
          </w:tcPr>
          <w:p>
            <w:pPr>
              <w:pStyle w:val="15"/>
            </w:pPr>
            <w:r>
              <w:t>54.73</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3.98</w:t>
            </w:r>
          </w:p>
        </w:tc>
        <w:tc>
          <w:tcPr>
            <w:tcW w:w="2551" w:type="dxa"/>
            <w:vAlign w:val="center"/>
          </w:tcPr>
          <w:p>
            <w:pPr>
              <w:pStyle w:val="15"/>
            </w:pPr>
            <w:r>
              <w:t>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3.98</w:t>
            </w:r>
          </w:p>
        </w:tc>
        <w:tc>
          <w:tcPr>
            <w:tcW w:w="2551" w:type="dxa"/>
            <w:vAlign w:val="center"/>
          </w:tcPr>
          <w:p>
            <w:pPr>
              <w:pStyle w:val="15"/>
            </w:pPr>
            <w:r>
              <w:t>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0.49</w:t>
            </w:r>
          </w:p>
        </w:tc>
        <w:tc>
          <w:tcPr>
            <w:tcW w:w="2551" w:type="dxa"/>
            <w:vAlign w:val="center"/>
          </w:tcPr>
          <w:p>
            <w:pPr>
              <w:pStyle w:val="15"/>
            </w:pPr>
            <w:r>
              <w:t>0.49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0.49</w:t>
            </w:r>
          </w:p>
        </w:tc>
        <w:tc>
          <w:tcPr>
            <w:tcW w:w="2551" w:type="dxa"/>
            <w:vAlign w:val="center"/>
          </w:tcPr>
          <w:p>
            <w:pPr>
              <w:pStyle w:val="15"/>
            </w:pPr>
            <w:r>
              <w:t>0.49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476丰润区姜家营乡人民政府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4.00</w:t>
            </w:r>
          </w:p>
        </w:tc>
        <w:tc>
          <w:tcPr>
            <w:tcW w:w="2381" w:type="dxa"/>
            <w:vAlign w:val="center"/>
          </w:tcPr>
          <w:p>
            <w:pPr>
              <w:pStyle w:val="19"/>
            </w:pPr>
            <w:r>
              <w:t>4.00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合计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“三公”经费小计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“三公”经费小计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二、公务用车购置及运维费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12</w:t>
            </w:r>
          </w:p>
        </w:tc>
        <w:tc>
          <w:tcPr>
            <w:tcW w:w="3798" w:type="dxa"/>
            <w:vAlign w:val="center"/>
          </w:tcPr>
          <w:p>
            <w:pPr>
              <w:pStyle w:val="16"/>
            </w:pPr>
            <w:r>
              <w:t>二、公务用车购置及运维费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13</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15</w:t>
            </w:r>
          </w:p>
        </w:tc>
        <w:tc>
          <w:tcPr>
            <w:tcW w:w="3798" w:type="dxa"/>
            <w:vAlign w:val="center"/>
          </w:tcPr>
          <w:p>
            <w:pPr>
              <w:pStyle w:val="16"/>
            </w:pPr>
            <w:r>
              <w:t xml:space="preserve">          公务用车运行维护费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16</w:t>
            </w:r>
          </w:p>
        </w:tc>
        <w:tc>
          <w:tcPr>
            <w:tcW w:w="3798" w:type="dxa"/>
            <w:vAlign w:val="center"/>
          </w:tcPr>
          <w:p>
            <w:pPr>
              <w:pStyle w:val="16"/>
            </w:pPr>
            <w:r>
              <w:t xml:space="preserve">          公务用车运行维护费</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17</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18</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19</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22</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丰润区姜家营乡人民政府2023年</w:t>
      </w:r>
      <w:r>
        <w:rPr>
          <w:rFonts w:hint="eastAsia" w:ascii="方正书宋_GBK" w:hAnsi="方正书宋_GBK" w:eastAsia="方正书宋_GBK" w:cs="方正书宋_GBK"/>
          <w:color w:val="FFFFFF"/>
          <w:sz w:val="21"/>
          <w:lang w:eastAsia="zh-CN"/>
        </w:rPr>
        <w:t>部门</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丰润区姜家营乡人民政府2023年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、《地方预决算公开操作规程》和《关于进一步推进预算公开工作的实施意见》规定，现将丰润区姜家营乡人民政府2023年</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pPr>
        <w:spacing w:line="500" w:lineRule="exact"/>
        <w:ind w:firstLine="640" w:firstLineChars="200"/>
        <w:jc w:val="left"/>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spacing w:line="500" w:lineRule="exact"/>
        <w:ind w:firstLine="560" w:firstLineChars="200"/>
        <w:jc w:val="left"/>
        <w:rPr>
          <w:rFonts w:eastAsia="方正仿宋_GBK"/>
          <w:sz w:val="28"/>
        </w:rPr>
      </w:pPr>
      <w:r>
        <w:rPr>
          <w:rFonts w:hint="eastAsia" w:eastAsia="方正仿宋_GBK"/>
          <w:sz w:val="28"/>
          <w:lang w:eastAsia="zh-CN"/>
        </w:rPr>
        <w:t>（</w:t>
      </w:r>
      <w:r>
        <w:rPr>
          <w:rFonts w:eastAsia="方正仿宋_GBK"/>
          <w:sz w:val="28"/>
        </w:rPr>
        <w:t>1）执行上级国家行政机关的决定、命令和国家制定的法令、法规，接受同级党委的领导，执行本级人民代表大会的各项决议，并报告执行决议、决定和命令的情况。</w:t>
      </w:r>
    </w:p>
    <w:p>
      <w:pPr>
        <w:spacing w:line="500" w:lineRule="exact"/>
        <w:ind w:firstLine="560" w:firstLineChars="200"/>
        <w:jc w:val="left"/>
        <w:rPr>
          <w:rFonts w:eastAsia="方正仿宋_GBK"/>
          <w:sz w:val="28"/>
        </w:rPr>
      </w:pPr>
      <w:r>
        <w:rPr>
          <w:rFonts w:eastAsia="方正仿宋_GBK"/>
          <w:sz w:val="28"/>
        </w:rPr>
        <w:t>（2）制定并落实本行政区域的经济计划和措施，促进产业结构调整及其他经济保持平衡协调发展，全面提高人民群众的生活水平和生活质量。</w:t>
      </w:r>
    </w:p>
    <w:p>
      <w:pPr>
        <w:spacing w:line="500" w:lineRule="exact"/>
        <w:ind w:firstLine="560" w:firstLineChars="200"/>
        <w:jc w:val="left"/>
        <w:rPr>
          <w:rFonts w:eastAsia="方正仿宋_GBK"/>
          <w:sz w:val="28"/>
        </w:rPr>
      </w:pPr>
      <w:r>
        <w:rPr>
          <w:rFonts w:eastAsia="方正仿宋_GBK"/>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00" w:lineRule="exact"/>
        <w:ind w:firstLine="560" w:firstLineChars="200"/>
        <w:jc w:val="left"/>
        <w:rPr>
          <w:rFonts w:eastAsia="方正仿宋_GBK"/>
          <w:sz w:val="28"/>
        </w:rPr>
      </w:pPr>
      <w:r>
        <w:rPr>
          <w:rFonts w:eastAsia="方正仿宋_GBK"/>
          <w:sz w:val="28"/>
        </w:rPr>
        <w:t>（4）开展社会主义民主和法制的宣传教育，保障公民的权利;制定社会治安综合治理工作规划并组织实施;加强乡乡管理工作，依法管理外来流动人口，处理人民来信来访，调解民间纠纷，打击违法犯罪，维护社会稳定。</w:t>
      </w:r>
    </w:p>
    <w:p>
      <w:pPr>
        <w:spacing w:line="500" w:lineRule="exact"/>
        <w:ind w:firstLine="560" w:firstLineChars="200"/>
        <w:jc w:val="left"/>
        <w:rPr>
          <w:rFonts w:eastAsia="方正仿宋_GBK"/>
          <w:sz w:val="28"/>
        </w:rPr>
      </w:pPr>
      <w:r>
        <w:rPr>
          <w:rFonts w:eastAsia="方正仿宋_GBK"/>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00" w:lineRule="exact"/>
        <w:ind w:firstLine="560" w:firstLineChars="200"/>
        <w:jc w:val="left"/>
        <w:rPr>
          <w:rFonts w:eastAsia="方正仿宋_GBK"/>
          <w:sz w:val="28"/>
        </w:rPr>
      </w:pPr>
      <w:r>
        <w:rPr>
          <w:rFonts w:eastAsia="方正仿宋_GBK"/>
          <w:sz w:val="28"/>
        </w:rPr>
        <w:t>（6）加强乡级财政的监督和管理，按计划组织、管理财政收入和支出，执行国家有关财经纪律和政策，保证国家财政收入的完成;做好统计工作。</w:t>
      </w:r>
    </w:p>
    <w:p>
      <w:pPr>
        <w:spacing w:line="500" w:lineRule="exact"/>
        <w:ind w:firstLine="560" w:firstLineChars="200"/>
        <w:jc w:val="left"/>
        <w:rPr>
          <w:rFonts w:eastAsia="方正仿宋_GBK"/>
          <w:sz w:val="28"/>
        </w:rPr>
      </w:pPr>
      <w:r>
        <w:rPr>
          <w:rFonts w:eastAsia="方正仿宋_GBK"/>
          <w:sz w:val="28"/>
        </w:rPr>
        <w:t>（7）指导、支持、帮助村民委员会的组织制度建设和业务建设，促进村民委员会民主自治。</w:t>
      </w:r>
    </w:p>
    <w:p>
      <w:pPr>
        <w:spacing w:line="500" w:lineRule="exact"/>
        <w:ind w:firstLine="560" w:firstLineChars="200"/>
        <w:jc w:val="left"/>
        <w:rPr>
          <w:rFonts w:eastAsia="方正仿宋_GBK"/>
          <w:sz w:val="28"/>
        </w:rPr>
      </w:pPr>
      <w:r>
        <w:rPr>
          <w:rFonts w:eastAsia="方正仿宋_GBK"/>
          <w:sz w:val="28"/>
        </w:rPr>
        <w:t>（8）制定和组织实施乡村建设规划;加强公用、市政设施、水利建设和管理以及房屋土地管理和环境综合整治工作，保护和改善生活环境和生态环境。</w:t>
      </w:r>
    </w:p>
    <w:p>
      <w:pPr>
        <w:spacing w:line="500" w:lineRule="exact"/>
        <w:ind w:firstLine="560" w:firstLineChars="200"/>
        <w:jc w:val="left"/>
        <w:rPr>
          <w:rFonts w:eastAsia="方正仿宋_GBK"/>
          <w:sz w:val="28"/>
        </w:rPr>
      </w:pPr>
      <w:r>
        <w:rPr>
          <w:rFonts w:eastAsia="方正仿宋_GBK"/>
          <w:sz w:val="28"/>
        </w:rPr>
        <w:t>（9）协助和支持设置在本行政区域内不隶属于乡的国家机关和企事业</w:t>
      </w:r>
      <w:r>
        <w:rPr>
          <w:rFonts w:hint="eastAsia" w:eastAsia="方正仿宋_GBK"/>
          <w:sz w:val="28"/>
          <w:lang w:eastAsia="zh-CN"/>
        </w:rPr>
        <w:t>部门</w:t>
      </w:r>
      <w:r>
        <w:rPr>
          <w:rFonts w:eastAsia="方正仿宋_GBK"/>
          <w:sz w:val="28"/>
        </w:rPr>
        <w:t>工作，监督其遵守和执行国家的法律、法规和政策。</w:t>
      </w:r>
    </w:p>
    <w:p>
      <w:pPr>
        <w:spacing w:line="500" w:lineRule="exact"/>
        <w:ind w:firstLine="560" w:firstLineChars="200"/>
        <w:jc w:val="left"/>
      </w:pPr>
      <w:r>
        <w:rPr>
          <w:rFonts w:eastAsia="方正仿宋_GBK"/>
          <w:sz w:val="28"/>
        </w:rPr>
        <w:t>（10）承办区政府交办的其它事项。</w:t>
      </w:r>
    </w:p>
    <w:p>
      <w:pPr>
        <w:ind w:firstLine="1037" w:firstLineChars="324"/>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538"/>
        <w:rPr>
          <w:rFonts w:hint="eastAsia" w:ascii="仿宋" w:hAnsi="仿宋" w:eastAsia="仿宋"/>
          <w:sz w:val="32"/>
          <w:szCs w:val="32"/>
        </w:rPr>
      </w:pPr>
      <w:r>
        <w:rPr>
          <w:rFonts w:ascii="仿宋" w:hAnsi="仿宋" w:eastAsia="仿宋"/>
          <w:sz w:val="32"/>
          <w:szCs w:val="32"/>
        </w:rPr>
        <w:t>根据区编办最近核定的三定方案要求，丰润</w:t>
      </w:r>
      <w:r>
        <w:rPr>
          <w:rFonts w:hint="eastAsia" w:ascii="仿宋" w:hAnsi="仿宋" w:eastAsia="仿宋"/>
          <w:sz w:val="32"/>
          <w:szCs w:val="32"/>
        </w:rPr>
        <w:t>区姜家营乡人民政府</w:t>
      </w:r>
      <w:r>
        <w:rPr>
          <w:rFonts w:ascii="仿宋" w:hAnsi="仿宋" w:eastAsia="仿宋"/>
          <w:sz w:val="32"/>
          <w:szCs w:val="32"/>
        </w:rPr>
        <w:t>为行政</w:t>
      </w:r>
      <w:r>
        <w:rPr>
          <w:rFonts w:hint="eastAsia" w:ascii="仿宋" w:hAnsi="仿宋" w:eastAsia="仿宋"/>
          <w:sz w:val="32"/>
          <w:szCs w:val="32"/>
          <w:lang w:eastAsia="zh-CN"/>
        </w:rPr>
        <w:t>部门</w:t>
      </w:r>
      <w:r>
        <w:rPr>
          <w:rFonts w:ascii="仿宋" w:hAnsi="仿宋" w:eastAsia="仿宋"/>
          <w:sz w:val="32"/>
          <w:szCs w:val="32"/>
        </w:rPr>
        <w:t>，</w:t>
      </w:r>
      <w:r>
        <w:rPr>
          <w:rFonts w:hint="eastAsia" w:ascii="仿宋" w:hAnsi="仿宋" w:eastAsia="仿宋"/>
          <w:sz w:val="32"/>
          <w:szCs w:val="32"/>
        </w:rPr>
        <w:t>内设4 个行政职能</w:t>
      </w:r>
      <w:r>
        <w:rPr>
          <w:rFonts w:hint="eastAsia" w:ascii="仿宋" w:hAnsi="仿宋" w:eastAsia="仿宋"/>
          <w:sz w:val="32"/>
          <w:szCs w:val="32"/>
          <w:lang w:eastAsia="zh-CN"/>
        </w:rPr>
        <w:t>部门</w:t>
      </w:r>
      <w:r>
        <w:rPr>
          <w:rFonts w:hint="eastAsia" w:ascii="仿宋" w:hAnsi="仿宋" w:eastAsia="仿宋"/>
          <w:sz w:val="32"/>
          <w:szCs w:val="32"/>
        </w:rPr>
        <w:t>，4个事业</w:t>
      </w:r>
      <w:r>
        <w:rPr>
          <w:rFonts w:hint="eastAsia" w:ascii="仿宋" w:hAnsi="仿宋" w:eastAsia="仿宋"/>
          <w:sz w:val="32"/>
          <w:szCs w:val="32"/>
          <w:lang w:eastAsia="zh-CN"/>
        </w:rPr>
        <w:t>部门</w:t>
      </w:r>
      <w:r>
        <w:rPr>
          <w:rFonts w:hint="eastAsia" w:ascii="仿宋" w:hAnsi="仿宋" w:eastAsia="仿宋"/>
          <w:sz w:val="32"/>
          <w:szCs w:val="32"/>
        </w:rPr>
        <w:t>。定编人数61人。</w:t>
      </w: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rPr>
                <w:rFonts w:hint="eastAsia"/>
                <w:lang w:eastAsia="zh-CN"/>
              </w:rPr>
              <w:t>部门</w:t>
            </w:r>
            <w:r>
              <w:t>名称</w:t>
            </w:r>
          </w:p>
        </w:tc>
        <w:tc>
          <w:tcPr>
            <w:tcW w:w="2464" w:type="dxa"/>
            <w:vAlign w:val="center"/>
          </w:tcPr>
          <w:p>
            <w:pPr>
              <w:pStyle w:val="14"/>
            </w:pPr>
            <w:r>
              <w:rPr>
                <w:rFonts w:hint="eastAsia"/>
                <w:lang w:eastAsia="zh-CN"/>
              </w:rPr>
              <w:t>部门</w:t>
            </w:r>
            <w:r>
              <w:t>性质</w:t>
            </w:r>
          </w:p>
        </w:tc>
        <w:tc>
          <w:tcPr>
            <w:tcW w:w="2464" w:type="dxa"/>
            <w:vAlign w:val="center"/>
          </w:tcPr>
          <w:p>
            <w:pPr>
              <w:pStyle w:val="14"/>
            </w:pPr>
            <w:r>
              <w:rPr>
                <w:rFonts w:hint="eastAsia"/>
                <w:lang w:eastAsia="zh-CN"/>
              </w:rPr>
              <w:t>部门</w:t>
            </w:r>
            <w:r>
              <w:t>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丰润区姜家营乡人民政府本级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预算的编制实行综合预算管理，即全部收入和支出都反映在预算中。丰润区姜家营乡人民政府机关及所属事业</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预算中。</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1212.47</w:t>
      </w:r>
      <w:r>
        <w:rPr>
          <w:rFonts w:hint="eastAsia" w:ascii="仿宋" w:hAnsi="仿宋" w:eastAsia="仿宋"/>
          <w:sz w:val="32"/>
          <w:szCs w:val="32"/>
        </w:rPr>
        <w:t>万元。2、</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年，根据本</w:t>
      </w:r>
      <w:r>
        <w:rPr>
          <w:rFonts w:hint="eastAsia" w:ascii="仿宋" w:hAnsi="仿宋" w:eastAsia="仿宋"/>
          <w:sz w:val="32"/>
          <w:szCs w:val="32"/>
          <w:lang w:eastAsia="zh-CN"/>
        </w:rPr>
        <w:t>部门</w:t>
      </w:r>
      <w:r>
        <w:rPr>
          <w:rFonts w:hint="eastAsia" w:ascii="仿宋" w:hAnsi="仿宋" w:eastAsia="仿宋"/>
          <w:sz w:val="32"/>
          <w:szCs w:val="32"/>
        </w:rPr>
        <w:t>职责和工作任务规划，共安排</w:t>
      </w:r>
      <w:r>
        <w:rPr>
          <w:rFonts w:hint="eastAsia" w:ascii="仿宋" w:hAnsi="仿宋" w:eastAsia="仿宋"/>
          <w:sz w:val="32"/>
          <w:szCs w:val="32"/>
          <w:lang w:eastAsia="zh-CN"/>
        </w:rPr>
        <w:t>部门</w:t>
      </w:r>
      <w:r>
        <w:rPr>
          <w:rFonts w:hint="eastAsia" w:ascii="仿宋" w:hAnsi="仿宋" w:eastAsia="仿宋"/>
          <w:sz w:val="32"/>
          <w:szCs w:val="32"/>
        </w:rPr>
        <w:t>预算支出</w:t>
      </w:r>
      <w:r>
        <w:rPr>
          <w:rFonts w:hint="eastAsia" w:ascii="仿宋" w:hAnsi="仿宋" w:eastAsia="仿宋"/>
          <w:sz w:val="32"/>
          <w:szCs w:val="32"/>
          <w:lang w:val="en-US" w:eastAsia="zh-CN"/>
        </w:rPr>
        <w:t>1212.47</w:t>
      </w:r>
      <w:r>
        <w:rPr>
          <w:rFonts w:hint="eastAsia" w:ascii="仿宋" w:hAnsi="仿宋" w:eastAsia="仿宋"/>
          <w:sz w:val="32"/>
          <w:szCs w:val="32"/>
        </w:rPr>
        <w:t>万元。其中人员经费支出</w:t>
      </w:r>
      <w:r>
        <w:rPr>
          <w:rFonts w:hint="eastAsia" w:ascii="仿宋" w:hAnsi="仿宋" w:eastAsia="仿宋"/>
          <w:sz w:val="32"/>
          <w:szCs w:val="32"/>
          <w:lang w:val="en-US" w:eastAsia="zh-CN"/>
        </w:rPr>
        <w:t>957.6</w:t>
      </w:r>
      <w:r>
        <w:rPr>
          <w:rFonts w:hint="eastAsia" w:ascii="仿宋" w:hAnsi="仿宋" w:eastAsia="仿宋"/>
          <w:sz w:val="32"/>
          <w:szCs w:val="32"/>
        </w:rPr>
        <w:t>万元，日常公用经费支出</w:t>
      </w:r>
      <w:r>
        <w:rPr>
          <w:rFonts w:hint="eastAsia" w:ascii="仿宋" w:hAnsi="仿宋" w:eastAsia="仿宋"/>
          <w:sz w:val="32"/>
          <w:szCs w:val="32"/>
          <w:lang w:val="en-US" w:eastAsia="zh-CN"/>
        </w:rPr>
        <w:t>93.14</w:t>
      </w:r>
      <w:r>
        <w:rPr>
          <w:rFonts w:hint="eastAsia" w:ascii="仿宋" w:hAnsi="仿宋" w:eastAsia="仿宋"/>
          <w:sz w:val="32"/>
          <w:szCs w:val="32"/>
        </w:rPr>
        <w:t>万元，项目支出</w:t>
      </w:r>
      <w:r>
        <w:rPr>
          <w:rFonts w:hint="eastAsia" w:ascii="仿宋" w:hAnsi="仿宋" w:eastAsia="仿宋"/>
          <w:sz w:val="32"/>
          <w:szCs w:val="32"/>
          <w:lang w:val="en-US" w:eastAsia="zh-CN"/>
        </w:rPr>
        <w:t>161.73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分别为：财政所经费2万元、村级转移支付15.6万元、四术并发症费用0.67万元、统计专项业务工作经费2万元、征兵工作经费3万元、2023年乡镇体制经费58.46万元、农村综改一事一议80万元</w:t>
      </w:r>
      <w:r>
        <w:rPr>
          <w:rFonts w:hint="eastAsia" w:ascii="仿宋" w:hAnsi="仿宋" w:eastAsia="仿宋"/>
          <w:sz w:val="32"/>
          <w:szCs w:val="32"/>
        </w:rPr>
        <w:t>。</w:t>
      </w:r>
    </w:p>
    <w:p>
      <w:pPr>
        <w:widowControl/>
        <w:spacing w:line="540" w:lineRule="exact"/>
        <w:ind w:firstLine="640" w:firstLineChars="200"/>
      </w:pPr>
      <w:r>
        <w:rPr>
          <w:rFonts w:hint="eastAsia" w:ascii="仿宋" w:hAnsi="仿宋" w:eastAsia="仿宋"/>
          <w:sz w:val="32"/>
          <w:szCs w:val="32"/>
        </w:rPr>
        <w:t>3、与上年相比</w:t>
      </w:r>
      <w:r>
        <w:rPr>
          <w:rFonts w:hint="eastAsia" w:ascii="仿宋" w:hAnsi="仿宋" w:eastAsia="仿宋"/>
          <w:sz w:val="32"/>
          <w:szCs w:val="32"/>
          <w:lang w:val="en-US" w:eastAsia="zh-CN"/>
        </w:rPr>
        <w:t>减少324.49</w:t>
      </w:r>
      <w:r>
        <w:rPr>
          <w:rFonts w:hint="eastAsia" w:ascii="仿宋" w:hAnsi="仿宋" w:eastAsia="仿宋"/>
          <w:sz w:val="32"/>
          <w:szCs w:val="32"/>
        </w:rPr>
        <w:t>万元，其中：人员经费增加</w:t>
      </w:r>
      <w:r>
        <w:rPr>
          <w:rFonts w:hint="eastAsia" w:ascii="仿宋" w:hAnsi="仿宋" w:eastAsia="仿宋"/>
          <w:sz w:val="32"/>
          <w:szCs w:val="32"/>
          <w:lang w:val="en-US" w:eastAsia="zh-CN"/>
        </w:rPr>
        <w:t>164.45</w:t>
      </w:r>
      <w:r>
        <w:rPr>
          <w:rFonts w:hint="eastAsia" w:ascii="仿宋" w:hAnsi="仿宋" w:eastAsia="仿宋"/>
          <w:sz w:val="32"/>
          <w:szCs w:val="32"/>
        </w:rPr>
        <w:t>万元，由于人员变动及人员经费标准提高；日常公用经费增加</w:t>
      </w:r>
      <w:r>
        <w:rPr>
          <w:rFonts w:hint="eastAsia" w:ascii="仿宋" w:hAnsi="仿宋" w:eastAsia="仿宋"/>
          <w:sz w:val="32"/>
          <w:szCs w:val="32"/>
          <w:lang w:val="en-US" w:eastAsia="zh-CN"/>
        </w:rPr>
        <w:t>0.3</w:t>
      </w:r>
      <w:r>
        <w:rPr>
          <w:rFonts w:hint="eastAsia" w:ascii="仿宋" w:hAnsi="仿宋" w:eastAsia="仿宋"/>
          <w:sz w:val="32"/>
          <w:szCs w:val="32"/>
        </w:rPr>
        <w:t>万元，</w:t>
      </w:r>
      <w:r>
        <w:rPr>
          <w:rFonts w:hint="eastAsia" w:ascii="仿宋" w:hAnsi="仿宋" w:eastAsia="仿宋"/>
          <w:sz w:val="32"/>
          <w:szCs w:val="32"/>
          <w:lang w:val="en-US" w:eastAsia="zh-CN"/>
        </w:rPr>
        <w:t>原因为人员变动</w:t>
      </w:r>
      <w:r>
        <w:rPr>
          <w:rFonts w:hint="eastAsia" w:ascii="仿宋" w:hAnsi="仿宋" w:eastAsia="仿宋"/>
          <w:sz w:val="32"/>
          <w:szCs w:val="32"/>
          <w:lang w:eastAsia="zh-CN"/>
        </w:rPr>
        <w:t>等</w:t>
      </w:r>
      <w:r>
        <w:rPr>
          <w:rFonts w:hint="eastAsia" w:ascii="仿宋" w:hAnsi="仿宋" w:eastAsia="仿宋"/>
          <w:sz w:val="32"/>
          <w:szCs w:val="32"/>
        </w:rPr>
        <w:t>。项目支出</w:t>
      </w:r>
      <w:r>
        <w:rPr>
          <w:rFonts w:hint="eastAsia" w:ascii="仿宋" w:hAnsi="仿宋" w:eastAsia="仿宋"/>
          <w:sz w:val="32"/>
          <w:szCs w:val="32"/>
          <w:lang w:val="en-US" w:eastAsia="zh-CN"/>
        </w:rPr>
        <w:t>减少489.24</w:t>
      </w:r>
      <w:r>
        <w:rPr>
          <w:rFonts w:hint="eastAsia" w:ascii="仿宋" w:hAnsi="仿宋" w:eastAsia="仿宋"/>
          <w:sz w:val="32"/>
          <w:szCs w:val="32"/>
        </w:rPr>
        <w:t>万元，</w:t>
      </w:r>
      <w:r>
        <w:rPr>
          <w:rFonts w:hint="eastAsia" w:ascii="仿宋" w:hAnsi="仿宋" w:eastAsia="仿宋"/>
          <w:sz w:val="32"/>
          <w:szCs w:val="32"/>
          <w:lang w:eastAsia="zh-CN"/>
        </w:rPr>
        <w:t>由于</w:t>
      </w:r>
      <w:r>
        <w:rPr>
          <w:rFonts w:hint="eastAsia" w:ascii="仿宋" w:hAnsi="仿宋" w:eastAsia="仿宋"/>
          <w:sz w:val="32"/>
          <w:szCs w:val="32"/>
          <w:lang w:val="en-US" w:eastAsia="zh-CN"/>
        </w:rPr>
        <w:t>减少了部分项目等原因。</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日常公用经费支出总计</w:t>
      </w:r>
      <w:r>
        <w:rPr>
          <w:rFonts w:hint="eastAsia" w:ascii="仿宋" w:hAnsi="仿宋" w:eastAsia="仿宋"/>
          <w:sz w:val="32"/>
          <w:szCs w:val="32"/>
          <w:lang w:val="en-US" w:eastAsia="zh-CN"/>
        </w:rPr>
        <w:t>93.14</w:t>
      </w:r>
      <w:r>
        <w:rPr>
          <w:rFonts w:hint="eastAsia" w:ascii="仿宋" w:hAnsi="仿宋" w:eastAsia="仿宋"/>
          <w:sz w:val="32"/>
          <w:szCs w:val="32"/>
        </w:rPr>
        <w:t>万元。其中：</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1、办公费：</w:t>
      </w:r>
      <w:r>
        <w:rPr>
          <w:rFonts w:hint="eastAsia" w:ascii="仿宋" w:hAnsi="仿宋" w:eastAsia="仿宋"/>
          <w:sz w:val="32"/>
          <w:szCs w:val="32"/>
          <w:lang w:val="en-US" w:eastAsia="zh-CN"/>
        </w:rPr>
        <w:t>8.75</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、邮电费：</w:t>
      </w:r>
      <w:r>
        <w:rPr>
          <w:rFonts w:hint="eastAsia" w:ascii="仿宋" w:hAnsi="仿宋" w:eastAsia="仿宋"/>
          <w:sz w:val="32"/>
          <w:szCs w:val="32"/>
          <w:lang w:val="en-US" w:eastAsia="zh-CN"/>
        </w:rPr>
        <w:t>14.02</w:t>
      </w:r>
      <w:r>
        <w:rPr>
          <w:rFonts w:hint="eastAsia" w:ascii="仿宋" w:hAnsi="仿宋" w:eastAsia="仿宋"/>
          <w:sz w:val="32"/>
          <w:szCs w:val="32"/>
        </w:rPr>
        <w:t>万元。</w:t>
      </w:r>
    </w:p>
    <w:p>
      <w:pPr>
        <w:pStyle w:val="23"/>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、取暖费：18万元。用于机关办公楼取暖费用。</w:t>
      </w:r>
    </w:p>
    <w:p>
      <w:pPr>
        <w:pStyle w:val="23"/>
        <w:rPr>
          <w:rFonts w:hint="eastAsia" w:ascii="仿宋" w:hAnsi="仿宋" w:eastAsia="仿宋"/>
          <w:sz w:val="32"/>
          <w:szCs w:val="32"/>
          <w:lang w:val="en-US" w:eastAsia="zh-CN"/>
        </w:rPr>
      </w:pPr>
      <w:r>
        <w:rPr>
          <w:rFonts w:hint="eastAsia" w:ascii="仿宋" w:hAnsi="仿宋" w:eastAsia="仿宋"/>
          <w:sz w:val="32"/>
          <w:szCs w:val="32"/>
          <w:lang w:val="en-US" w:eastAsia="zh-CN"/>
        </w:rPr>
        <w:t>4、差旅费2.5万元</w:t>
      </w:r>
    </w:p>
    <w:p>
      <w:pPr>
        <w:pStyle w:val="23"/>
        <w:rPr>
          <w:rFonts w:hint="default" w:ascii="仿宋" w:hAnsi="仿宋" w:eastAsia="仿宋"/>
          <w:sz w:val="32"/>
          <w:szCs w:val="32"/>
          <w:lang w:val="en-US" w:eastAsia="zh-CN"/>
        </w:rPr>
      </w:pPr>
      <w:r>
        <w:rPr>
          <w:rFonts w:hint="eastAsia" w:ascii="仿宋" w:hAnsi="仿宋" w:eastAsia="仿宋"/>
          <w:sz w:val="32"/>
          <w:szCs w:val="32"/>
          <w:lang w:val="en-US" w:eastAsia="zh-CN"/>
        </w:rPr>
        <w:t>5、水费4万元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6、劳务费：4万元。</w:t>
      </w:r>
    </w:p>
    <w:p>
      <w:pPr>
        <w:spacing w:line="540" w:lineRule="exact"/>
        <w:ind w:left="730" w:leftChars="304"/>
        <w:rPr>
          <w:rFonts w:hint="eastAsia" w:ascii="仿宋" w:hAnsi="仿宋" w:eastAsia="仿宋"/>
          <w:sz w:val="32"/>
          <w:szCs w:val="32"/>
        </w:rPr>
      </w:pPr>
      <w:r>
        <w:rPr>
          <w:rFonts w:hint="eastAsia" w:ascii="仿宋" w:hAnsi="仿宋" w:eastAsia="仿宋"/>
          <w:sz w:val="32"/>
          <w:szCs w:val="32"/>
        </w:rPr>
        <w:t>7、工会经费:</w:t>
      </w:r>
      <w:r>
        <w:rPr>
          <w:rFonts w:hint="eastAsia" w:ascii="仿宋" w:hAnsi="仿宋" w:eastAsia="仿宋"/>
          <w:sz w:val="32"/>
          <w:szCs w:val="32"/>
          <w:lang w:val="en-US" w:eastAsia="zh-CN"/>
        </w:rPr>
        <w:t>1.83</w:t>
      </w:r>
      <w:r>
        <w:rPr>
          <w:rFonts w:hint="eastAsia" w:ascii="仿宋" w:hAnsi="仿宋" w:eastAsia="仿宋"/>
          <w:sz w:val="32"/>
          <w:szCs w:val="32"/>
        </w:rPr>
        <w:t>万元。</w:t>
      </w:r>
    </w:p>
    <w:p>
      <w:pPr>
        <w:spacing w:line="540" w:lineRule="exact"/>
        <w:ind w:left="730" w:leftChars="304"/>
        <w:rPr>
          <w:rFonts w:hint="eastAsia" w:ascii="仿宋" w:hAnsi="仿宋" w:eastAsia="仿宋"/>
          <w:sz w:val="32"/>
          <w:szCs w:val="32"/>
          <w:lang w:eastAsia="zh-CN"/>
        </w:rPr>
      </w:pPr>
      <w:r>
        <w:rPr>
          <w:rFonts w:hint="eastAsia" w:ascii="仿宋" w:hAnsi="仿宋" w:eastAsia="仿宋"/>
          <w:sz w:val="32"/>
          <w:szCs w:val="32"/>
        </w:rPr>
        <w:t>8、福利费：</w:t>
      </w:r>
      <w:r>
        <w:rPr>
          <w:rFonts w:hint="eastAsia" w:ascii="仿宋" w:hAnsi="仿宋" w:eastAsia="仿宋"/>
          <w:sz w:val="32"/>
          <w:szCs w:val="32"/>
          <w:lang w:val="en-US" w:eastAsia="zh-CN"/>
        </w:rPr>
        <w:t>1.97</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9、公务用车运行维护费：4万元。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10、其他交通费（公务交通补贴）：</w:t>
      </w:r>
      <w:r>
        <w:rPr>
          <w:rFonts w:hint="eastAsia" w:ascii="仿宋" w:hAnsi="仿宋" w:eastAsia="仿宋"/>
          <w:sz w:val="32"/>
          <w:szCs w:val="32"/>
          <w:lang w:val="en-US" w:eastAsia="zh-CN"/>
        </w:rPr>
        <w:t>34.08</w:t>
      </w:r>
      <w:r>
        <w:rPr>
          <w:rFonts w:hint="eastAsia" w:ascii="仿宋" w:hAnsi="仿宋" w:eastAsia="仿宋"/>
          <w:sz w:val="32"/>
          <w:szCs w:val="32"/>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年“三公”经费预算安排4万元，与202</w:t>
      </w:r>
      <w:r>
        <w:rPr>
          <w:rFonts w:hint="eastAsia" w:ascii="仿宋" w:hAnsi="仿宋" w:eastAsia="仿宋"/>
          <w:sz w:val="32"/>
          <w:szCs w:val="32"/>
          <w:lang w:val="en-US" w:eastAsia="zh-CN"/>
        </w:rPr>
        <w:t>2</w:t>
      </w:r>
      <w:r>
        <w:rPr>
          <w:rFonts w:hint="eastAsia" w:ascii="仿宋" w:hAnsi="仿宋" w:eastAsia="仿宋"/>
          <w:sz w:val="32"/>
          <w:szCs w:val="32"/>
        </w:rPr>
        <w:t>年持平，其中：</w:t>
      </w:r>
    </w:p>
    <w:p>
      <w:p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公务用车运行维护费为</w:t>
      </w:r>
      <w:r>
        <w:rPr>
          <w:rFonts w:hint="eastAsia" w:ascii="仿宋" w:hAnsi="仿宋" w:eastAsia="仿宋"/>
          <w:sz w:val="32"/>
          <w:szCs w:val="32"/>
        </w:rPr>
        <w:t>40000</w:t>
      </w:r>
      <w:r>
        <w:rPr>
          <w:rFonts w:ascii="仿宋" w:hAnsi="仿宋" w:eastAsia="仿宋"/>
          <w:sz w:val="32"/>
          <w:szCs w:val="32"/>
        </w:rPr>
        <w:t>元，公务用车</w:t>
      </w:r>
      <w:r>
        <w:rPr>
          <w:rFonts w:hint="eastAsia" w:ascii="仿宋" w:hAnsi="仿宋" w:eastAsia="仿宋"/>
          <w:sz w:val="32"/>
          <w:szCs w:val="32"/>
        </w:rPr>
        <w:t>2</w:t>
      </w:r>
      <w:r>
        <w:rPr>
          <w:rFonts w:ascii="仿宋" w:hAnsi="仿宋" w:eastAsia="仿宋"/>
          <w:sz w:val="32"/>
          <w:szCs w:val="32"/>
        </w:rPr>
        <w:t>辆</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年一致。</w:t>
      </w:r>
    </w:p>
    <w:p>
      <w:pPr>
        <w:widowControl/>
        <w:snapToGrid w:val="0"/>
        <w:spacing w:line="588" w:lineRule="exact"/>
        <w:ind w:firstLine="640" w:firstLineChars="200"/>
        <w:rPr>
          <w:rFonts w:ascii="仿宋" w:hAnsi="仿宋" w:eastAsia="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97" w:right="1440" w:bottom="1797" w:left="1440" w:header="851" w:footer="992" w:gutter="0"/>
          <w:cols w:space="720" w:num="1"/>
          <w:docGrid w:linePitch="312" w:charSpace="0"/>
        </w:sectPr>
      </w:pPr>
      <w:r>
        <w:rPr>
          <w:rFonts w:hint="eastAsia" w:ascii="仿宋" w:hAnsi="仿宋" w:eastAsia="仿宋"/>
          <w:sz w:val="32"/>
          <w:szCs w:val="32"/>
        </w:rPr>
        <w:t>2、公务用车购置费、公务接待接待费、因公出国经费：0元，没有增减变化。</w:t>
      </w: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宣传贯彻执行党的路线方针政策和党中央、上级党组织及本镇党员代表大会（党员大会）的决议讨论和决定本镇经济建设、政治建设、文化建设、社会建设、生态文明建设和党的建设以及全乡12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二、分项绩效目标</w:t>
      </w:r>
    </w:p>
    <w:p>
      <w:pPr>
        <w:pStyle w:val="26"/>
      </w:pPr>
      <w:r>
        <w:t>（一）基层党建</w:t>
      </w:r>
    </w:p>
    <w:p>
      <w:pPr>
        <w:pStyle w:val="26"/>
      </w:pPr>
      <w:r>
        <w:t>绩效目标：加强基层党领导班子建设，加强党组织建设和党员管理。</w:t>
      </w:r>
    </w:p>
    <w:p>
      <w:pPr>
        <w:pStyle w:val="26"/>
      </w:pPr>
      <w:r>
        <w:t>绩效指标：开展党员远程教育工作，发挥先进村示范带动作用，创建我乡特色占工作任务的比例大于等于90%。</w:t>
      </w:r>
    </w:p>
    <w:p>
      <w:pPr>
        <w:pStyle w:val="26"/>
      </w:pPr>
      <w:r>
        <w:t>（二）干部队伍管理和干部教育培训</w:t>
      </w:r>
    </w:p>
    <w:p>
      <w:pPr>
        <w:pStyle w:val="26"/>
      </w:pPr>
      <w:r>
        <w:t>绩效目标：加强全乡干部队伍管理，干部教育培训</w:t>
      </w:r>
    </w:p>
    <w:p>
      <w:pPr>
        <w:pStyle w:val="26"/>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6"/>
      </w:pPr>
      <w:r>
        <w:t>（三）宣传思想工作</w:t>
      </w:r>
    </w:p>
    <w:p>
      <w:pPr>
        <w:pStyle w:val="26"/>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6"/>
      </w:pPr>
      <w:r>
        <w:t>绩效指标：</w:t>
      </w:r>
      <w:r>
        <w:rPr>
          <w:rFonts w:hint="eastAsia"/>
          <w:lang w:eastAsia="zh-CN"/>
        </w:rPr>
        <w:t>开展社会主义核心价值观</w:t>
      </w:r>
      <w:r>
        <w:t>宣传教育、公益广告宣传、志愿服务等活动占工作任务的比例大于等于95%。</w:t>
      </w:r>
    </w:p>
    <w:p>
      <w:pPr>
        <w:pStyle w:val="26"/>
      </w:pPr>
      <w:r>
        <w:t>（四）案件查办</w:t>
      </w:r>
    </w:p>
    <w:p>
      <w:pPr>
        <w:pStyle w:val="26"/>
      </w:pPr>
      <w:r>
        <w:t>绩效目标：受理信访、举报，集中管理问题线索、组织协调案件查办，调查、审查违纪违法案件。</w:t>
      </w:r>
    </w:p>
    <w:p>
      <w:pPr>
        <w:pStyle w:val="26"/>
      </w:pPr>
      <w:r>
        <w:t>绩效指标：镇党政领导包联化解信访事项全年不少于5件，认真落实初信初访首接首办责任，力争初信初访化解占工作任务的比例大于等于100%。</w:t>
      </w:r>
    </w:p>
    <w:p>
      <w:pPr>
        <w:pStyle w:val="26"/>
      </w:pPr>
      <w:r>
        <w:t>（五）党风廉政建设</w:t>
      </w:r>
    </w:p>
    <w:p>
      <w:pPr>
        <w:pStyle w:val="26"/>
      </w:pPr>
      <w:r>
        <w:t>绩效目标：组织协调全乡</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6"/>
      </w:pPr>
      <w:r>
        <w:t>绩效指标：实际开展教育活动次数占计划组织活动次数比重大于等于95%。</w:t>
      </w:r>
    </w:p>
    <w:p>
      <w:pPr>
        <w:pStyle w:val="26"/>
      </w:pPr>
      <w:r>
        <w:t>（六）推进新农村建设</w:t>
      </w:r>
    </w:p>
    <w:p>
      <w:pPr>
        <w:pStyle w:val="26"/>
      </w:pPr>
      <w:r>
        <w:t>绩效目标：按照统筹城乡发展要求，围绕农村改造15件实事，突出重点，因地制宜，开展农村面貌改造提升。按照分期分批推进的要求，每年选定一批重点村实施改造提升。</w:t>
      </w:r>
    </w:p>
    <w:p>
      <w:pPr>
        <w:pStyle w:val="26"/>
      </w:pPr>
      <w:r>
        <w:t>绩效指标：当年完成建设任务的重点村占全部重点村的比例大于等于95%。</w:t>
      </w:r>
    </w:p>
    <w:p>
      <w:pPr>
        <w:pStyle w:val="26"/>
      </w:pPr>
      <w:r>
        <w:t>（七）双拥优抚安置政策及管理</w:t>
      </w:r>
    </w:p>
    <w:p>
      <w:pPr>
        <w:pStyle w:val="26"/>
      </w:pPr>
      <w:r>
        <w:t>绩效目标：及时申报、拨付优抚对象的生活、住房、医疗等各项补贴，切实解决困难群众的实际困难。义务兵家庭优待工作全面落实。</w:t>
      </w:r>
    </w:p>
    <w:p>
      <w:pPr>
        <w:pStyle w:val="26"/>
      </w:pPr>
      <w:r>
        <w:t>绩效指标：优抚对象生活抚恤对付资金占应兑付额的比例大于等于95%。</w:t>
      </w:r>
    </w:p>
    <w:p>
      <w:pPr>
        <w:pStyle w:val="26"/>
      </w:pPr>
      <w:r>
        <w:t>（八）基层政权建设</w:t>
      </w:r>
    </w:p>
    <w:p>
      <w:pPr>
        <w:pStyle w:val="26"/>
      </w:pPr>
      <w:r>
        <w:t>绩效目标：组织指导村干部培训，建立健全基层群众自治组织，充分发挥村级组织的基层战斗堡垒作用，指导协助村集体开展各项工作，做好监督和考核工作。</w:t>
      </w:r>
    </w:p>
    <w:p>
      <w:pPr>
        <w:pStyle w:val="26"/>
      </w:pPr>
      <w:r>
        <w:t>绩效指标：指导12个村民主决策、民主管理、民主监督以及居务公开占工作任务的比例大于等于90%。</w:t>
      </w:r>
    </w:p>
    <w:p>
      <w:pPr>
        <w:pStyle w:val="26"/>
      </w:pPr>
      <w:r>
        <w:t>（九）卫计政务管理</w:t>
      </w:r>
    </w:p>
    <w:p>
      <w:pPr>
        <w:pStyle w:val="26"/>
      </w:pPr>
      <w:r>
        <w:t>绩效目标：保障卫生计生法律法规的落实，提升卫生计生工作规范化和法制化水平，监督政策落实，落实政务公开和业务宣传工作，加强卫生计生能力建设，计生服务达到满意。</w:t>
      </w:r>
    </w:p>
    <w:p>
      <w:pPr>
        <w:pStyle w:val="26"/>
      </w:pPr>
      <w:r>
        <w:t>绩效指标：开展卫生计生规划、统计、法制、政策研究、宣传教育占工作任务的比例大于等于90%。</w:t>
      </w:r>
    </w:p>
    <w:p>
      <w:pPr>
        <w:pStyle w:val="26"/>
      </w:pPr>
      <w:r>
        <w:t>（十）政务公开</w:t>
      </w:r>
    </w:p>
    <w:p>
      <w:pPr>
        <w:pStyle w:val="26"/>
      </w:pPr>
      <w:r>
        <w:t>绩效目标：指导和协调全镇政务公开，通过完成政务信息公开工作的指导监督工作，使政府信息公开业务队伍素质不断提高，反映全乡政务公开工作程度。</w:t>
      </w:r>
    </w:p>
    <w:p>
      <w:pPr>
        <w:pStyle w:val="26"/>
      </w:pPr>
      <w:r>
        <w:t>绩效指标：全乡政务公开数量占全年政务公开任务的比例大于等于95%。</w:t>
      </w:r>
    </w:p>
    <w:p>
      <w:pPr>
        <w:pStyle w:val="26"/>
      </w:pPr>
      <w:r>
        <w:t>（十一）综合业务</w:t>
      </w:r>
    </w:p>
    <w:p>
      <w:pPr>
        <w:pStyle w:val="26"/>
      </w:pPr>
      <w:r>
        <w:t>绩效目标：推进乡镇机关事务管理工作科学发展；提高管理、保障、服务水平。</w:t>
      </w:r>
    </w:p>
    <w:p>
      <w:pPr>
        <w:pStyle w:val="26"/>
      </w:pPr>
      <w:r>
        <w:t>绩效指标：全乡机关事务管理综合业务工作完成率大于等于95%。</w:t>
      </w:r>
    </w:p>
    <w:p>
      <w:pPr>
        <w:pStyle w:val="26"/>
      </w:pPr>
      <w:r>
        <w:t>（十二）应急管理</w:t>
      </w:r>
    </w:p>
    <w:p>
      <w:pPr>
        <w:pStyle w:val="26"/>
      </w:pPr>
      <w:r>
        <w:t>绩效目标：加强全乡值班工作，传达和督促落实镇领导指示。确保全镇应急工作顺利完成；各类突发事件得到及时妥善处置。</w:t>
      </w:r>
    </w:p>
    <w:p>
      <w:pPr>
        <w:pStyle w:val="26"/>
      </w:pPr>
      <w:r>
        <w:t>绩效指标：有效保证全乡日常应急值守和突发事件应对处置工作等，各项综合业务工作完成占工作任务的比例大于等于95%。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看力度，将所有财政资金全部纳入监管范围，进一步健全制度，建立内部监管检查机制，确保财政资金安全及使用效益最大化。</w:t>
      </w:r>
    </w:p>
    <w:p>
      <w:pPr>
        <w:pStyle w:val="27"/>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7"/>
      </w:pPr>
      <w:r>
        <w:t>（二）加强支出管理。通过优化支出结构、编细编实预算、加快履行政府采购手续、尽快启动项目、及时支付资金、按规定及时下达资金等多种措施，确保支出进度达标。</w:t>
      </w:r>
    </w:p>
    <w:p>
      <w:pPr>
        <w:pStyle w:val="27"/>
      </w:pPr>
      <w:r>
        <w:t>（三）加强绩效运行监控。按要求开展绩效运行监控，发现问题及时采取措施，确保绩效目标如期保质实现。</w:t>
      </w:r>
    </w:p>
    <w:p>
      <w:pPr>
        <w:pStyle w:val="27"/>
      </w:pPr>
      <w:r>
        <w:t>（四）做好绩效自评。按要求开展</w:t>
      </w:r>
      <w:r>
        <w:rPr>
          <w:rFonts w:hint="eastAsia"/>
          <w:lang w:eastAsia="zh-CN"/>
        </w:rPr>
        <w:t>部门</w:t>
      </w:r>
      <w:r>
        <w:t>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w:t>
      </w:r>
      <w:r>
        <w:rPr>
          <w:rFonts w:hint="eastAsia"/>
          <w:lang w:eastAsia="zh-CN"/>
        </w:rPr>
        <w:t>部门</w:t>
      </w:r>
      <w:r>
        <w:t>职工业务素质；加强调研，提出优化财政资金配置、提高资金使用效益的</w:t>
      </w:r>
      <w:r>
        <w:rPr>
          <w:rFonts w:hint="eastAsia"/>
          <w:lang w:eastAsia="zh-CN"/>
        </w:rPr>
        <w:t>意见</w:t>
      </w:r>
      <w:r>
        <w:t>；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乡环境卫生质量。</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1、2023年村级转移支付绩效目标表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1.资金按时拨放到位，用于村级日常办公用品费、电话费、水电费、烤火费、培训费、书报费等，</w:t>
            </w:r>
          </w:p>
          <w:p>
            <w:pPr>
              <w:pStyle w:val="16"/>
            </w:pPr>
            <w:r>
              <w:t>2.通过此项工作的开展，维持村集体正常运转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运转村级数量</w:t>
            </w:r>
          </w:p>
        </w:tc>
        <w:tc>
          <w:tcPr>
            <w:tcW w:w="2835" w:type="dxa"/>
            <w:vAlign w:val="center"/>
          </w:tcPr>
          <w:p>
            <w:pPr>
              <w:pStyle w:val="16"/>
            </w:pPr>
            <w:r>
              <w:t>保障村级正常运转的数量</w:t>
            </w:r>
          </w:p>
        </w:tc>
        <w:tc>
          <w:tcPr>
            <w:tcW w:w="2551" w:type="dxa"/>
            <w:vAlign w:val="center"/>
          </w:tcPr>
          <w:p>
            <w:pPr>
              <w:pStyle w:val="16"/>
            </w:pPr>
            <w:r>
              <w:t>≥12个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资金发放准确率</w:t>
            </w:r>
          </w:p>
        </w:tc>
        <w:tc>
          <w:tcPr>
            <w:tcW w:w="2835" w:type="dxa"/>
            <w:vAlign w:val="center"/>
          </w:tcPr>
          <w:p>
            <w:pPr>
              <w:pStyle w:val="16"/>
            </w:pPr>
            <w:r>
              <w:t>转移支付资金发放的准确率</w:t>
            </w:r>
          </w:p>
        </w:tc>
        <w:tc>
          <w:tcPr>
            <w:tcW w:w="2551" w:type="dxa"/>
            <w:vAlign w:val="center"/>
          </w:tcPr>
          <w:p>
            <w:pPr>
              <w:pStyle w:val="16"/>
            </w:pPr>
            <w:r>
              <w:t>≥95百分比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根据年初预算安排，按时完成</w:t>
            </w:r>
          </w:p>
        </w:tc>
        <w:tc>
          <w:tcPr>
            <w:tcW w:w="2551" w:type="dxa"/>
            <w:vAlign w:val="center"/>
          </w:tcPr>
          <w:p>
            <w:pPr>
              <w:pStyle w:val="16"/>
            </w:pPr>
            <w:r>
              <w:t>2023年12月31日前完成</w:t>
            </w:r>
          </w:p>
        </w:tc>
        <w:tc>
          <w:tcPr>
            <w:tcW w:w="2268" w:type="dxa"/>
            <w:vAlign w:val="center"/>
          </w:tcPr>
          <w:p>
            <w:pPr>
              <w:pStyle w:val="16"/>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每村平均发放转移支付资金金额</w:t>
            </w:r>
          </w:p>
        </w:tc>
        <w:tc>
          <w:tcPr>
            <w:tcW w:w="2551" w:type="dxa"/>
            <w:vAlign w:val="center"/>
          </w:tcPr>
          <w:p>
            <w:pPr>
              <w:pStyle w:val="16"/>
            </w:pPr>
            <w:r>
              <w:t>≤13000元/村</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村集体正常开展工作</w:t>
            </w:r>
          </w:p>
        </w:tc>
        <w:tc>
          <w:tcPr>
            <w:tcW w:w="2551" w:type="dxa"/>
            <w:vAlign w:val="center"/>
          </w:tcPr>
          <w:p>
            <w:pPr>
              <w:pStyle w:val="16"/>
            </w:pPr>
            <w:r>
              <w:t>保障工作开展水平良好</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基层群众对工作的满意度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1.按照工作需要，开展财政所工作，购买办公用品、协调工作、对财务人员进行培训等，确保财政所各项工作完成。</w:t>
            </w:r>
          </w:p>
          <w:p>
            <w:pPr>
              <w:pStyle w:val="16"/>
            </w:pPr>
            <w:r>
              <w:t>2.对工作的开展，提升财政人员工作水平，起到切实服务大局的作用。</w:t>
            </w:r>
          </w:p>
          <w:p>
            <w:pPr>
              <w:pStyle w:val="16"/>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购买办公用品次数</w:t>
            </w:r>
          </w:p>
        </w:tc>
        <w:tc>
          <w:tcPr>
            <w:tcW w:w="2835" w:type="dxa"/>
            <w:vAlign w:val="center"/>
          </w:tcPr>
          <w:p>
            <w:pPr>
              <w:pStyle w:val="16"/>
            </w:pPr>
            <w:r>
              <w:t>购买办公用品次数</w:t>
            </w:r>
          </w:p>
        </w:tc>
        <w:tc>
          <w:tcPr>
            <w:tcW w:w="2551" w:type="dxa"/>
            <w:vAlign w:val="center"/>
          </w:tcPr>
          <w:p>
            <w:pPr>
              <w:pStyle w:val="16"/>
            </w:pPr>
            <w:r>
              <w:t>≥5次</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产品合格率</w:t>
            </w:r>
          </w:p>
        </w:tc>
        <w:tc>
          <w:tcPr>
            <w:tcW w:w="2835" w:type="dxa"/>
            <w:vAlign w:val="center"/>
          </w:tcPr>
          <w:p>
            <w:pPr>
              <w:pStyle w:val="16"/>
            </w:pPr>
            <w:r>
              <w:t>购买产品的合格率</w:t>
            </w:r>
          </w:p>
        </w:tc>
        <w:tc>
          <w:tcPr>
            <w:tcW w:w="2551" w:type="dxa"/>
            <w:vAlign w:val="center"/>
          </w:tcPr>
          <w:p>
            <w:pPr>
              <w:pStyle w:val="16"/>
            </w:pPr>
            <w:r>
              <w:t>≥95百分比</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根据年初预算安排，确保资金科学有效使用，按预定时间完成。</w:t>
            </w:r>
          </w:p>
        </w:tc>
        <w:tc>
          <w:tcPr>
            <w:tcW w:w="2551" w:type="dxa"/>
            <w:vAlign w:val="center"/>
          </w:tcPr>
          <w:p>
            <w:pPr>
              <w:pStyle w:val="16"/>
            </w:pPr>
            <w:r>
              <w:t>2023年12月31日完成</w:t>
            </w:r>
          </w:p>
        </w:tc>
        <w:tc>
          <w:tcPr>
            <w:tcW w:w="2268" w:type="dxa"/>
            <w:vAlign w:val="center"/>
          </w:tcPr>
          <w:p>
            <w:pPr>
              <w:pStyle w:val="16"/>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月购买办公用品成本</w:t>
            </w:r>
          </w:p>
        </w:tc>
        <w:tc>
          <w:tcPr>
            <w:tcW w:w="2551" w:type="dxa"/>
            <w:vAlign w:val="center"/>
          </w:tcPr>
          <w:p>
            <w:pPr>
              <w:pStyle w:val="16"/>
            </w:pPr>
            <w:r>
              <w:t>≤1700元/月</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维持乡镇财政所正常运转</w:t>
            </w:r>
          </w:p>
        </w:tc>
        <w:tc>
          <w:tcPr>
            <w:tcW w:w="2835" w:type="dxa"/>
            <w:vAlign w:val="center"/>
          </w:tcPr>
          <w:p>
            <w:pPr>
              <w:pStyle w:val="16"/>
            </w:pPr>
            <w:r>
              <w:t>维持财政所正常运转，更好的服务辖区群众</w:t>
            </w:r>
          </w:p>
        </w:tc>
        <w:tc>
          <w:tcPr>
            <w:tcW w:w="2551" w:type="dxa"/>
            <w:vAlign w:val="center"/>
          </w:tcPr>
          <w:p>
            <w:pPr>
              <w:pStyle w:val="16"/>
            </w:pPr>
            <w:r>
              <w:t>维持正常运转</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该项工作产生的一定影响，基层群众对工作的满意度。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1.对因实施计划生育政策引发并发症人员进行补贴</w:t>
            </w:r>
          </w:p>
          <w:p>
            <w:pPr>
              <w:pStyle w:val="16"/>
            </w:pPr>
            <w:r>
              <w:t>2.通过此项工作，达到切实服务群众的作用</w:t>
            </w:r>
          </w:p>
          <w:p>
            <w:pPr>
              <w:pStyle w:val="16"/>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发放补贴人数</w:t>
            </w:r>
          </w:p>
        </w:tc>
        <w:tc>
          <w:tcPr>
            <w:tcW w:w="2835" w:type="dxa"/>
            <w:vAlign w:val="center"/>
          </w:tcPr>
          <w:p>
            <w:pPr>
              <w:pStyle w:val="16"/>
            </w:pPr>
            <w:r>
              <w:t>发放补贴人数</w:t>
            </w:r>
          </w:p>
        </w:tc>
        <w:tc>
          <w:tcPr>
            <w:tcW w:w="2551" w:type="dxa"/>
            <w:vAlign w:val="center"/>
          </w:tcPr>
          <w:p>
            <w:pPr>
              <w:pStyle w:val="16"/>
            </w:pPr>
            <w:r>
              <w:t>≥2人</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发放比例</w:t>
            </w:r>
          </w:p>
        </w:tc>
        <w:tc>
          <w:tcPr>
            <w:tcW w:w="2835" w:type="dxa"/>
            <w:vAlign w:val="center"/>
          </w:tcPr>
          <w:p>
            <w:pPr>
              <w:pStyle w:val="16"/>
            </w:pPr>
            <w:r>
              <w:t>发放补贴人数完成比例</w:t>
            </w:r>
          </w:p>
        </w:tc>
        <w:tc>
          <w:tcPr>
            <w:tcW w:w="2551" w:type="dxa"/>
            <w:vAlign w:val="center"/>
          </w:tcPr>
          <w:p>
            <w:pPr>
              <w:pStyle w:val="16"/>
            </w:pPr>
            <w:r>
              <w:t>≥95百分比</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补贴发放时间</w:t>
            </w:r>
          </w:p>
        </w:tc>
        <w:tc>
          <w:tcPr>
            <w:tcW w:w="2835" w:type="dxa"/>
            <w:vAlign w:val="center"/>
          </w:tcPr>
          <w:p>
            <w:pPr>
              <w:pStyle w:val="16"/>
            </w:pPr>
            <w:r>
              <w:t>根据年初预算安排，按时发放补贴。</w:t>
            </w:r>
          </w:p>
        </w:tc>
        <w:tc>
          <w:tcPr>
            <w:tcW w:w="2551" w:type="dxa"/>
            <w:vAlign w:val="center"/>
          </w:tcPr>
          <w:p>
            <w:pPr>
              <w:pStyle w:val="16"/>
            </w:pPr>
            <w:r>
              <w:t>2023年12月31日前完成</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每名四术人员每年享受补贴金额</w:t>
            </w:r>
          </w:p>
        </w:tc>
        <w:tc>
          <w:tcPr>
            <w:tcW w:w="2551" w:type="dxa"/>
            <w:vAlign w:val="center"/>
          </w:tcPr>
          <w:p>
            <w:pPr>
              <w:pStyle w:val="16"/>
            </w:pPr>
            <w:r>
              <w:t>≤3360元/人</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保证四术人员按政策享受补贴得到的认可率</w:t>
            </w:r>
          </w:p>
        </w:tc>
        <w:tc>
          <w:tcPr>
            <w:tcW w:w="2551" w:type="dxa"/>
            <w:vAlign w:val="center"/>
          </w:tcPr>
          <w:p>
            <w:pPr>
              <w:pStyle w:val="16"/>
            </w:pPr>
            <w:r>
              <w:t>≥95百分比</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该项工作产生的一定影响，基层群众对工作的满意度。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4、统计专项业务工作经费绩效目标表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1.按照工作需要，开展统计工作，购买办公用品、协调工作、对统计人员进行培训等，确保统计各项工作完成。</w:t>
            </w:r>
          </w:p>
          <w:p>
            <w:pPr>
              <w:pStyle w:val="16"/>
            </w:pPr>
            <w:r>
              <w:t>2.对工作的开展，提升统计人员工作水平，起到切实服务大局的作用。</w:t>
            </w:r>
          </w:p>
          <w:p>
            <w:pPr>
              <w:pStyle w:val="16"/>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购买办公用品次数</w:t>
            </w:r>
          </w:p>
        </w:tc>
        <w:tc>
          <w:tcPr>
            <w:tcW w:w="2835" w:type="dxa"/>
            <w:vAlign w:val="center"/>
          </w:tcPr>
          <w:p>
            <w:pPr>
              <w:pStyle w:val="16"/>
            </w:pPr>
            <w:r>
              <w:t>购买办公用品次数</w:t>
            </w:r>
          </w:p>
        </w:tc>
        <w:tc>
          <w:tcPr>
            <w:tcW w:w="2551" w:type="dxa"/>
            <w:vAlign w:val="center"/>
          </w:tcPr>
          <w:p>
            <w:pPr>
              <w:pStyle w:val="16"/>
            </w:pPr>
            <w:r>
              <w:t>≥12次</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产品合格率</w:t>
            </w:r>
          </w:p>
        </w:tc>
        <w:tc>
          <w:tcPr>
            <w:tcW w:w="2835" w:type="dxa"/>
            <w:vAlign w:val="center"/>
          </w:tcPr>
          <w:p>
            <w:pPr>
              <w:pStyle w:val="16"/>
            </w:pPr>
            <w:r>
              <w:t>购买产品的合格率</w:t>
            </w:r>
          </w:p>
        </w:tc>
        <w:tc>
          <w:tcPr>
            <w:tcW w:w="2551" w:type="dxa"/>
            <w:vAlign w:val="center"/>
          </w:tcPr>
          <w:p>
            <w:pPr>
              <w:pStyle w:val="16"/>
            </w:pPr>
            <w:r>
              <w:t>≥95百分比</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根据年初预算安排，确保资金科学有效使用，按预定时间完成。</w:t>
            </w:r>
          </w:p>
        </w:tc>
        <w:tc>
          <w:tcPr>
            <w:tcW w:w="2551" w:type="dxa"/>
            <w:vAlign w:val="center"/>
          </w:tcPr>
          <w:p>
            <w:pPr>
              <w:pStyle w:val="16"/>
            </w:pPr>
            <w:r>
              <w:t>2023年12月31日前完成</w:t>
            </w:r>
          </w:p>
        </w:tc>
        <w:tc>
          <w:tcPr>
            <w:tcW w:w="2268" w:type="dxa"/>
            <w:vAlign w:val="center"/>
          </w:tcPr>
          <w:p>
            <w:pPr>
              <w:pStyle w:val="16"/>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月购买办公用品成本</w:t>
            </w:r>
          </w:p>
        </w:tc>
        <w:tc>
          <w:tcPr>
            <w:tcW w:w="2551" w:type="dxa"/>
            <w:vAlign w:val="center"/>
          </w:tcPr>
          <w:p>
            <w:pPr>
              <w:pStyle w:val="16"/>
            </w:pPr>
            <w:r>
              <w:t>≤1666.67元/月</w:t>
            </w:r>
          </w:p>
        </w:tc>
        <w:tc>
          <w:tcPr>
            <w:tcW w:w="2268" w:type="dxa"/>
            <w:vAlign w:val="center"/>
          </w:tcPr>
          <w:p>
            <w:pPr>
              <w:pStyle w:val="16"/>
            </w:pPr>
            <w:r>
              <w:t>年初预算安排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维持统计工作正常运转</w:t>
            </w:r>
          </w:p>
        </w:tc>
        <w:tc>
          <w:tcPr>
            <w:tcW w:w="2835" w:type="dxa"/>
            <w:vAlign w:val="center"/>
          </w:tcPr>
          <w:p>
            <w:pPr>
              <w:pStyle w:val="16"/>
            </w:pPr>
            <w:r>
              <w:t>维持统计工作正常运转，更好的服务辖区群众</w:t>
            </w:r>
          </w:p>
        </w:tc>
        <w:tc>
          <w:tcPr>
            <w:tcW w:w="2551" w:type="dxa"/>
            <w:vAlign w:val="center"/>
          </w:tcPr>
          <w:p>
            <w:pPr>
              <w:pStyle w:val="16"/>
            </w:pPr>
            <w:r>
              <w:t>维持正常运转</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该项工作产生的一定影响，基层群众对工作的满意度。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5、征兵工作经费绩效目标表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1.充分调动乡镇征兵工作积极性。       </w:t>
            </w:r>
          </w:p>
          <w:p>
            <w:pPr>
              <w:pStyle w:val="16"/>
            </w:pPr>
          </w:p>
          <w:p>
            <w:pPr>
              <w:pStyle w:val="16"/>
            </w:pPr>
            <w:r>
              <w:t>2.保障征兵</w:t>
            </w:r>
            <w:bookmarkStart w:id="18" w:name="_GoBack"/>
            <w:bookmarkEnd w:id="18"/>
            <w:r>
              <w:rPr>
                <w:rFonts w:hint="eastAsia"/>
                <w:lang w:eastAsia="zh-CN"/>
              </w:rPr>
              <w:t>工作</w:t>
            </w:r>
            <w:r>
              <w:t>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购买物品、服务数量</w:t>
            </w:r>
          </w:p>
        </w:tc>
        <w:tc>
          <w:tcPr>
            <w:tcW w:w="2835" w:type="dxa"/>
            <w:vAlign w:val="center"/>
          </w:tcPr>
          <w:p>
            <w:pPr>
              <w:pStyle w:val="16"/>
            </w:pPr>
            <w:r>
              <w:t>用于购买物品、服务的数量</w:t>
            </w:r>
          </w:p>
        </w:tc>
        <w:tc>
          <w:tcPr>
            <w:tcW w:w="2551" w:type="dxa"/>
            <w:vAlign w:val="center"/>
          </w:tcPr>
          <w:p>
            <w:pPr>
              <w:pStyle w:val="16"/>
            </w:pPr>
            <w:r>
              <w:t>≥5次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购买物品、服务的质量</w:t>
            </w:r>
          </w:p>
        </w:tc>
        <w:tc>
          <w:tcPr>
            <w:tcW w:w="2835" w:type="dxa"/>
            <w:vAlign w:val="center"/>
          </w:tcPr>
          <w:p>
            <w:pPr>
              <w:pStyle w:val="16"/>
            </w:pPr>
            <w:r>
              <w:t>用于购买物品、服务的质量合格率</w:t>
            </w:r>
          </w:p>
        </w:tc>
        <w:tc>
          <w:tcPr>
            <w:tcW w:w="2551" w:type="dxa"/>
            <w:vAlign w:val="center"/>
          </w:tcPr>
          <w:p>
            <w:pPr>
              <w:pStyle w:val="16"/>
            </w:pPr>
            <w:r>
              <w:t>≥95百分比</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根据年初预算安排，确保资金科学有效使用，按时完成。</w:t>
            </w:r>
          </w:p>
        </w:tc>
        <w:tc>
          <w:tcPr>
            <w:tcW w:w="2551" w:type="dxa"/>
            <w:vAlign w:val="center"/>
          </w:tcPr>
          <w:p>
            <w:pPr>
              <w:pStyle w:val="16"/>
            </w:pPr>
            <w:r>
              <w:t>2023年12月31日完成</w:t>
            </w:r>
          </w:p>
        </w:tc>
        <w:tc>
          <w:tcPr>
            <w:tcW w:w="2268" w:type="dxa"/>
            <w:vAlign w:val="center"/>
          </w:tcPr>
          <w:p>
            <w:pPr>
              <w:pStyle w:val="16"/>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每月保证购买物品、服务成本</w:t>
            </w:r>
          </w:p>
        </w:tc>
        <w:tc>
          <w:tcPr>
            <w:tcW w:w="2551" w:type="dxa"/>
            <w:vAlign w:val="center"/>
          </w:tcPr>
          <w:p>
            <w:pPr>
              <w:pStyle w:val="16"/>
            </w:pPr>
            <w:r>
              <w:t>≤2500元/月</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社会稳定情况</w:t>
            </w:r>
          </w:p>
        </w:tc>
        <w:tc>
          <w:tcPr>
            <w:tcW w:w="2835" w:type="dxa"/>
            <w:vAlign w:val="center"/>
          </w:tcPr>
          <w:p>
            <w:pPr>
              <w:pStyle w:val="16"/>
            </w:pPr>
            <w:r>
              <w:t>保证辖区内社会稳定，无群体性事件发生</w:t>
            </w:r>
          </w:p>
        </w:tc>
        <w:tc>
          <w:tcPr>
            <w:tcW w:w="2551" w:type="dxa"/>
            <w:vAlign w:val="center"/>
          </w:tcPr>
          <w:p>
            <w:pPr>
              <w:pStyle w:val="16"/>
            </w:pPr>
            <w:r>
              <w:t>镇域内社会和谐稳定</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该项工作产生的一定影响，基层群众对工作的满意度。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6、2023年乡镇体制经费绩效目标表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1.充分调动乡镇经济发展，组织收入积极性</w:t>
            </w:r>
          </w:p>
          <w:p>
            <w:pPr>
              <w:pStyle w:val="16"/>
            </w:pPr>
            <w:r>
              <w:t>2.用于保障乡镇办公、维稳、经济发展等各项社会事业支出</w:t>
            </w:r>
          </w:p>
          <w:p>
            <w:pPr>
              <w:pStyle w:val="16"/>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购买物品、服务数量</w:t>
            </w:r>
          </w:p>
        </w:tc>
        <w:tc>
          <w:tcPr>
            <w:tcW w:w="2835" w:type="dxa"/>
            <w:vAlign w:val="center"/>
          </w:tcPr>
          <w:p>
            <w:pPr>
              <w:pStyle w:val="16"/>
            </w:pPr>
            <w:r>
              <w:t>用于购买物品、服务的数量</w:t>
            </w:r>
          </w:p>
        </w:tc>
        <w:tc>
          <w:tcPr>
            <w:tcW w:w="2551" w:type="dxa"/>
            <w:vAlign w:val="center"/>
          </w:tcPr>
          <w:p>
            <w:pPr>
              <w:pStyle w:val="16"/>
            </w:pPr>
            <w:r>
              <w:t>≥20次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购买物品、服务的质量</w:t>
            </w:r>
          </w:p>
        </w:tc>
        <w:tc>
          <w:tcPr>
            <w:tcW w:w="2835" w:type="dxa"/>
            <w:vAlign w:val="center"/>
          </w:tcPr>
          <w:p>
            <w:pPr>
              <w:pStyle w:val="16"/>
            </w:pPr>
            <w:r>
              <w:t>用于购买物品、服务的质量合格率</w:t>
            </w:r>
          </w:p>
        </w:tc>
        <w:tc>
          <w:tcPr>
            <w:tcW w:w="2551" w:type="dxa"/>
            <w:vAlign w:val="center"/>
          </w:tcPr>
          <w:p>
            <w:pPr>
              <w:pStyle w:val="16"/>
            </w:pPr>
            <w:r>
              <w:t>≥95百分比</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根据年初预算安排，确保资金科学有效使用，按时完成。</w:t>
            </w:r>
          </w:p>
        </w:tc>
        <w:tc>
          <w:tcPr>
            <w:tcW w:w="2551" w:type="dxa"/>
            <w:vAlign w:val="center"/>
          </w:tcPr>
          <w:p>
            <w:pPr>
              <w:pStyle w:val="16"/>
            </w:pPr>
            <w:r>
              <w:t>2023年12月31日完成</w:t>
            </w:r>
          </w:p>
        </w:tc>
        <w:tc>
          <w:tcPr>
            <w:tcW w:w="2268" w:type="dxa"/>
            <w:vAlign w:val="center"/>
          </w:tcPr>
          <w:p>
            <w:pPr>
              <w:pStyle w:val="16"/>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每月保证购买物品、服务成本</w:t>
            </w:r>
          </w:p>
        </w:tc>
        <w:tc>
          <w:tcPr>
            <w:tcW w:w="2551" w:type="dxa"/>
            <w:vAlign w:val="center"/>
          </w:tcPr>
          <w:p>
            <w:pPr>
              <w:pStyle w:val="16"/>
            </w:pPr>
            <w:r>
              <w:t>≤5.13万元/月</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社会稳定情况</w:t>
            </w:r>
          </w:p>
        </w:tc>
        <w:tc>
          <w:tcPr>
            <w:tcW w:w="2835" w:type="dxa"/>
            <w:vAlign w:val="center"/>
          </w:tcPr>
          <w:p>
            <w:pPr>
              <w:pStyle w:val="16"/>
            </w:pPr>
            <w:r>
              <w:t>保证辖区内社会稳定，无群体性事件发生</w:t>
            </w:r>
          </w:p>
        </w:tc>
        <w:tc>
          <w:tcPr>
            <w:tcW w:w="2551" w:type="dxa"/>
            <w:vAlign w:val="center"/>
          </w:tcPr>
          <w:p>
            <w:pPr>
              <w:pStyle w:val="16"/>
            </w:pPr>
            <w:r>
              <w:t>镇域内社会和谐稳定</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该项工作产生的一定影响，基层群众对工作的满意度。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7、农村综改一事一议项目绩效目标表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1.充分调动乡镇经济发展，乡村振兴建设 </w:t>
            </w:r>
          </w:p>
          <w:p>
            <w:pPr>
              <w:pStyle w:val="16"/>
            </w:pPr>
            <w:r>
              <w:t>2.保障项目资金足额发放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村级数量</w:t>
            </w:r>
          </w:p>
        </w:tc>
        <w:tc>
          <w:tcPr>
            <w:tcW w:w="2835" w:type="dxa"/>
            <w:vAlign w:val="center"/>
          </w:tcPr>
          <w:p>
            <w:pPr>
              <w:pStyle w:val="16"/>
            </w:pPr>
            <w:r>
              <w:t>改善村级数量</w:t>
            </w:r>
          </w:p>
        </w:tc>
        <w:tc>
          <w:tcPr>
            <w:tcW w:w="2551" w:type="dxa"/>
            <w:vAlign w:val="center"/>
          </w:tcPr>
          <w:p>
            <w:pPr>
              <w:pStyle w:val="16"/>
            </w:pPr>
            <w:r>
              <w:t>≥5个</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建设完成率</w:t>
            </w:r>
          </w:p>
        </w:tc>
        <w:tc>
          <w:tcPr>
            <w:tcW w:w="2835" w:type="dxa"/>
            <w:vAlign w:val="center"/>
          </w:tcPr>
          <w:p>
            <w:pPr>
              <w:pStyle w:val="16"/>
            </w:pPr>
            <w:r>
              <w:t>预算资金完成率</w:t>
            </w:r>
          </w:p>
        </w:tc>
        <w:tc>
          <w:tcPr>
            <w:tcW w:w="2551" w:type="dxa"/>
            <w:vAlign w:val="center"/>
          </w:tcPr>
          <w:p>
            <w:pPr>
              <w:pStyle w:val="16"/>
            </w:pPr>
            <w:r>
              <w:t>≥95百分比</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完成时间</w:t>
            </w:r>
          </w:p>
        </w:tc>
        <w:tc>
          <w:tcPr>
            <w:tcW w:w="2551" w:type="dxa"/>
            <w:vAlign w:val="center"/>
          </w:tcPr>
          <w:p>
            <w:pPr>
              <w:pStyle w:val="16"/>
            </w:pPr>
            <w:r>
              <w:t>2023年12月31日完成</w:t>
            </w:r>
          </w:p>
        </w:tc>
        <w:tc>
          <w:tcPr>
            <w:tcW w:w="2268" w:type="dxa"/>
            <w:vAlign w:val="center"/>
          </w:tcPr>
          <w:p>
            <w:pPr>
              <w:pStyle w:val="16"/>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保障村级工作正常开展</w:t>
            </w:r>
          </w:p>
        </w:tc>
        <w:tc>
          <w:tcPr>
            <w:tcW w:w="2551" w:type="dxa"/>
            <w:vAlign w:val="center"/>
          </w:tcPr>
          <w:p>
            <w:pPr>
              <w:pStyle w:val="16"/>
            </w:pPr>
            <w:r>
              <w:t>≤16万元/村</w:t>
            </w:r>
          </w:p>
        </w:tc>
        <w:tc>
          <w:tcPr>
            <w:tcW w:w="2268"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村级硬化率</w:t>
            </w:r>
          </w:p>
        </w:tc>
        <w:tc>
          <w:tcPr>
            <w:tcW w:w="2835" w:type="dxa"/>
            <w:vAlign w:val="center"/>
          </w:tcPr>
          <w:p>
            <w:pPr>
              <w:pStyle w:val="16"/>
            </w:pPr>
            <w:r>
              <w:t>完成村级硬化率</w:t>
            </w:r>
          </w:p>
        </w:tc>
        <w:tc>
          <w:tcPr>
            <w:tcW w:w="2551" w:type="dxa"/>
            <w:vAlign w:val="center"/>
          </w:tcPr>
          <w:p>
            <w:pPr>
              <w:pStyle w:val="16"/>
            </w:pPr>
            <w:r>
              <w:t>优</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≥95百分比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eastAsia="方正仿宋_GBK"/>
          <w:color w:val="000000"/>
          <w:sz w:val="28"/>
        </w:rPr>
        <w:t>丰润区姜家营乡人民政府安排政府采购预算0.00万元。具体内容见下表。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476丰润区姜家营乡人民政府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部门</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rPr>
                <w:rFonts w:hint="eastAsia"/>
                <w:lang w:eastAsia="zh-CN"/>
              </w:rPr>
              <w:t>部门</w:t>
            </w:r>
            <w:r>
              <w:t xml:space="preserve">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丰润区姜家营乡人民政府（含所属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546.38</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未</w:t>
      </w:r>
      <w:r>
        <w:rPr>
          <w:rFonts w:ascii="Times New Roman" w:hAnsi="Times New Roman" w:eastAsia="方正仿宋_GBK" w:cs="Times New Roman"/>
          <w:b w:val="0"/>
          <w:color w:val="000000"/>
          <w:sz w:val="28"/>
        </w:rPr>
        <w:t>拟购置固定资产。</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476丰润区姜家营乡人民政府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lang w:val="en-US" w:eastAsia="zh-CN"/>
              </w:rPr>
            </w:pPr>
            <w:r>
              <w:rPr>
                <w:rFonts w:hint="eastAsia"/>
                <w:lang w:val="en-US" w:eastAsia="zh-CN"/>
              </w:rPr>
              <w:t>合计</w:t>
            </w:r>
          </w:p>
        </w:tc>
        <w:tc>
          <w:tcPr>
            <w:tcW w:w="2835" w:type="dxa"/>
            <w:vAlign w:val="center"/>
          </w:tcPr>
          <w:p>
            <w:pPr>
              <w:pStyle w:val="17"/>
              <w:rPr>
                <w:rFonts w:hint="default"/>
                <w:lang w:val="en-US" w:eastAsia="zh-CN"/>
              </w:rPr>
            </w:pPr>
            <w:r>
              <w:rPr>
                <w:rFonts w:hint="eastAsia"/>
                <w:lang w:val="en-US" w:eastAsia="zh-CN"/>
              </w:rPr>
              <w:t>------</w:t>
            </w:r>
          </w:p>
        </w:tc>
        <w:tc>
          <w:tcPr>
            <w:tcW w:w="2835" w:type="dxa"/>
            <w:vAlign w:val="center"/>
          </w:tcPr>
          <w:p>
            <w:pPr>
              <w:pStyle w:val="15"/>
              <w:rPr>
                <w:rFonts w:hint="default"/>
                <w:lang w:val="en-US" w:eastAsia="zh-CN"/>
              </w:rPr>
            </w:pPr>
            <w:r>
              <w:rPr>
                <w:rFonts w:hint="eastAsia"/>
                <w:lang w:val="en-US" w:eastAsia="zh-CN"/>
              </w:rPr>
              <w:t>546.38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土地、房屋及构筑物</w:t>
            </w:r>
          </w:p>
        </w:tc>
        <w:tc>
          <w:tcPr>
            <w:tcW w:w="2835" w:type="dxa"/>
            <w:vAlign w:val="center"/>
          </w:tcPr>
          <w:p>
            <w:pPr>
              <w:pStyle w:val="17"/>
              <w:rPr>
                <w:rFonts w:hint="default" w:eastAsia="方正书宋_GBK"/>
                <w:lang w:val="en-US" w:eastAsia="zh-CN"/>
              </w:rPr>
            </w:pPr>
            <w:r>
              <w:rPr>
                <w:rFonts w:hint="eastAsia"/>
                <w:lang w:val="en-US" w:eastAsia="zh-CN"/>
              </w:rPr>
              <w:t>4209.33</w:t>
            </w:r>
          </w:p>
        </w:tc>
        <w:tc>
          <w:tcPr>
            <w:tcW w:w="2835" w:type="dxa"/>
            <w:vAlign w:val="center"/>
          </w:tcPr>
          <w:p>
            <w:pPr>
              <w:pStyle w:val="15"/>
              <w:rPr>
                <w:rFonts w:hint="default" w:eastAsia="方正书宋_GBK"/>
                <w:lang w:val="en-US" w:eastAsia="zh-CN"/>
              </w:rPr>
            </w:pPr>
            <w:r>
              <w:rPr>
                <w:rFonts w:hint="eastAsia"/>
                <w:lang w:val="en-US" w:eastAsia="zh-CN"/>
              </w:rPr>
              <w:t>457.93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lang w:val="en-US" w:eastAsia="zh-CN"/>
              </w:rPr>
            </w:pPr>
            <w:r>
              <w:rPr>
                <w:rFonts w:hint="eastAsia"/>
                <w:lang w:val="en-US" w:eastAsia="zh-CN"/>
              </w:rPr>
              <w:t>通用设备</w:t>
            </w:r>
          </w:p>
        </w:tc>
        <w:tc>
          <w:tcPr>
            <w:tcW w:w="2835" w:type="dxa"/>
            <w:vAlign w:val="center"/>
          </w:tcPr>
          <w:p>
            <w:pPr>
              <w:pStyle w:val="17"/>
              <w:rPr>
                <w:rFonts w:hint="default" w:eastAsia="方正书宋_GBK"/>
                <w:lang w:val="en-US" w:eastAsia="zh-CN"/>
              </w:rPr>
            </w:pPr>
            <w:r>
              <w:rPr>
                <w:rFonts w:hint="eastAsia"/>
                <w:lang w:val="en-US" w:eastAsia="zh-CN"/>
              </w:rPr>
              <w:t>146</w:t>
            </w:r>
          </w:p>
        </w:tc>
        <w:tc>
          <w:tcPr>
            <w:tcW w:w="2835" w:type="dxa"/>
            <w:vAlign w:val="center"/>
          </w:tcPr>
          <w:p>
            <w:pPr>
              <w:pStyle w:val="15"/>
              <w:rPr>
                <w:rFonts w:hint="default" w:eastAsia="方正书宋_GBK"/>
                <w:lang w:val="en-US" w:eastAsia="zh-CN"/>
              </w:rPr>
            </w:pPr>
            <w:r>
              <w:rPr>
                <w:rFonts w:hint="eastAsia"/>
                <w:lang w:val="en-US" w:eastAsia="zh-CN"/>
              </w:rPr>
              <w:t>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专用设备</w:t>
            </w:r>
          </w:p>
        </w:tc>
        <w:tc>
          <w:tcPr>
            <w:tcW w:w="2835" w:type="dxa"/>
            <w:vAlign w:val="center"/>
          </w:tcPr>
          <w:p>
            <w:pPr>
              <w:pStyle w:val="17"/>
              <w:rPr>
                <w:rFonts w:hint="default" w:eastAsia="方正书宋_GBK"/>
                <w:lang w:val="en-US" w:eastAsia="zh-CN"/>
              </w:rPr>
            </w:pPr>
            <w:r>
              <w:rPr>
                <w:rFonts w:hint="eastAsia"/>
                <w:lang w:val="en-US" w:eastAsia="zh-CN"/>
              </w:rPr>
              <w:t>11</w:t>
            </w:r>
          </w:p>
        </w:tc>
        <w:tc>
          <w:tcPr>
            <w:tcW w:w="2835" w:type="dxa"/>
            <w:vAlign w:val="center"/>
          </w:tcPr>
          <w:p>
            <w:pPr>
              <w:pStyle w:val="15"/>
              <w:rPr>
                <w:rFonts w:hint="default" w:eastAsia="方正书宋_GBK"/>
                <w:lang w:val="en-US" w:eastAsia="zh-CN"/>
              </w:rPr>
            </w:pPr>
            <w:r>
              <w:rPr>
                <w:rFonts w:hint="eastAsia"/>
                <w:lang w:val="en-US"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图书、档案</w:t>
            </w:r>
          </w:p>
        </w:tc>
        <w:tc>
          <w:tcPr>
            <w:tcW w:w="2835" w:type="dxa"/>
            <w:vAlign w:val="center"/>
          </w:tcPr>
          <w:p>
            <w:pPr>
              <w:pStyle w:val="17"/>
              <w:rPr>
                <w:rFonts w:hint="default" w:eastAsia="方正书宋_GBK"/>
                <w:lang w:val="en-US" w:eastAsia="zh-CN"/>
              </w:rPr>
            </w:pPr>
            <w:r>
              <w:rPr>
                <w:rFonts w:hint="eastAsia"/>
                <w:lang w:val="en-US" w:eastAsia="zh-CN"/>
              </w:rPr>
              <w:t>1100</w:t>
            </w:r>
          </w:p>
        </w:tc>
        <w:tc>
          <w:tcPr>
            <w:tcW w:w="2835" w:type="dxa"/>
            <w:vAlign w:val="center"/>
          </w:tcPr>
          <w:p>
            <w:pPr>
              <w:pStyle w:val="15"/>
              <w:rPr>
                <w:rFonts w:hint="default" w:eastAsia="方正书宋_GBK"/>
                <w:lang w:val="en-US" w:eastAsia="zh-CN"/>
              </w:rPr>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家具、用具、装具及动植物</w:t>
            </w:r>
          </w:p>
        </w:tc>
        <w:tc>
          <w:tcPr>
            <w:tcW w:w="2835" w:type="dxa"/>
            <w:vAlign w:val="center"/>
          </w:tcPr>
          <w:p>
            <w:pPr>
              <w:pStyle w:val="17"/>
              <w:rPr>
                <w:rFonts w:hint="default" w:eastAsia="方正书宋_GBK"/>
                <w:lang w:val="en-US" w:eastAsia="zh-CN"/>
              </w:rPr>
            </w:pPr>
            <w:r>
              <w:rPr>
                <w:rFonts w:hint="eastAsia"/>
                <w:lang w:val="en-US" w:eastAsia="zh-CN"/>
              </w:rPr>
              <w:t>392</w:t>
            </w:r>
          </w:p>
        </w:tc>
        <w:tc>
          <w:tcPr>
            <w:tcW w:w="2835" w:type="dxa"/>
            <w:vAlign w:val="center"/>
          </w:tcPr>
          <w:p>
            <w:pPr>
              <w:pStyle w:val="15"/>
              <w:rPr>
                <w:rFonts w:hint="default" w:eastAsia="方正书宋_GBK"/>
                <w:lang w:val="en-US" w:eastAsia="zh-CN"/>
              </w:rPr>
            </w:pPr>
            <w:r>
              <w:rPr>
                <w:rFonts w:hint="eastAsia"/>
                <w:lang w:val="en-US" w:eastAsia="zh-CN"/>
              </w:rP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lang w:val="en-US" w:eastAsia="zh-CN"/>
              </w:rPr>
            </w:pPr>
            <w:r>
              <w:rPr>
                <w:rFonts w:hint="eastAsia"/>
                <w:lang w:val="en-US" w:eastAsia="zh-CN"/>
              </w:rPr>
              <w:t>无形资产</w:t>
            </w:r>
          </w:p>
        </w:tc>
        <w:tc>
          <w:tcPr>
            <w:tcW w:w="2835" w:type="dxa"/>
            <w:vAlign w:val="center"/>
          </w:tcPr>
          <w:p>
            <w:pPr>
              <w:pStyle w:val="17"/>
              <w:rPr>
                <w:rFonts w:hint="eastAsia" w:eastAsia="方正书宋_GBK"/>
                <w:lang w:val="en-US" w:eastAsia="zh-CN"/>
              </w:rPr>
            </w:pPr>
            <w:r>
              <w:rPr>
                <w:rFonts w:hint="eastAsia"/>
                <w:lang w:val="en-US" w:eastAsia="zh-CN"/>
              </w:rPr>
              <w:t>1</w:t>
            </w:r>
          </w:p>
        </w:tc>
        <w:tc>
          <w:tcPr>
            <w:tcW w:w="2835" w:type="dxa"/>
            <w:vAlign w:val="center"/>
          </w:tcPr>
          <w:p>
            <w:pPr>
              <w:pStyle w:val="15"/>
              <w:rPr>
                <w:rFonts w:hint="default"/>
                <w:lang w:val="en-US" w:eastAsia="zh-CN"/>
              </w:rPr>
            </w:pPr>
            <w:r>
              <w:rPr>
                <w:rFonts w:hint="eastAsia"/>
                <w:lang w:val="en-US" w:eastAsia="zh-CN"/>
              </w:rPr>
              <w:t>1.00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zRkMGZkNzJkYjU0ZWExZDNkOGEyMzA1ZDg3MGIifQ=="/>
  </w:docVars>
  <w:rsids>
    <w:rsidRoot w:val="00000000"/>
    <w:rsid w:val="0184792C"/>
    <w:rsid w:val="026305F6"/>
    <w:rsid w:val="04377B9D"/>
    <w:rsid w:val="09440433"/>
    <w:rsid w:val="096C18D8"/>
    <w:rsid w:val="0DE76ED8"/>
    <w:rsid w:val="13661B1F"/>
    <w:rsid w:val="16092E0B"/>
    <w:rsid w:val="16914EF4"/>
    <w:rsid w:val="1A836581"/>
    <w:rsid w:val="1F0C67C0"/>
    <w:rsid w:val="200E4629"/>
    <w:rsid w:val="29290F15"/>
    <w:rsid w:val="2F005B27"/>
    <w:rsid w:val="3EBE4D5B"/>
    <w:rsid w:val="449E2D2B"/>
    <w:rsid w:val="46496EF9"/>
    <w:rsid w:val="48D2373F"/>
    <w:rsid w:val="4DD9024F"/>
    <w:rsid w:val="67474AE4"/>
    <w:rsid w:val="6CB942C4"/>
    <w:rsid w:val="6F052FDE"/>
    <w:rsid w:val="738735E4"/>
    <w:rsid w:val="7A9D06EF"/>
    <w:rsid w:val="7C4B1298"/>
    <w:rsid w:val="7E5C74B5"/>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footer" Target="foot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footer" Target="foot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2023-03-12T13:23:24Z</dcterms:created>
  <dcterms:modified xsi:type="dcterms:W3CDTF">2023-03-12T05:23:24Z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2023-03-12T13:23:23Z</dcterms:created>
  <dcterms:modified xsi:type="dcterms:W3CDTF">2023-03-12T05:23:22Z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2023-03-12T13:23:19Z</dcterms:created>
  <dcterms:modified xsi:type="dcterms:W3CDTF">2023-03-12T05:23:19Z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2023-03-12T13:23:11Z</dcterms:created>
  <dcterms:modified xsi:type="dcterms:W3CDTF">2023-03-12T05:23:11Z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2023-03-12T13:23:26Z</dcterms:created>
  <dcterms:modified xsi:type="dcterms:W3CDTF">2023-03-12T05:23:26Z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Props1.xml><?xml version="1.0" encoding="utf-8"?>
<ds:datastoreItem xmlns:ds="http://schemas.openxmlformats.org/officeDocument/2006/customXml" ds:itemID="{368f1ba8-bbc6-4121-9bb0-0c16bdb7812b}">
  <ds:schemaRefs/>
</ds:datastoreItem>
</file>

<file path=customXml/itemProps10.xml><?xml version="1.0" encoding="utf-8"?>
<ds:datastoreItem xmlns:ds="http://schemas.openxmlformats.org/officeDocument/2006/customXml" ds:itemID="{ba07f3c0-33b2-4624-9881-fc94544505d4}">
  <ds:schemaRefs/>
</ds:datastoreItem>
</file>

<file path=customXml/itemProps11.xml><?xml version="1.0" encoding="utf-8"?>
<ds:datastoreItem xmlns:ds="http://schemas.openxmlformats.org/officeDocument/2006/customXml" ds:itemID="{96373cfa-edb9-4f06-9020-8fc61143ed64}">
  <ds:schemaRefs/>
</ds:datastoreItem>
</file>

<file path=customXml/itemProps12.xml><?xml version="1.0" encoding="utf-8"?>
<ds:datastoreItem xmlns:ds="http://schemas.openxmlformats.org/officeDocument/2006/customXml" ds:itemID="{fb4c617f-6825-437f-abc6-46c0435f2984}">
  <ds:schemaRefs/>
</ds:datastoreItem>
</file>

<file path=customXml/itemProps13.xml><?xml version="1.0" encoding="utf-8"?>
<ds:datastoreItem xmlns:ds="http://schemas.openxmlformats.org/officeDocument/2006/customXml" ds:itemID="{d7c20c4b-2578-4e6c-9622-ab78289adb6e}">
  <ds:schemaRefs/>
</ds:datastoreItem>
</file>

<file path=customXml/itemProps14.xml><?xml version="1.0" encoding="utf-8"?>
<ds:datastoreItem xmlns:ds="http://schemas.openxmlformats.org/officeDocument/2006/customXml" ds:itemID="{3266ef33-4bc0-4032-a83f-00e8a68385f1}">
  <ds:schemaRefs/>
</ds:datastoreItem>
</file>

<file path=customXml/itemProps15.xml><?xml version="1.0" encoding="utf-8"?>
<ds:datastoreItem xmlns:ds="http://schemas.openxmlformats.org/officeDocument/2006/customXml" ds:itemID="{77bcee87-3a57-4bad-abed-8fee376eaf28}">
  <ds:schemaRefs/>
</ds:datastoreItem>
</file>

<file path=customXml/itemProps16.xml><?xml version="1.0" encoding="utf-8"?>
<ds:datastoreItem xmlns:ds="http://schemas.openxmlformats.org/officeDocument/2006/customXml" ds:itemID="{575f8a49-246f-4a66-82fe-a1e294f13dcc}">
  <ds:schemaRefs/>
</ds:datastoreItem>
</file>

<file path=customXml/itemProps17.xml><?xml version="1.0" encoding="utf-8"?>
<ds:datastoreItem xmlns:ds="http://schemas.openxmlformats.org/officeDocument/2006/customXml" ds:itemID="{b6152b49-011e-41be-b7e9-e593f586f292}">
  <ds:schemaRefs/>
</ds:datastoreItem>
</file>

<file path=customXml/itemProps18.xml><?xml version="1.0" encoding="utf-8"?>
<ds:datastoreItem xmlns:ds="http://schemas.openxmlformats.org/officeDocument/2006/customXml" ds:itemID="{884167ca-28c9-4a98-a83c-a7d5c05ee420}">
  <ds:schemaRefs/>
</ds:datastoreItem>
</file>

<file path=customXml/itemProps19.xml><?xml version="1.0" encoding="utf-8"?>
<ds:datastoreItem xmlns:ds="http://schemas.openxmlformats.org/officeDocument/2006/customXml" ds:itemID="{2866db7a-885e-4202-a41d-8ad0a545707e}">
  <ds:schemaRefs/>
</ds:datastoreItem>
</file>

<file path=customXml/itemProps2.xml><?xml version="1.0" encoding="utf-8"?>
<ds:datastoreItem xmlns:ds="http://schemas.openxmlformats.org/officeDocument/2006/customXml" ds:itemID="{8fc9e5e4-ff4e-4130-89ce-582fb98bcf1b}">
  <ds:schemaRefs/>
</ds:datastoreItem>
</file>

<file path=customXml/itemProps20.xml><?xml version="1.0" encoding="utf-8"?>
<ds:datastoreItem xmlns:ds="http://schemas.openxmlformats.org/officeDocument/2006/customXml" ds:itemID="{068fe848-2bc6-4fee-b2c6-6bf4fa096d11}">
  <ds:schemaRefs/>
</ds:datastoreItem>
</file>

<file path=customXml/itemProps21.xml><?xml version="1.0" encoding="utf-8"?>
<ds:datastoreItem xmlns:ds="http://schemas.openxmlformats.org/officeDocument/2006/customXml" ds:itemID="{fef4886d-3049-4edc-97e5-c011ebc3551b}">
  <ds:schemaRefs/>
</ds:datastoreItem>
</file>

<file path=customXml/itemProps22.xml><?xml version="1.0" encoding="utf-8"?>
<ds:datastoreItem xmlns:ds="http://schemas.openxmlformats.org/officeDocument/2006/customXml" ds:itemID="{22b0501b-64d0-4b29-ad48-5c9dc5c351ff}">
  <ds:schemaRefs/>
</ds:datastoreItem>
</file>

<file path=customXml/itemProps23.xml><?xml version="1.0" encoding="utf-8"?>
<ds:datastoreItem xmlns:ds="http://schemas.openxmlformats.org/officeDocument/2006/customXml" ds:itemID="{bf10e8a8-97f1-4e10-acee-539196bb55b8}">
  <ds:schemaRefs/>
</ds:datastoreItem>
</file>

<file path=customXml/itemProps24.xml><?xml version="1.0" encoding="utf-8"?>
<ds:datastoreItem xmlns:ds="http://schemas.openxmlformats.org/officeDocument/2006/customXml" ds:itemID="{0b68ae77-47bd-47d4-a4fc-8c7f0d046c6d}">
  <ds:schemaRefs/>
</ds:datastoreItem>
</file>

<file path=customXml/itemProps25.xml><?xml version="1.0" encoding="utf-8"?>
<ds:datastoreItem xmlns:ds="http://schemas.openxmlformats.org/officeDocument/2006/customXml" ds:itemID="{b515615d-3387-4c89-85c3-5fa5769698f9}">
  <ds:schemaRefs/>
</ds:datastoreItem>
</file>

<file path=customXml/itemProps26.xml><?xml version="1.0" encoding="utf-8"?>
<ds:datastoreItem xmlns:ds="http://schemas.openxmlformats.org/officeDocument/2006/customXml" ds:itemID="{3e1454b1-8c31-47da-90d2-4ea2f25616e2}">
  <ds:schemaRefs/>
</ds:datastoreItem>
</file>

<file path=customXml/itemProps27.xml><?xml version="1.0" encoding="utf-8"?>
<ds:datastoreItem xmlns:ds="http://schemas.openxmlformats.org/officeDocument/2006/customXml" ds:itemID="{216a2b2e-6284-4a0f-910f-afde4a4cca28}">
  <ds:schemaRefs/>
</ds:datastoreItem>
</file>

<file path=customXml/itemProps28.xml><?xml version="1.0" encoding="utf-8"?>
<ds:datastoreItem xmlns:ds="http://schemas.openxmlformats.org/officeDocument/2006/customXml" ds:itemID="{8e12a5f6-0c5a-463e-af39-77062efe2f6a}">
  <ds:schemaRefs/>
</ds:datastoreItem>
</file>

<file path=customXml/itemProps29.xml><?xml version="1.0" encoding="utf-8"?>
<ds:datastoreItem xmlns:ds="http://schemas.openxmlformats.org/officeDocument/2006/customXml" ds:itemID="{bf8300f5-00d1-48db-ad02-d05ef7a718d3}">
  <ds:schemaRefs/>
</ds:datastoreItem>
</file>

<file path=customXml/itemProps3.xml><?xml version="1.0" encoding="utf-8"?>
<ds:datastoreItem xmlns:ds="http://schemas.openxmlformats.org/officeDocument/2006/customXml" ds:itemID="{c242db40-b496-440d-ab67-0416b092a39e}">
  <ds:schemaRefs/>
</ds:datastoreItem>
</file>

<file path=customXml/itemProps30.xml><?xml version="1.0" encoding="utf-8"?>
<ds:datastoreItem xmlns:ds="http://schemas.openxmlformats.org/officeDocument/2006/customXml" ds:itemID="{bc1bdaef-0305-4cbc-ada9-59634e398ecf}">
  <ds:schemaRefs/>
</ds:datastoreItem>
</file>

<file path=customXml/itemProps31.xml><?xml version="1.0" encoding="utf-8"?>
<ds:datastoreItem xmlns:ds="http://schemas.openxmlformats.org/officeDocument/2006/customXml" ds:itemID="{d50f7f8a-b710-408d-8d27-8929d93a4a18}">
  <ds:schemaRefs/>
</ds:datastoreItem>
</file>

<file path=customXml/itemProps32.xml><?xml version="1.0" encoding="utf-8"?>
<ds:datastoreItem xmlns:ds="http://schemas.openxmlformats.org/officeDocument/2006/customXml" ds:itemID="{a5419412-e570-4183-a4ba-0e183a6774bb}">
  <ds:schemaRefs/>
</ds:datastoreItem>
</file>

<file path=customXml/itemProps33.xml><?xml version="1.0" encoding="utf-8"?>
<ds:datastoreItem xmlns:ds="http://schemas.openxmlformats.org/officeDocument/2006/customXml" ds:itemID="{c249641c-817e-4745-975b-b75f6271e143}">
  <ds:schemaRefs/>
</ds:datastoreItem>
</file>

<file path=customXml/itemProps34.xml><?xml version="1.0" encoding="utf-8"?>
<ds:datastoreItem xmlns:ds="http://schemas.openxmlformats.org/officeDocument/2006/customXml" ds:itemID="{239a010c-a1b1-4be4-998b-ad4624db19d2}">
  <ds:schemaRefs/>
</ds:datastoreItem>
</file>

<file path=customXml/itemProps35.xml><?xml version="1.0" encoding="utf-8"?>
<ds:datastoreItem xmlns:ds="http://schemas.openxmlformats.org/officeDocument/2006/customXml" ds:itemID="{b00b8d16-4291-435e-b9f2-573397bd6a5b}">
  <ds:schemaRefs/>
</ds:datastoreItem>
</file>

<file path=customXml/itemProps36.xml><?xml version="1.0" encoding="utf-8"?>
<ds:datastoreItem xmlns:ds="http://schemas.openxmlformats.org/officeDocument/2006/customXml" ds:itemID="{2f9a1377-aff2-4ce0-a8dd-2443853eaa38}">
  <ds:schemaRefs/>
</ds:datastoreItem>
</file>

<file path=customXml/itemProps37.xml><?xml version="1.0" encoding="utf-8"?>
<ds:datastoreItem xmlns:ds="http://schemas.openxmlformats.org/officeDocument/2006/customXml" ds:itemID="{b05312f1-b1c7-425d-be34-562339e4c961}">
  <ds:schemaRefs/>
</ds:datastoreItem>
</file>

<file path=customXml/itemProps38.xml><?xml version="1.0" encoding="utf-8"?>
<ds:datastoreItem xmlns:ds="http://schemas.openxmlformats.org/officeDocument/2006/customXml" ds:itemID="{efc0db81-03af-413d-823b-e6fceb7394df}">
  <ds:schemaRefs/>
</ds:datastoreItem>
</file>

<file path=customXml/itemProps4.xml><?xml version="1.0" encoding="utf-8"?>
<ds:datastoreItem xmlns:ds="http://schemas.openxmlformats.org/officeDocument/2006/customXml" ds:itemID="{7426c9c9-dc45-4dc6-98c9-423bd80911fc}">
  <ds:schemaRefs/>
</ds:datastoreItem>
</file>

<file path=customXml/itemProps5.xml><?xml version="1.0" encoding="utf-8"?>
<ds:datastoreItem xmlns:ds="http://schemas.openxmlformats.org/officeDocument/2006/customXml" ds:itemID="{5eaab376-46ec-42f5-91c6-cf99f024527e}">
  <ds:schemaRefs/>
</ds:datastoreItem>
</file>

<file path=customXml/itemProps6.xml><?xml version="1.0" encoding="utf-8"?>
<ds:datastoreItem xmlns:ds="http://schemas.openxmlformats.org/officeDocument/2006/customXml" ds:itemID="{68fab217-8479-4f0c-8a84-0639cb9406cd}">
  <ds:schemaRefs/>
</ds:datastoreItem>
</file>

<file path=customXml/itemProps7.xml><?xml version="1.0" encoding="utf-8"?>
<ds:datastoreItem xmlns:ds="http://schemas.openxmlformats.org/officeDocument/2006/customXml" ds:itemID="{bf528223-d1d6-444a-b99e-504b4f255d74}">
  <ds:schemaRefs/>
</ds:datastoreItem>
</file>

<file path=customXml/itemProps8.xml><?xml version="1.0" encoding="utf-8"?>
<ds:datastoreItem xmlns:ds="http://schemas.openxmlformats.org/officeDocument/2006/customXml" ds:itemID="{2312c310-cbf5-43f6-8cd6-6a471af3cafb}">
  <ds:schemaRefs/>
</ds:datastoreItem>
</file>

<file path=customXml/itemProps9.xml><?xml version="1.0" encoding="utf-8"?>
<ds:datastoreItem xmlns:ds="http://schemas.openxmlformats.org/officeDocument/2006/customXml" ds:itemID="{f8abaeae-088f-4eb6-948e-173abb0d1fac}">
  <ds:schemaRefs/>
</ds:datastoreItem>
</file>

<file path=docProps/app.xml><?xml version="1.0" encoding="utf-8"?>
<Properties xmlns="http://schemas.openxmlformats.org/officeDocument/2006/extended-properties" xmlns:vt="http://schemas.openxmlformats.org/officeDocument/2006/docPropsVTypes">
  <Pages>110</Pages>
  <Words>19287</Words>
  <Characters>24139</Characters>
  <TotalTime>21</TotalTime>
  <ScaleCrop>false</ScaleCrop>
  <LinksUpToDate>false</LinksUpToDate>
  <CharactersWithSpaces>24738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2023-03-12T13:23:00Z</dcterms:created>
  <dc:creator>Administrator</dc:creator>
  <cp:lastModifiedBy>l</cp:lastModifiedBy>
  <dcterms:modified xsi:type="dcterms:W3CDTF">2024-03-18T10:49:46Z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969674A1313146AF87C2D68A5B1C67CB</vt:lpwstr>
  </property>
</Properties>
</file>