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方正小标宋_GBK"/>
          <w:color w:val="000000"/>
          <w:sz w:val="44"/>
        </w:rPr>
      </w:pPr>
      <w:r>
        <w:rPr>
          <w:rFonts w:ascii="方正小标宋_GBK" w:eastAsia="方正小标宋_GBK" w:cs="方正小标宋_GBK"/>
          <w:color w:val="000000"/>
          <w:sz w:val="44"/>
        </w:rPr>
        <w:t>唐山市丰润区供销社                 2023年部门预算信息公开情况说明</w:t>
      </w:r>
    </w:p>
    <w:p>
      <w:pPr>
        <w:jc w:val="center"/>
      </w:pPr>
    </w:p>
    <w:p>
      <w:pPr>
        <w:ind w:firstLine="56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 w:cs="Times New Roman"/>
          <w:color w:val="000000"/>
          <w:sz w:val="32"/>
          <w:szCs w:val="32"/>
        </w:rPr>
        <w:t>按照《中华人民共和国预算法》</w:t>
      </w:r>
      <w:bookmarkStart w:id="4" w:name="_GoBack"/>
      <w:bookmarkEnd w:id="4"/>
      <w:r>
        <w:rPr>
          <w:rFonts w:hint="eastAsia" w:ascii="仿宋" w:eastAsia="仿宋" w:cs="Times New Roman"/>
          <w:color w:val="000000"/>
          <w:sz w:val="32"/>
          <w:szCs w:val="32"/>
        </w:rPr>
        <w:t>、《地方预决算公开操作规程》和《关于进一步推进预算公开工作的实施意见》规定，现将唐山市丰润区供销社2023年部门预算公开如下：</w:t>
      </w:r>
    </w:p>
    <w:p>
      <w:pPr>
        <w:spacing w:before="10" w:after="10"/>
        <w:ind w:firstLine="640"/>
        <w:outlineLvl w:val="2"/>
      </w:pPr>
      <w:bookmarkStart w:id="0" w:name="_Toc_3_3_0000000010"/>
      <w:r>
        <w:rPr>
          <w:rFonts w:ascii="黑体" w:eastAsia="黑体" w:cs="黑体"/>
          <w:color w:val="000000"/>
          <w:sz w:val="32"/>
        </w:rPr>
        <w:t>一、部门职责及机构设置情况</w:t>
      </w:r>
      <w:bookmarkEnd w:id="0"/>
    </w:p>
    <w:p>
      <w:pPr>
        <w:ind w:firstLine="640"/>
        <w:rPr>
          <w:rFonts w:hint="eastAsia" w:ascii="宋体"/>
        </w:rPr>
      </w:pPr>
      <w:r>
        <w:rPr>
          <w:rFonts w:hint="eastAsia" w:ascii="宋体" w:cs="方正楷体_GBK"/>
          <w:b/>
          <w:color w:val="000000"/>
          <w:sz w:val="32"/>
        </w:rPr>
        <w:t>部门职责：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（一）负责宣传贯彻党委和政府“三农”工作方针政策，指导全区供销合作事业发展。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（二）负责研究制定全区供销合作社的发展战略和发展规划，指导服务系统改革发展。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三）负责按照政府授权对食盐、重要农业生产资料、农副产品的经营进行组织、协调和管理，承担政府委托的公益性服务和其他任务；负责管理政府委托的重要物资、商品的储备工作；负责受本级政府委托负责全区烟花爆竹批发业务；负责指导所属盐业专营企业做好食盐批发经营工作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（四）负责推进供销合作社法治建设，研究提出促进农村经济社会和行业发展的政策法规建议，维护各级供销合作社的合法权益。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五）负责发展农业生产资料现代经营服务网络，构建连锁经营体系；负责发展农副产品购销网络，创办各类农副产品批发市场，推动农超对接；负责发展日用消费品现代经营网络，构建现代连锁经营体系；负责再生资源回收利用体系建设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六）负责协调同有关部门的关系，指导全区供销合作社业务活动，支持系统发展电子商务和开展农村合作金融服务，指导推进全区农村产权交易体系建设和管理，指导系统领办创办农民专业合作社，更好履行为农服务职责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（七）负责管理运营全区社有资产，对出资企业行使出资人职能；负责推进直属企业改革，建立健全现代企业制度；负责系统财产安全统筹工作。</w:t>
      </w:r>
    </w:p>
    <w:p>
      <w:pPr>
        <w:ind w:firstLine="64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（八）负责基层供销合作社的组织建设；负责监督指导基层供销合作社的经营管理和改革发展。</w:t>
      </w:r>
    </w:p>
    <w:p>
      <w:pPr>
        <w:pStyle w:val="7"/>
        <w:spacing w:line="240" w:lineRule="auto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（九）负责完成上级交办的其他工作任务。</w:t>
      </w:r>
    </w:p>
    <w:p>
      <w:pPr>
        <w:pStyle w:val="7"/>
        <w:spacing w:line="240" w:lineRule="auto"/>
        <w:rPr>
          <w:rFonts w:ascii="仿宋" w:eastAsia="仿宋"/>
          <w:sz w:val="32"/>
          <w:szCs w:val="32"/>
        </w:rPr>
      </w:pPr>
    </w:p>
    <w:p>
      <w:pPr>
        <w:ind w:firstLine="640"/>
      </w:pPr>
      <w:r>
        <w:rPr>
          <w:rFonts w:ascii="方正楷体_GBK" w:eastAsia="方正楷体_GBK" w:cs="方正楷体_GBK"/>
          <w:b/>
          <w:color w:val="000000"/>
          <w:sz w:val="32"/>
        </w:rPr>
        <w:t>机构设置：</w:t>
      </w: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32"/>
        </w:rPr>
        <w:t>部门机构设置情况</w:t>
      </w:r>
    </w:p>
    <w:tbl>
      <w:tblPr>
        <w:tblStyle w:val="5"/>
        <w:tblW w:w="134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7"/>
        <w:gridCol w:w="2225"/>
        <w:gridCol w:w="1948"/>
        <w:gridCol w:w="4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28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</w:pPr>
            <w:r>
              <w:t>单位名称</w:t>
            </w:r>
          </w:p>
        </w:tc>
        <w:tc>
          <w:tcPr>
            <w:tcW w:w="22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</w:pPr>
            <w:r>
              <w:t>单位性质</w:t>
            </w:r>
          </w:p>
        </w:tc>
        <w:tc>
          <w:tcPr>
            <w:tcW w:w="194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</w:pPr>
            <w:r>
              <w:t>单位规格</w:t>
            </w:r>
          </w:p>
        </w:tc>
        <w:tc>
          <w:tcPr>
            <w:tcW w:w="400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</w:pPr>
            <w: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</w:pPr>
            <w:r>
              <w:t>唐山市丰润区供销社本级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</w:pPr>
            <w:r>
              <w:t>事业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</w:pPr>
            <w:r>
              <w:t>正科级</w:t>
            </w:r>
          </w:p>
        </w:tc>
        <w:tc>
          <w:tcPr>
            <w:tcW w:w="400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</w:pPr>
            <w:r>
              <w:t>财政拨款</w:t>
            </w:r>
          </w:p>
        </w:tc>
      </w:tr>
    </w:tbl>
    <w:p>
      <w:pPr>
        <w:spacing w:before="10" w:after="10"/>
        <w:ind w:firstLine="640"/>
        <w:outlineLvl w:val="2"/>
        <w:rPr>
          <w:rFonts w:ascii="黑体" w:eastAsia="黑体" w:cs="黑体"/>
          <w:color w:val="000000"/>
          <w:sz w:val="32"/>
        </w:rPr>
      </w:pPr>
      <w:bookmarkStart w:id="1" w:name="_Toc_3_3_0000000011"/>
    </w:p>
    <w:p>
      <w:pPr>
        <w:spacing w:before="10" w:after="10"/>
        <w:ind w:firstLine="640"/>
        <w:outlineLvl w:val="2"/>
      </w:pPr>
      <w:r>
        <w:rPr>
          <w:rFonts w:ascii="黑体" w:eastAsia="黑体" w:cs="黑体"/>
          <w:color w:val="000000"/>
          <w:sz w:val="32"/>
        </w:rPr>
        <w:t>二、部门预算安排的总体情况</w:t>
      </w:r>
      <w:bookmarkEnd w:id="1"/>
    </w:p>
    <w:p>
      <w:pPr>
        <w:ind w:firstLine="56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 w:cs="Times New Roman"/>
          <w:color w:val="000000"/>
          <w:sz w:val="32"/>
          <w:szCs w:val="32"/>
        </w:rPr>
        <w:t>按照预算管理有关规定，目前我省部门预算的编制实行综合预算管理，即全部收入和支出都反映在预算中。唐山市丰润区供销社机关单位的收支包含在部门预算中。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  <w:lang w:eastAsia="zh-CN"/>
        </w:rPr>
      </w:pPr>
      <w:r>
        <w:rPr>
          <w:rFonts w:hint="eastAsia" w:ascii="仿宋" w:eastAsia="仿宋" w:cs="Times New Roman"/>
          <w:sz w:val="32"/>
          <w:szCs w:val="32"/>
        </w:rPr>
        <w:t>（一）收入说明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</w:rPr>
      </w:pPr>
      <w:r>
        <w:rPr>
          <w:rFonts w:hint="eastAsia" w:ascii="仿宋" w:eastAsia="仿宋" w:cs="Times New Roman"/>
          <w:sz w:val="32"/>
          <w:szCs w:val="32"/>
        </w:rPr>
        <w:t>202</w:t>
      </w:r>
      <w:r>
        <w:rPr>
          <w:rFonts w:hint="eastAsia" w:ascii="仿宋" w:eastAsia="仿宋" w:cs="Times New Roman"/>
          <w:sz w:val="32"/>
          <w:szCs w:val="32"/>
          <w:lang w:eastAsia="zh-CN"/>
        </w:rPr>
        <w:t>3</w:t>
      </w:r>
      <w:r>
        <w:rPr>
          <w:rFonts w:hint="eastAsia" w:ascii="仿宋" w:eastAsia="仿宋" w:cs="Times New Roman"/>
          <w:sz w:val="32"/>
          <w:szCs w:val="32"/>
        </w:rPr>
        <w:t>年单位预算收入294.55万元，其中一般公共预算收入294.55万元，政府性基金收入0万元，国有资本经营预算收入0万元。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  <w:lang w:eastAsia="zh-CN"/>
        </w:rPr>
      </w:pPr>
      <w:r>
        <w:rPr>
          <w:rFonts w:hint="eastAsia" w:ascii="仿宋" w:eastAsia="仿宋" w:cs="Times New Roman"/>
          <w:sz w:val="32"/>
          <w:szCs w:val="32"/>
        </w:rPr>
        <w:t>（二）支出说明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</w:rPr>
      </w:pPr>
      <w:r>
        <w:rPr>
          <w:rFonts w:hint="eastAsia" w:ascii="仿宋" w:eastAsia="仿宋" w:cs="Times New Roman"/>
          <w:sz w:val="32"/>
          <w:szCs w:val="32"/>
        </w:rPr>
        <w:t>202</w:t>
      </w:r>
      <w:r>
        <w:rPr>
          <w:rFonts w:hint="eastAsia" w:ascii="仿宋" w:eastAsia="仿宋" w:cs="Times New Roman"/>
          <w:sz w:val="32"/>
          <w:szCs w:val="32"/>
          <w:lang w:eastAsia="zh-CN"/>
        </w:rPr>
        <w:t>3</w:t>
      </w:r>
      <w:r>
        <w:rPr>
          <w:rFonts w:hint="eastAsia" w:ascii="仿宋" w:eastAsia="仿宋" w:cs="Times New Roman"/>
          <w:sz w:val="32"/>
          <w:szCs w:val="32"/>
        </w:rPr>
        <w:t>年单位预算支出294.55万元，其中基本支出289.59万元，包含人员经费</w:t>
      </w:r>
      <w:r>
        <w:rPr>
          <w:rFonts w:hint="eastAsia" w:ascii="仿宋" w:eastAsia="仿宋" w:cs="Times New Roman"/>
          <w:sz w:val="32"/>
          <w:szCs w:val="32"/>
          <w:lang w:eastAsia="zh-CN"/>
        </w:rPr>
        <w:t>273.25</w:t>
      </w:r>
      <w:r>
        <w:rPr>
          <w:rFonts w:hint="eastAsia" w:ascii="仿宋" w:eastAsia="仿宋" w:cs="Times New Roman"/>
          <w:sz w:val="32"/>
          <w:szCs w:val="32"/>
        </w:rPr>
        <w:t>元、正常公用经费16.34万元，项目支出</w:t>
      </w:r>
      <w:r>
        <w:rPr>
          <w:rFonts w:hint="eastAsia" w:ascii="仿宋" w:eastAsia="仿宋" w:cs="Times New Roman"/>
          <w:sz w:val="32"/>
          <w:szCs w:val="32"/>
          <w:lang w:eastAsia="zh-CN"/>
        </w:rPr>
        <w:t>4.96</w:t>
      </w:r>
      <w:r>
        <w:rPr>
          <w:rFonts w:hint="eastAsia" w:ascii="仿宋" w:eastAsia="仿宋" w:cs="Times New Roman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  <w:lang w:eastAsia="zh-CN"/>
        </w:rPr>
      </w:pPr>
      <w:r>
        <w:rPr>
          <w:rFonts w:hint="eastAsia" w:ascii="仿宋" w:eastAsia="仿宋" w:cs="Times New Roman"/>
          <w:sz w:val="32"/>
          <w:szCs w:val="32"/>
        </w:rPr>
        <w:t>（三）比上年增减情况</w:t>
      </w:r>
    </w:p>
    <w:p>
      <w:pPr>
        <w:ind w:firstLine="640" w:firstLineChars="200"/>
        <w:rPr>
          <w:rFonts w:hint="eastAsia" w:ascii="仿宋" w:eastAsia="仿宋" w:cs="Times New Roman"/>
          <w:sz w:val="32"/>
          <w:szCs w:val="32"/>
          <w:lang w:eastAsia="zh-CN"/>
        </w:rPr>
      </w:pPr>
      <w:r>
        <w:rPr>
          <w:rFonts w:hint="eastAsia" w:ascii="仿宋" w:eastAsia="仿宋" w:cs="Times New Roman"/>
          <w:sz w:val="32"/>
          <w:szCs w:val="32"/>
        </w:rPr>
        <w:t xml:space="preserve"> 202</w:t>
      </w:r>
      <w:r>
        <w:rPr>
          <w:rFonts w:hint="eastAsia" w:ascii="仿宋" w:eastAsia="仿宋" w:cs="Times New Roman"/>
          <w:sz w:val="32"/>
          <w:szCs w:val="32"/>
          <w:lang w:eastAsia="zh-CN"/>
        </w:rPr>
        <w:t>3</w:t>
      </w:r>
      <w:r>
        <w:rPr>
          <w:rFonts w:hint="eastAsia" w:ascii="仿宋" w:eastAsia="仿宋" w:cs="Times New Roman"/>
          <w:sz w:val="32"/>
          <w:szCs w:val="32"/>
        </w:rPr>
        <w:t>年单位预算较2022年增加82.46万元，其中人员经费增加87</w:t>
      </w:r>
      <w:r>
        <w:rPr>
          <w:rFonts w:hint="eastAsia" w:ascii="仿宋" w:eastAsia="仿宋" w:cs="Times New Roman"/>
          <w:sz w:val="32"/>
          <w:szCs w:val="32"/>
          <w:lang w:eastAsia="zh-CN"/>
        </w:rPr>
        <w:t>.81</w:t>
      </w:r>
      <w:r>
        <w:rPr>
          <w:rFonts w:hint="eastAsia" w:ascii="仿宋" w:eastAsia="仿宋" w:cs="Times New Roman"/>
          <w:sz w:val="32"/>
          <w:szCs w:val="32"/>
        </w:rPr>
        <w:t>万元（新增机关退休人员津补贴项目纳入财政发放范围）、正常公用经费比</w:t>
      </w:r>
      <w:r>
        <w:rPr>
          <w:rFonts w:hint="eastAsia" w:ascii="仿宋" w:eastAsia="仿宋" w:cs="Times New Roman"/>
          <w:sz w:val="32"/>
          <w:szCs w:val="32"/>
          <w:lang w:eastAsia="zh-CN"/>
        </w:rPr>
        <w:t>去年减少0.31万元（人员减少）；</w:t>
      </w:r>
      <w:r>
        <w:rPr>
          <w:rFonts w:hint="eastAsia" w:ascii="仿宋" w:eastAsia="仿宋" w:cs="Times New Roman"/>
          <w:sz w:val="32"/>
          <w:szCs w:val="32"/>
        </w:rPr>
        <w:t>项目支出减少5</w:t>
      </w:r>
      <w:r>
        <w:rPr>
          <w:rFonts w:hint="eastAsia" w:ascii="仿宋" w:eastAsia="仿宋" w:cs="Times New Roman"/>
          <w:sz w:val="32"/>
          <w:szCs w:val="32"/>
          <w:lang w:eastAsia="zh-CN"/>
        </w:rPr>
        <w:t>.04</w:t>
      </w:r>
      <w:r>
        <w:rPr>
          <w:rFonts w:hint="eastAsia" w:ascii="仿宋" w:eastAsia="仿宋" w:cs="Times New Roman"/>
          <w:sz w:val="32"/>
          <w:szCs w:val="32"/>
        </w:rPr>
        <w:t>万元（农民培训费开支减少）。</w:t>
      </w:r>
      <w:bookmarkStart w:id="2" w:name="_Toc_3_3_0000000012"/>
    </w:p>
    <w:p>
      <w:pPr>
        <w:ind w:firstLine="640" w:firstLineChars="200"/>
        <w:rPr>
          <w:rFonts w:ascii="黑体" w:eastAsia="黑体" w:cs="黑体"/>
          <w:color w:val="000000"/>
          <w:sz w:val="32"/>
          <w:lang w:eastAsia="zh-CN"/>
        </w:rPr>
      </w:pPr>
      <w:r>
        <w:rPr>
          <w:rFonts w:ascii="黑体" w:eastAsia="黑体" w:cs="黑体"/>
          <w:color w:val="000000"/>
          <w:sz w:val="32"/>
        </w:rPr>
        <w:t>三、机关运行经费安排情况</w:t>
      </w:r>
      <w:bookmarkEnd w:id="2"/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eastAsia="zh-CN"/>
        </w:rPr>
        <w:t>3</w:t>
      </w:r>
      <w:r>
        <w:rPr>
          <w:rFonts w:hint="eastAsia" w:ascii="仿宋" w:eastAsia="仿宋"/>
          <w:sz w:val="32"/>
          <w:szCs w:val="32"/>
        </w:rPr>
        <w:t>年机关运行经费共计安排16.34万元，主要包括用于保证机关正常运转的办公费、邮电费、差旅费、福利费、水电费、办公取暖费、日常维修费、物业管理费、公务车运行维护费等支出。</w:t>
      </w:r>
      <w:bookmarkStart w:id="3" w:name="_Toc_3_3_0000000013"/>
    </w:p>
    <w:p>
      <w:pPr>
        <w:ind w:firstLine="640" w:firstLineChars="200"/>
        <w:rPr>
          <w:rFonts w:ascii="黑体" w:eastAsia="黑体" w:cs="黑体"/>
          <w:color w:val="000000"/>
          <w:sz w:val="32"/>
          <w:lang w:eastAsia="zh-CN"/>
        </w:rPr>
      </w:pPr>
      <w:r>
        <w:rPr>
          <w:rFonts w:asci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eastAsia="zh-CN"/>
        </w:rPr>
        <w:t>3</w:t>
      </w:r>
      <w:r>
        <w:rPr>
          <w:rFonts w:hint="eastAsia" w:ascii="仿宋" w:eastAsia="仿宋"/>
          <w:sz w:val="32"/>
          <w:szCs w:val="32"/>
        </w:rPr>
        <w:t>年我部门“三公”经费预算安排6万元，</w:t>
      </w:r>
      <w:r>
        <w:rPr>
          <w:rFonts w:hint="eastAsia" w:ascii="仿宋" w:eastAsia="仿宋"/>
          <w:sz w:val="32"/>
          <w:szCs w:val="32"/>
          <w:lang w:eastAsia="zh-CN"/>
        </w:rPr>
        <w:t>与</w:t>
      </w: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eastAsia="zh-CN"/>
        </w:rPr>
        <w:t>2</w:t>
      </w:r>
      <w:r>
        <w:rPr>
          <w:rFonts w:hint="eastAsia" w:ascii="仿宋" w:eastAsia="仿宋"/>
          <w:sz w:val="32"/>
          <w:szCs w:val="32"/>
        </w:rPr>
        <w:t>年预算</w:t>
      </w:r>
      <w:r>
        <w:rPr>
          <w:rFonts w:hint="eastAsia" w:ascii="仿宋" w:eastAsia="仿宋"/>
          <w:sz w:val="32"/>
          <w:szCs w:val="32"/>
          <w:lang w:eastAsia="zh-CN"/>
        </w:rPr>
        <w:t>相比无变化</w:t>
      </w:r>
      <w:r>
        <w:rPr>
          <w:rFonts w:hint="eastAsia" w:ascii="仿宋" w:eastAsia="仿宋"/>
          <w:sz w:val="32"/>
          <w:szCs w:val="32"/>
        </w:rPr>
        <w:t>。具体安排情况为：</w:t>
      </w:r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 xml:space="preserve">  (一)公务用车购置及运行费。共计安排6万元，与2022年预算相比无变化。</w:t>
      </w:r>
    </w:p>
    <w:p>
      <w:pPr>
        <w:ind w:firstLine="800" w:firstLineChars="25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①公务用车购置0万元，与上年持平；</w:t>
      </w:r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 xml:space="preserve"> ②公务运行维护经费安排6万元，与上年持平</w:t>
      </w:r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（二）公务接待费。共计安排0万元，与2022年预算相比无变化。</w:t>
      </w:r>
    </w:p>
    <w:p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（</w:t>
      </w:r>
      <w:r>
        <w:rPr>
          <w:rFonts w:hint="eastAsia" w:ascii="仿宋" w:eastAsia="仿宋"/>
          <w:sz w:val="32"/>
          <w:szCs w:val="32"/>
        </w:rPr>
        <w:t>三</w:t>
      </w:r>
      <w:r>
        <w:rPr>
          <w:rFonts w:hint="eastAsia" w:ascii="仿宋" w:eastAsia="仿宋"/>
          <w:sz w:val="32"/>
          <w:szCs w:val="32"/>
          <w:lang w:eastAsia="zh-CN"/>
        </w:rPr>
        <w:t>）</w:t>
      </w:r>
      <w:r>
        <w:rPr>
          <w:rFonts w:hint="eastAsia" w:ascii="仿宋" w:eastAsia="仿宋"/>
          <w:sz w:val="32"/>
          <w:szCs w:val="32"/>
        </w:rPr>
        <w:t>因公出国(境)费安排0万元，与2022年预算相比无变化。</w:t>
      </w:r>
    </w:p>
    <w:p>
      <w:pPr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（四）培训费。共计安排</w:t>
      </w:r>
      <w:r>
        <w:rPr>
          <w:rFonts w:ascii="仿宋" w:eastAsia="仿宋"/>
          <w:sz w:val="32"/>
          <w:szCs w:val="32"/>
        </w:rPr>
        <w:t>0</w:t>
      </w:r>
      <w:r>
        <w:rPr>
          <w:rFonts w:hint="eastAsia" w:ascii="仿宋" w:eastAsia="仿宋"/>
          <w:sz w:val="32"/>
          <w:szCs w:val="32"/>
        </w:rPr>
        <w:t>万元，与2022年预算相比无变化。</w:t>
      </w:r>
    </w:p>
    <w:p>
      <w:pPr>
        <w:rPr>
          <w:rFonts w:hint="eastAsia" w:asci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g1MzlkNGJjMGQyZWVmMWM4MzhjYjZhMzA5MWVjMmIifQ=="/>
  </w:docVars>
  <w:rsids>
    <w:rsidRoot w:val="00000000"/>
    <w:rsid w:val="431A2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部门职责文件"/>
    <w:basedOn w:val="1"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8">
    <w:name w:val="单元格样式1"/>
    <w:basedOn w:val="1"/>
    <w:uiPriority w:val="0"/>
    <w:pPr>
      <w:jc w:val="center"/>
    </w:pPr>
    <w:rPr>
      <w:rFonts w:ascii="方正书宋_GBK" w:eastAsia="方正书宋_GBK" w:cs="方正书宋_GBK"/>
      <w:b/>
      <w:sz w:val="21"/>
    </w:rPr>
  </w:style>
  <w:style w:type="paragraph" w:customStyle="1" w:styleId="9">
    <w:name w:val="单元格样式2"/>
    <w:basedOn w:val="1"/>
    <w:uiPriority w:val="0"/>
    <w:rPr>
      <w:rFonts w:ascii="方正书宋_GBK" w:eastAsia="方正书宋_GBK" w:cs="方正书宋_GBK"/>
      <w:sz w:val="21"/>
    </w:rPr>
  </w:style>
  <w:style w:type="paragraph" w:customStyle="1" w:styleId="10">
    <w:name w:val="单元格样式3"/>
    <w:basedOn w:val="1"/>
    <w:uiPriority w:val="0"/>
    <w:pPr>
      <w:jc w:val="center"/>
    </w:pPr>
    <w:rPr>
      <w:rFonts w:asci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83D458B-EEDE-407C-A874-CCCEDB5E81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1356</Words>
  <Characters>1445</Characters>
  <Lines>82</Lines>
  <Paragraphs>41</Paragraphs>
  <TotalTime>41</TotalTime>
  <ScaleCrop>false</ScaleCrop>
  <LinksUpToDate>false</LinksUpToDate>
  <CharactersWithSpaces>1466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AAA</cp:lastModifiedBy>
  <dcterms:modified xsi:type="dcterms:W3CDTF">2024-03-19T08:16:47Z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3E3A4B464F544A95AD2B2739FCB9C6D9</vt:lpwstr>
  </property>
</Properties>
</file>