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72"/>
          <w:lang w:val="en-US" w:eastAsia="zh-CN"/>
        </w:rPr>
        <w:t>唐山市</w:t>
      </w:r>
      <w:r>
        <w:rPr>
          <w:rFonts w:ascii="方正小标宋_GBK" w:hAnsi="方正小标宋_GBK" w:eastAsia="方正小标宋_GBK" w:cs="方正小标宋_GBK"/>
          <w:color w:val="000000"/>
          <w:sz w:val="72"/>
        </w:rPr>
        <w:t>丰润区供销部门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hint="eastAsia" w:ascii="方正楷体_GBK" w:hAnsi="方正楷体_GBK" w:eastAsia="方正楷体_GBK" w:cs="方正楷体_GBK"/>
          <w:b/>
          <w:color w:val="000000"/>
          <w:sz w:val="32"/>
          <w:lang w:val="en-US" w:eastAsia="zh-CN"/>
        </w:rPr>
        <w:t>唐山市</w:t>
      </w:r>
      <w:bookmarkStart w:id="7" w:name="_GoBack"/>
      <w:bookmarkEnd w:id="7"/>
      <w:r>
        <w:rPr>
          <w:rFonts w:ascii="方正楷体_GBK" w:hAnsi="方正楷体_GBK" w:eastAsia="方正楷体_GBK" w:cs="方正楷体_GBK"/>
          <w:b/>
          <w:color w:val="000000"/>
          <w:sz w:val="32"/>
        </w:rPr>
        <w:t>丰润区供销部门编制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1.产权交易中心办公用房房租绩效目标表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2.交易平台维护费绩效目标表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3.农民培训费绩效目标表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4.云视讯专线费用绩效目标表</w:t>
      </w:r>
      <w:r>
        <w:tab/>
      </w:r>
      <w:r>
        <w:fldChar w:fldCharType="begin"/>
      </w:r>
      <w:r>
        <w:instrText xml:space="preserve">PAGEREF _Toc_4_4_0000000007 \h</w:instrText>
      </w:r>
      <w:r>
        <w:fldChar w:fldCharType="separate"/>
      </w:r>
      <w:r>
        <w:t>9</w:t>
      </w:r>
      <w:r>
        <w:fldChar w:fldCharType="end"/>
      </w:r>
      <w:r>
        <w:fldChar w:fldCharType="end"/>
      </w:r>
    </w:p>
    <w:p>
      <w:r>
        <w:fldChar w:fldCharType="end"/>
      </w:r>
    </w:p>
    <w:p>
      <w:pPr>
        <w:rPr>
          <w:rFonts w:hint="eastAsia" w:eastAsia="宋体"/>
          <w:lang w:eastAsia="zh-CN"/>
        </w:rPr>
      </w:pPr>
      <w:r>
        <w:br w:type="page"/>
      </w:r>
    </w:p>
    <w:p>
      <w:pPr>
        <w:rPr>
          <w:rFonts w:hint="eastAsia" w:eastAsia="宋体"/>
          <w:lang w:eastAsia="zh-CN"/>
        </w:rPr>
        <w:sectPr>
          <w:footerReference r:id="rId3" w:type="default"/>
          <w:footerReference r:id="rId4" w:type="even"/>
          <w:pgSz w:w="11900" w:h="16840"/>
          <w:pgMar w:top="1984" w:right="1304" w:bottom="1134" w:left="130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认真学习党的二十大精神，深入贯彻落实省政府《关于持续深化供销合作社综合改革助力全面推进乡村振兴的方案》，围绕推进农业社会化服务和乡村振兴这一总体目标，持续深化供销社综合改革。2023年打造五级为农服务综合平台，完善县域商贸流通网络体系、基层组织体系、现代农业服务体系、农产品销售体系、农村产权交易体系以及乡村建设服务体系，建设县级物流配送中心1家，建设5个乡镇综合超市，改造提升薄弱基层供销社10家，搭建三个电子商务平台，打造具有丰润特色的农产品销售网络。</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（一）打造五级为农服务综合平台</w:t>
      </w:r>
    </w:p>
    <w:p>
      <w:pPr>
        <w:pStyle w:val="9"/>
      </w:pPr>
      <w:r>
        <w:t>绩效目标：大力提升基层社服务能力，完善区、乡、村三级为农服务体系，建设土地流转、农机管理、肥料管理、农业专家管理、农技推广服务、农机服务等功能的数字化平台。</w:t>
      </w:r>
    </w:p>
    <w:p>
      <w:pPr>
        <w:pStyle w:val="9"/>
      </w:pPr>
      <w:r>
        <w:t>绩效指标：完成薄弱基层社改造提升10家</w:t>
      </w:r>
    </w:p>
    <w:p>
      <w:pPr>
        <w:pStyle w:val="9"/>
      </w:pPr>
      <w:r>
        <w:t>（二）完善县域商贸流通网络体系</w:t>
      </w:r>
    </w:p>
    <w:p>
      <w:pPr>
        <w:pStyle w:val="9"/>
      </w:pPr>
      <w:r>
        <w:t>绩效目标：整合系统优势资源，通过开放办社方式发展县域商贸连锁企业，充分发挥县级物流配送中心的枢纽作用，实现流通服务网络数字化。</w:t>
      </w:r>
    </w:p>
    <w:p>
      <w:pPr>
        <w:pStyle w:val="9"/>
      </w:pPr>
      <w:r>
        <w:t>绩效指标：依托丰润区永和超市建设分店10个，物流配送中心1个</w:t>
      </w:r>
    </w:p>
    <w:p>
      <w:pPr>
        <w:pStyle w:val="9"/>
      </w:pPr>
      <w:r>
        <w:t>（三）完善基层组织体系</w:t>
      </w:r>
    </w:p>
    <w:p>
      <w:pPr>
        <w:pStyle w:val="9"/>
      </w:pPr>
      <w:r>
        <w:t>绩效目标：一是规范镇级供销社企业注册手续，落实“六有”标准；二是进一步强化基层社，特别是“空壳社”的合作经济属性，吸引能人、强企入社，增强基层社活力。三是增强基层社服务功能，提升基层社自营比例。</w:t>
      </w:r>
    </w:p>
    <w:p>
      <w:pPr>
        <w:pStyle w:val="9"/>
      </w:pPr>
      <w:r>
        <w:t>绩效指标：年底前自营比例达到100%。</w:t>
      </w:r>
    </w:p>
    <w:p>
      <w:pPr>
        <w:pStyle w:val="9"/>
      </w:pPr>
      <w:r>
        <w:t>（四）完善现代农业服务体系</w:t>
      </w:r>
    </w:p>
    <w:p>
      <w:pPr>
        <w:pStyle w:val="9"/>
      </w:pPr>
      <w:r>
        <w:t>绩效目标：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w:t>
      </w:r>
    </w:p>
    <w:p>
      <w:pPr>
        <w:pStyle w:val="9"/>
      </w:pPr>
      <w:r>
        <w:t>绩效指标：服务体系覆盖率即服务体系在所有行政村中的覆盖比率80%</w:t>
      </w:r>
    </w:p>
    <w:p>
      <w:pPr>
        <w:pStyle w:val="9"/>
      </w:pPr>
      <w:r>
        <w:t>（五）完善农产品销售体系</w:t>
      </w:r>
    </w:p>
    <w:p>
      <w:pPr>
        <w:pStyle w:val="9"/>
      </w:pPr>
      <w:r>
        <w:t>绩效目标：优化农业生产资料经营服务网络，整合全区农资网络资源，打造丰润区特色农产品展示平台，设立丰润分中心，发展壮大农产品电子商务。</w:t>
      </w:r>
    </w:p>
    <w:p>
      <w:pPr>
        <w:pStyle w:val="9"/>
      </w:pPr>
      <w:r>
        <w:t>绩效指标：搭建三个对接省供销社电子商务平台</w:t>
      </w:r>
    </w:p>
    <w:p>
      <w:pPr>
        <w:pStyle w:val="9"/>
      </w:pPr>
      <w:r>
        <w:t>（六）完善乡村建设服务体系</w:t>
      </w:r>
    </w:p>
    <w:p>
      <w:pPr>
        <w:pStyle w:val="9"/>
      </w:pPr>
      <w:r>
        <w:t>绩效目标：积极参与乡村人居环境整治工作，以全国总社与区政府签约的城乡环境服务项目为契机，积极请示参与、合作，充分发挥社有资产的作用，以及三级网络服务功能，开展深度合作。</w:t>
      </w:r>
    </w:p>
    <w:p>
      <w:pPr>
        <w:pStyle w:val="9"/>
      </w:pPr>
      <w:r>
        <w:t>绩效指标：初步建成农产品质量二维码追溯系统，完成农产品展厅硬件建设工作</w:t>
      </w:r>
    </w:p>
    <w:p>
      <w:pPr>
        <w:pStyle w:val="9"/>
      </w:pPr>
      <w:r>
        <w:t>（七）综合业务管理</w:t>
      </w:r>
    </w:p>
    <w:p>
      <w:pPr>
        <w:pStyle w:val="9"/>
      </w:pPr>
      <w:r>
        <w:t>绩效目标：确保各项业务工作谋划到位、顺利开展。</w:t>
      </w:r>
    </w:p>
    <w:p>
      <w:pPr>
        <w:pStyle w:val="9"/>
      </w:pPr>
      <w:r>
        <w:t>绩效指标：系统业务活动完成率即系统业务活动完成程度为百分之百。</w:t>
      </w:r>
    </w:p>
    <w:p>
      <w:pPr>
        <w:pStyle w:val="9"/>
      </w:pPr>
      <w:r>
        <w:t>（八）供销合作政务管理</w:t>
      </w:r>
    </w:p>
    <w:p>
      <w:pPr>
        <w:pStyle w:val="9"/>
      </w:pPr>
      <w:r>
        <w:t>绩效目标：确保各项业务工作谋划到位、顺利开展,保障机关工作正常高效运转</w:t>
      </w:r>
    </w:p>
    <w:p>
      <w:pPr>
        <w:pStyle w:val="9"/>
      </w:pPr>
      <w:r>
        <w:t>绩效指标：综合行政事务办结率即行政性事务的办理完成情况为百分之百</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加强宣传，贯彻党和政府农村合作经济工作和社会发展的法律、法规和方针政策。拟定全区供销社的发展战略和发展规划，指导全区供销合作社的改革和发展，创新供销合作社经营管理体制机制，构建区供销社及关主导的行业指导体系和社有企业支撑的经营服务体系双向运行机制，着力推进基层供销社改造。</w:t>
      </w:r>
    </w:p>
    <w:p>
      <w:pPr>
        <w:pStyle w:val="10"/>
      </w:pPr>
      <w:r>
        <w:t>（二）加强基层供销社建设。对重要农业生产资料、再生资源及农副产品等经营进行组织、协调和管理。</w:t>
      </w:r>
    </w:p>
    <w:p>
      <w:pPr>
        <w:pStyle w:val="10"/>
      </w:pPr>
      <w:r>
        <w:t>（三）指导推进全区农村合作经济组织发展。通过引领创办、资金注入、项目扶持、人才培训、市场开拓、产供销服务等形式，做好农民合作社的组织、指导、培育、服务工作。</w:t>
      </w:r>
    </w:p>
    <w:p>
      <w:pPr>
        <w:pStyle w:val="10"/>
      </w:pPr>
      <w:r>
        <w:t>（四）进一步深化供销社综合改革，创新组织体系、经营体系、服务体系、金融体系、管理体系。依法管理运营本级社有资产，监督社有资产保值增值，防止社有资产流失。</w:t>
      </w:r>
    </w:p>
    <w:p>
      <w:pPr>
        <w:pStyle w:val="10"/>
      </w:pPr>
      <w:r>
        <w:t>（五）加强绩效管理，保证绩效目标的实现。</w:t>
      </w:r>
    </w:p>
    <w:p>
      <w:pPr>
        <w:pStyle w:val="10"/>
      </w:pPr>
      <w:r>
        <w:t>1、完善制度建设。制定预算绩效管理制度、资金管理办法、工作保障制度，为全年预算绩效目标的实现奠定制度基础。</w:t>
      </w:r>
    </w:p>
    <w:p>
      <w:pPr>
        <w:pStyle w:val="10"/>
      </w:pPr>
      <w:r>
        <w:t>2、加强支出管理。通过优化支出结构、编细编实预算、加快履行政府采购手续、尽快启动项目、及时支付资金、按规定及时下达资金等多种措施，确保支出进度达标。</w:t>
      </w:r>
    </w:p>
    <w:p>
      <w:pPr>
        <w:pStyle w:val="10"/>
      </w:pPr>
      <w:r>
        <w:t>3、加强绩效运行监控。按财政局要求开展绩效运行监控，发现问题及时采取措施，确保绩效目标如期保质实现。</w:t>
      </w:r>
    </w:p>
    <w:p>
      <w:pPr>
        <w:pStyle w:val="10"/>
      </w:pPr>
      <w:r>
        <w:t>4、做好绩效自评。按要求开展上年度部门预算绩效自评和重点评价工作，对评价中发现的问题及时整改，调整优化支出结构，提高财政资金使用效益。</w:t>
      </w:r>
    </w:p>
    <w:p>
      <w:pPr>
        <w:pStyle w:val="10"/>
      </w:pPr>
      <w:r>
        <w:t>5、规范财务资产管理。完善财务管理制度，严格审批程序，加强固定资产登记、使用和报废处置管理，做到支出合理，物尽其用。</w:t>
      </w:r>
    </w:p>
    <w:p>
      <w:pPr>
        <w:pStyle w:val="10"/>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10"/>
      </w:pPr>
      <w:r>
        <w:t>7、加强宣传培训调研等。加强人员培训，提高职工业务素质；加强调研，提出优化财政资金配置、提高资金使用效益的意见；加大宣传力度，强化预算绩效管理意识，促进预算绩效管理水平进一步提升。</w:t>
      </w: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1.产权交易中心办公用房房租绩效目标表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442001丰润区供销部门本级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13020823P00924710001M</w:t>
            </w:r>
          </w:p>
        </w:tc>
        <w:tc>
          <w:tcPr>
            <w:tcW w:w="1587" w:type="dxa"/>
            <w:vAlign w:val="center"/>
          </w:tcPr>
          <w:p>
            <w:pPr>
              <w:pStyle w:val="14"/>
            </w:pPr>
            <w:r>
              <w:t>项目名称</w:t>
            </w:r>
          </w:p>
        </w:tc>
        <w:tc>
          <w:tcPr>
            <w:tcW w:w="4422" w:type="dxa"/>
            <w:gridSpan w:val="3"/>
            <w:vAlign w:val="center"/>
          </w:tcPr>
          <w:p>
            <w:pPr>
              <w:pStyle w:val="13"/>
            </w:pPr>
            <w:r>
              <w:t>产权交易中心办公用房房租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用于支付农村产权交易中心办公用房的房租费用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1.及时足额拨付产权交易中心办公用房的房租费用</w:t>
            </w:r>
          </w:p>
          <w:p>
            <w:pPr>
              <w:pStyle w:val="13"/>
            </w:pPr>
            <w:r>
              <w:t>2.保障产权交易中心各项工作能够正常开展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租房年限</w:t>
            </w:r>
          </w:p>
        </w:tc>
        <w:tc>
          <w:tcPr>
            <w:tcW w:w="2891" w:type="dxa"/>
            <w:vAlign w:val="center"/>
          </w:tcPr>
          <w:p>
            <w:pPr>
              <w:pStyle w:val="13"/>
            </w:pPr>
            <w:r>
              <w:t>用于租赁办公用房的使用年限</w:t>
            </w:r>
          </w:p>
        </w:tc>
        <w:tc>
          <w:tcPr>
            <w:tcW w:w="1276" w:type="dxa"/>
            <w:vAlign w:val="center"/>
          </w:tcPr>
          <w:p>
            <w:pPr>
              <w:pStyle w:val="13"/>
            </w:pPr>
            <w:r>
              <w:t>≥1年</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使用率</w:t>
            </w:r>
          </w:p>
        </w:tc>
        <w:tc>
          <w:tcPr>
            <w:tcW w:w="2891" w:type="dxa"/>
            <w:vAlign w:val="center"/>
          </w:tcPr>
          <w:p>
            <w:pPr>
              <w:pStyle w:val="13"/>
            </w:pPr>
            <w:r>
              <w:t>房租的费用占预算安排的比例</w:t>
            </w:r>
          </w:p>
        </w:tc>
        <w:tc>
          <w:tcPr>
            <w:tcW w:w="1276" w:type="dxa"/>
            <w:vAlign w:val="center"/>
          </w:tcPr>
          <w:p>
            <w:pPr>
              <w:pStyle w:val="13"/>
            </w:pPr>
            <w:r>
              <w:t>≥95%</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按时间进度完成</w:t>
            </w:r>
          </w:p>
        </w:tc>
        <w:tc>
          <w:tcPr>
            <w:tcW w:w="2891" w:type="dxa"/>
            <w:vAlign w:val="center"/>
          </w:tcPr>
          <w:p>
            <w:pPr>
              <w:pStyle w:val="13"/>
            </w:pPr>
            <w:r>
              <w:t>按时间进度使用房租</w:t>
            </w:r>
          </w:p>
        </w:tc>
        <w:tc>
          <w:tcPr>
            <w:tcW w:w="1276" w:type="dxa"/>
            <w:vAlign w:val="center"/>
          </w:tcPr>
          <w:p>
            <w:pPr>
              <w:pStyle w:val="13"/>
            </w:pPr>
            <w:r>
              <w:t>时间进度完成</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按标准安排房租费用</w:t>
            </w:r>
          </w:p>
        </w:tc>
        <w:tc>
          <w:tcPr>
            <w:tcW w:w="2891" w:type="dxa"/>
            <w:vAlign w:val="center"/>
          </w:tcPr>
          <w:p>
            <w:pPr>
              <w:pStyle w:val="13"/>
            </w:pPr>
            <w:r>
              <w:t>房租使用支付标准</w:t>
            </w:r>
          </w:p>
        </w:tc>
        <w:tc>
          <w:tcPr>
            <w:tcW w:w="1276" w:type="dxa"/>
            <w:vAlign w:val="center"/>
          </w:tcPr>
          <w:p>
            <w:pPr>
              <w:pStyle w:val="13"/>
            </w:pPr>
            <w:r>
              <w:t>≤10000元/年</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优化支出效益</w:t>
            </w:r>
          </w:p>
        </w:tc>
        <w:tc>
          <w:tcPr>
            <w:tcW w:w="2891" w:type="dxa"/>
            <w:vAlign w:val="center"/>
          </w:tcPr>
          <w:p>
            <w:pPr>
              <w:pStyle w:val="13"/>
            </w:pPr>
            <w:r>
              <w:t>降低成本，提高房屋租赁的使用效果</w:t>
            </w:r>
          </w:p>
        </w:tc>
        <w:tc>
          <w:tcPr>
            <w:tcW w:w="1276" w:type="dxa"/>
            <w:vAlign w:val="center"/>
          </w:tcPr>
          <w:p>
            <w:pPr>
              <w:pStyle w:val="13"/>
            </w:pPr>
            <w:r>
              <w:t>优</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用户满意度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2.交易平台维护费绩效目标表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442001丰润区供销部门本级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13020823P00924810001B</w:t>
            </w:r>
          </w:p>
        </w:tc>
        <w:tc>
          <w:tcPr>
            <w:tcW w:w="1587" w:type="dxa"/>
            <w:vAlign w:val="center"/>
          </w:tcPr>
          <w:p>
            <w:pPr>
              <w:pStyle w:val="14"/>
            </w:pPr>
            <w:r>
              <w:t>项目名称</w:t>
            </w:r>
          </w:p>
        </w:tc>
        <w:tc>
          <w:tcPr>
            <w:tcW w:w="4422" w:type="dxa"/>
            <w:gridSpan w:val="3"/>
            <w:vAlign w:val="center"/>
          </w:tcPr>
          <w:p>
            <w:pPr>
              <w:pStyle w:val="13"/>
            </w:pPr>
            <w:r>
              <w:t>交易平台维护费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用于交纳省供销社农村产权交易平台维护费用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1.及时足额拨付交易平台维护费</w:t>
            </w:r>
          </w:p>
          <w:p>
            <w:pPr>
              <w:pStyle w:val="13"/>
            </w:pPr>
            <w:r>
              <w:t>2.保障交易平台各项日常工作的有效开展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购买数量</w:t>
            </w:r>
          </w:p>
        </w:tc>
        <w:tc>
          <w:tcPr>
            <w:tcW w:w="2891" w:type="dxa"/>
            <w:vAlign w:val="center"/>
          </w:tcPr>
          <w:p>
            <w:pPr>
              <w:pStyle w:val="13"/>
            </w:pPr>
            <w:r>
              <w:t>用于购买维护费使用年限</w:t>
            </w:r>
          </w:p>
        </w:tc>
        <w:tc>
          <w:tcPr>
            <w:tcW w:w="1276" w:type="dxa"/>
            <w:vAlign w:val="center"/>
          </w:tcPr>
          <w:p>
            <w:pPr>
              <w:pStyle w:val="13"/>
            </w:pPr>
            <w:r>
              <w:t>≥1年</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使用率</w:t>
            </w:r>
          </w:p>
        </w:tc>
        <w:tc>
          <w:tcPr>
            <w:tcW w:w="2891" w:type="dxa"/>
            <w:vAlign w:val="center"/>
          </w:tcPr>
          <w:p>
            <w:pPr>
              <w:pStyle w:val="13"/>
            </w:pPr>
            <w:r>
              <w:t>交易平台维护费占预算安排的比例</w:t>
            </w:r>
          </w:p>
        </w:tc>
        <w:tc>
          <w:tcPr>
            <w:tcW w:w="1276" w:type="dxa"/>
            <w:vAlign w:val="center"/>
          </w:tcPr>
          <w:p>
            <w:pPr>
              <w:pStyle w:val="13"/>
            </w:pPr>
            <w:r>
              <w:t>≥95%</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按时间进度完成</w:t>
            </w:r>
          </w:p>
        </w:tc>
        <w:tc>
          <w:tcPr>
            <w:tcW w:w="2891" w:type="dxa"/>
            <w:vAlign w:val="center"/>
          </w:tcPr>
          <w:p>
            <w:pPr>
              <w:pStyle w:val="13"/>
            </w:pPr>
            <w:r>
              <w:t>按时间进度使用交易平台维护费</w:t>
            </w:r>
          </w:p>
        </w:tc>
        <w:tc>
          <w:tcPr>
            <w:tcW w:w="1276" w:type="dxa"/>
            <w:vAlign w:val="center"/>
          </w:tcPr>
          <w:p>
            <w:pPr>
              <w:pStyle w:val="13"/>
            </w:pPr>
            <w:r>
              <w:t>时间进度完成</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按标准安排经费</w:t>
            </w:r>
          </w:p>
        </w:tc>
        <w:tc>
          <w:tcPr>
            <w:tcW w:w="2891" w:type="dxa"/>
            <w:vAlign w:val="center"/>
          </w:tcPr>
          <w:p>
            <w:pPr>
              <w:pStyle w:val="13"/>
            </w:pPr>
            <w:r>
              <w:t>平台维护费安排标准</w:t>
            </w:r>
          </w:p>
        </w:tc>
        <w:tc>
          <w:tcPr>
            <w:tcW w:w="1276" w:type="dxa"/>
            <w:vAlign w:val="center"/>
          </w:tcPr>
          <w:p>
            <w:pPr>
              <w:pStyle w:val="13"/>
            </w:pPr>
            <w:r>
              <w:t>≤10000元/年</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优化支出效益</w:t>
            </w:r>
          </w:p>
        </w:tc>
        <w:tc>
          <w:tcPr>
            <w:tcW w:w="2891" w:type="dxa"/>
            <w:vAlign w:val="center"/>
          </w:tcPr>
          <w:p>
            <w:pPr>
              <w:pStyle w:val="13"/>
            </w:pPr>
            <w:r>
              <w:t>降低成本，提高交易平台的使用效率</w:t>
            </w:r>
          </w:p>
        </w:tc>
        <w:tc>
          <w:tcPr>
            <w:tcW w:w="1276" w:type="dxa"/>
            <w:vAlign w:val="center"/>
          </w:tcPr>
          <w:p>
            <w:pPr>
              <w:pStyle w:val="13"/>
            </w:pPr>
            <w:r>
              <w:t>优</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用户满意度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3.农民培训费绩效目标表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442001丰润区供销部门本级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13020823P009246100010</w:t>
            </w:r>
          </w:p>
        </w:tc>
        <w:tc>
          <w:tcPr>
            <w:tcW w:w="1587" w:type="dxa"/>
            <w:vAlign w:val="center"/>
          </w:tcPr>
          <w:p>
            <w:pPr>
              <w:pStyle w:val="14"/>
            </w:pPr>
            <w:r>
              <w:t>项目名称</w:t>
            </w:r>
          </w:p>
        </w:tc>
        <w:tc>
          <w:tcPr>
            <w:tcW w:w="4422" w:type="dxa"/>
            <w:gridSpan w:val="3"/>
            <w:vAlign w:val="center"/>
          </w:tcPr>
          <w:p>
            <w:pPr>
              <w:pStyle w:val="13"/>
            </w:pPr>
            <w:r>
              <w:t>农民培训费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培训农民，提高农民科技种植水平和农产品科技含量，实现农民增产增收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1.及时足额拨付农民培训费用</w:t>
            </w:r>
          </w:p>
          <w:p>
            <w:pPr>
              <w:pStyle w:val="13"/>
            </w:pPr>
            <w:r>
              <w:t>2.提高农民培训的科技含量，实现农民增产增收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培训数量</w:t>
            </w:r>
          </w:p>
        </w:tc>
        <w:tc>
          <w:tcPr>
            <w:tcW w:w="2654" w:type="dxa"/>
            <w:vAlign w:val="center"/>
          </w:tcPr>
          <w:p>
            <w:pPr>
              <w:pStyle w:val="13"/>
            </w:pPr>
            <w:r>
              <w:t>每年培训的人次</w:t>
            </w:r>
          </w:p>
        </w:tc>
        <w:tc>
          <w:tcPr>
            <w:tcW w:w="1327" w:type="dxa"/>
            <w:vAlign w:val="center"/>
          </w:tcPr>
          <w:p>
            <w:pPr>
              <w:pStyle w:val="13"/>
            </w:pPr>
            <w:r>
              <w:t>≥1次</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使用率</w:t>
            </w:r>
          </w:p>
        </w:tc>
        <w:tc>
          <w:tcPr>
            <w:tcW w:w="2654" w:type="dxa"/>
            <w:vAlign w:val="center"/>
          </w:tcPr>
          <w:p>
            <w:pPr>
              <w:pStyle w:val="13"/>
            </w:pPr>
            <w:r>
              <w:t>农民培训费占预算安排的比例</w:t>
            </w:r>
          </w:p>
        </w:tc>
        <w:tc>
          <w:tcPr>
            <w:tcW w:w="1327" w:type="dxa"/>
            <w:vAlign w:val="center"/>
          </w:tcPr>
          <w:p>
            <w:pPr>
              <w:pStyle w:val="13"/>
            </w:pPr>
            <w:r>
              <w:t>≥95%</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按时间进度完成</w:t>
            </w:r>
          </w:p>
        </w:tc>
        <w:tc>
          <w:tcPr>
            <w:tcW w:w="2654" w:type="dxa"/>
            <w:vAlign w:val="center"/>
          </w:tcPr>
          <w:p>
            <w:pPr>
              <w:pStyle w:val="13"/>
            </w:pPr>
            <w:r>
              <w:t>按照培训时间安排使用培训费</w:t>
            </w:r>
          </w:p>
        </w:tc>
        <w:tc>
          <w:tcPr>
            <w:tcW w:w="1327" w:type="dxa"/>
            <w:vAlign w:val="center"/>
          </w:tcPr>
          <w:p>
            <w:pPr>
              <w:pStyle w:val="13"/>
            </w:pPr>
            <w:r>
              <w:t>时间进度完成</w:t>
            </w:r>
          </w:p>
        </w:tc>
        <w:tc>
          <w:tcPr>
            <w:tcW w:w="1327"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按标准安排经费</w:t>
            </w:r>
          </w:p>
        </w:tc>
        <w:tc>
          <w:tcPr>
            <w:tcW w:w="2654" w:type="dxa"/>
            <w:vAlign w:val="center"/>
          </w:tcPr>
          <w:p>
            <w:pPr>
              <w:pStyle w:val="13"/>
            </w:pPr>
            <w:r>
              <w:t>培训费用安排标准</w:t>
            </w:r>
          </w:p>
        </w:tc>
        <w:tc>
          <w:tcPr>
            <w:tcW w:w="1327" w:type="dxa"/>
            <w:vAlign w:val="center"/>
          </w:tcPr>
          <w:p>
            <w:pPr>
              <w:pStyle w:val="13"/>
            </w:pPr>
            <w:r>
              <w:t>≤20000元/年</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优化支出效益</w:t>
            </w:r>
          </w:p>
        </w:tc>
        <w:tc>
          <w:tcPr>
            <w:tcW w:w="2654" w:type="dxa"/>
            <w:vAlign w:val="center"/>
          </w:tcPr>
          <w:p>
            <w:pPr>
              <w:pStyle w:val="13"/>
            </w:pPr>
            <w:r>
              <w:t>降低成本，使培训工作达到效益最大化</w:t>
            </w:r>
          </w:p>
        </w:tc>
        <w:tc>
          <w:tcPr>
            <w:tcW w:w="1327" w:type="dxa"/>
            <w:vAlign w:val="center"/>
          </w:tcPr>
          <w:p>
            <w:pPr>
              <w:pStyle w:val="13"/>
            </w:pPr>
            <w:r>
              <w:t>优</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用户满意度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4.云视讯专线费用绩效目标表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442001丰润区供销部门本级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13020823P00924510001A</w:t>
            </w:r>
          </w:p>
        </w:tc>
        <w:tc>
          <w:tcPr>
            <w:tcW w:w="1587" w:type="dxa"/>
            <w:vAlign w:val="center"/>
          </w:tcPr>
          <w:p>
            <w:pPr>
              <w:pStyle w:val="14"/>
            </w:pPr>
            <w:r>
              <w:t>项目名称</w:t>
            </w:r>
          </w:p>
        </w:tc>
        <w:tc>
          <w:tcPr>
            <w:tcW w:w="4422" w:type="dxa"/>
            <w:gridSpan w:val="3"/>
            <w:vAlign w:val="center"/>
          </w:tcPr>
          <w:p>
            <w:pPr>
              <w:pStyle w:val="13"/>
            </w:pPr>
            <w:r>
              <w:t>云视讯专线费用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0.96</w:t>
            </w:r>
          </w:p>
        </w:tc>
        <w:tc>
          <w:tcPr>
            <w:tcW w:w="1587" w:type="dxa"/>
            <w:vAlign w:val="center"/>
          </w:tcPr>
          <w:p>
            <w:pPr>
              <w:pStyle w:val="14"/>
            </w:pPr>
            <w:r>
              <w:t>其中：财政    资金</w:t>
            </w:r>
          </w:p>
        </w:tc>
        <w:tc>
          <w:tcPr>
            <w:tcW w:w="1304" w:type="dxa"/>
            <w:vAlign w:val="center"/>
          </w:tcPr>
          <w:p>
            <w:pPr>
              <w:pStyle w:val="13"/>
            </w:pPr>
            <w:r>
              <w:t>0.96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用于交纳省供销社系统云视讯网络视频会议专线租赁费用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1.及时足额拨付云视讯专线费用</w:t>
            </w:r>
          </w:p>
          <w:p>
            <w:pPr>
              <w:pStyle w:val="13"/>
            </w:pPr>
            <w:r>
              <w:t>2.保障云视讯平台各项工作平稳运行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购买年限</w:t>
            </w:r>
          </w:p>
        </w:tc>
        <w:tc>
          <w:tcPr>
            <w:tcW w:w="2891" w:type="dxa"/>
            <w:vAlign w:val="center"/>
          </w:tcPr>
          <w:p>
            <w:pPr>
              <w:pStyle w:val="13"/>
            </w:pPr>
            <w:r>
              <w:t>用于购买专线使用年限</w:t>
            </w:r>
          </w:p>
        </w:tc>
        <w:tc>
          <w:tcPr>
            <w:tcW w:w="1276" w:type="dxa"/>
            <w:vAlign w:val="center"/>
          </w:tcPr>
          <w:p>
            <w:pPr>
              <w:pStyle w:val="13"/>
            </w:pPr>
            <w:r>
              <w:t>≥1年</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使用率</w:t>
            </w:r>
          </w:p>
        </w:tc>
        <w:tc>
          <w:tcPr>
            <w:tcW w:w="2891" w:type="dxa"/>
            <w:vAlign w:val="center"/>
          </w:tcPr>
          <w:p>
            <w:pPr>
              <w:pStyle w:val="13"/>
            </w:pPr>
            <w:r>
              <w:t>专线费用占预算安排的比例</w:t>
            </w:r>
          </w:p>
        </w:tc>
        <w:tc>
          <w:tcPr>
            <w:tcW w:w="1276" w:type="dxa"/>
            <w:vAlign w:val="center"/>
          </w:tcPr>
          <w:p>
            <w:pPr>
              <w:pStyle w:val="13"/>
            </w:pPr>
            <w:r>
              <w:t>≥95%</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按时间进度完成</w:t>
            </w:r>
          </w:p>
        </w:tc>
        <w:tc>
          <w:tcPr>
            <w:tcW w:w="2891" w:type="dxa"/>
            <w:vAlign w:val="center"/>
          </w:tcPr>
          <w:p>
            <w:pPr>
              <w:pStyle w:val="13"/>
            </w:pPr>
            <w:r>
              <w:t>按时间进度使用专线费用</w:t>
            </w:r>
          </w:p>
        </w:tc>
        <w:tc>
          <w:tcPr>
            <w:tcW w:w="1276" w:type="dxa"/>
            <w:vAlign w:val="center"/>
          </w:tcPr>
          <w:p>
            <w:pPr>
              <w:pStyle w:val="13"/>
            </w:pPr>
            <w:r>
              <w:t>时间进度完成</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按标准安排经费</w:t>
            </w:r>
          </w:p>
        </w:tc>
        <w:tc>
          <w:tcPr>
            <w:tcW w:w="2891" w:type="dxa"/>
            <w:vAlign w:val="center"/>
          </w:tcPr>
          <w:p>
            <w:pPr>
              <w:pStyle w:val="13"/>
            </w:pPr>
            <w:r>
              <w:t>专线费用安排标准</w:t>
            </w:r>
          </w:p>
        </w:tc>
        <w:tc>
          <w:tcPr>
            <w:tcW w:w="1276" w:type="dxa"/>
            <w:vAlign w:val="center"/>
          </w:tcPr>
          <w:p>
            <w:pPr>
              <w:pStyle w:val="13"/>
            </w:pPr>
            <w:r>
              <w:t>≤9600元/年</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优化支出效益</w:t>
            </w:r>
          </w:p>
        </w:tc>
        <w:tc>
          <w:tcPr>
            <w:tcW w:w="2891" w:type="dxa"/>
            <w:vAlign w:val="center"/>
          </w:tcPr>
          <w:p>
            <w:pPr>
              <w:pStyle w:val="13"/>
            </w:pPr>
            <w:r>
              <w:t>降低成本，提高云视讯平台使用效能</w:t>
            </w:r>
          </w:p>
        </w:tc>
        <w:tc>
          <w:tcPr>
            <w:tcW w:w="1276" w:type="dxa"/>
            <w:vAlign w:val="center"/>
          </w:tcPr>
          <w:p>
            <w:pPr>
              <w:pStyle w:val="13"/>
            </w:pPr>
            <w:r>
              <w:t>优</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用户满意度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g1MzlkNGJjMGQyZWVmMWM4MzhjYjZhMzA5MWVjMmIifQ=="/>
  </w:docVars>
  <w:rsids>
    <w:rsidRoot w:val="00000000"/>
    <w:rsid w:val="26B0258A"/>
    <w:rsid w:val="27AC5658"/>
    <w:rsid w:val="39F16210"/>
    <w:rsid w:val="45B563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2023-03-15T10:39:26Z</dcterms:created>
  <dcterms:modified xsi:type="dcterms:W3CDTF">2023-03-15T02:39:26Z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2023-03-15T10:39:26Z</dcterms:created>
  <dcterms:modified xsi:type="dcterms:W3CDTF">2023-03-15T02:39:26Z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2023-03-15T10:39:27Z</dcterms:created>
  <dcterms:modified xsi:type="dcterms:W3CDTF">2023-03-15T02:39:27Z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2023-03-15T10:39:27Z</dcterms:created>
  <dcterms:modified xsi:type="dcterms:W3CDTF">2023-03-15T02:39:27Z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2023-03-15T10:39:26Z</dcterms:created>
  <dcterms:modified xsi:type="dcterms:W3CDTF">2023-03-15T02:39:26Z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2023-03-15T10:39:28Z</dcterms:created>
  <dcterms:modified xsi:type="dcterms:W3CDTF">2023-03-15T02:39:28Z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9f11822-4b09-4a77-aea1-5cc0db1cfd30}">
  <ds:schemaRefs/>
</ds:datastoreItem>
</file>

<file path=customXml/itemProps10.xml><?xml version="1.0" encoding="utf-8"?>
<ds:datastoreItem xmlns:ds="http://schemas.openxmlformats.org/officeDocument/2006/customXml" ds:itemID="{edf19948-0b36-4b5d-a628-a7a39f141544}">
  <ds:schemaRefs/>
</ds:datastoreItem>
</file>

<file path=customXml/itemProps11.xml><?xml version="1.0" encoding="utf-8"?>
<ds:datastoreItem xmlns:ds="http://schemas.openxmlformats.org/officeDocument/2006/customXml" ds:itemID="{f0419344-1be0-4a16-896b-6bb8a233f90b}">
  <ds:schemaRefs/>
</ds:datastoreItem>
</file>

<file path=customXml/itemProps12.xml><?xml version="1.0" encoding="utf-8"?>
<ds:datastoreItem xmlns:ds="http://schemas.openxmlformats.org/officeDocument/2006/customXml" ds:itemID="{5b75ae67-169f-4aa7-9340-728cb713a709}">
  <ds:schemaRefs/>
</ds:datastoreItem>
</file>

<file path=customXml/itemProps2.xml><?xml version="1.0" encoding="utf-8"?>
<ds:datastoreItem xmlns:ds="http://schemas.openxmlformats.org/officeDocument/2006/customXml" ds:itemID="{0501b206-9c71-4cef-87c8-2c6666e9c68e}">
  <ds:schemaRefs/>
</ds:datastoreItem>
</file>

<file path=customXml/itemProps3.xml><?xml version="1.0" encoding="utf-8"?>
<ds:datastoreItem xmlns:ds="http://schemas.openxmlformats.org/officeDocument/2006/customXml" ds:itemID="{375fe8cb-7484-4689-93ac-d27747348a9c}">
  <ds:schemaRefs/>
</ds:datastoreItem>
</file>

<file path=customXml/itemProps4.xml><?xml version="1.0" encoding="utf-8"?>
<ds:datastoreItem xmlns:ds="http://schemas.openxmlformats.org/officeDocument/2006/customXml" ds:itemID="{b71a11de-a701-49e2-8b04-5fb9f84d0a2f}">
  <ds:schemaRefs/>
</ds:datastoreItem>
</file>

<file path=customXml/itemProps5.xml><?xml version="1.0" encoding="utf-8"?>
<ds:datastoreItem xmlns:ds="http://schemas.openxmlformats.org/officeDocument/2006/customXml" ds:itemID="{cde8f432-c4d3-4f47-b4a4-4ac642e1956d}">
  <ds:schemaRefs/>
</ds:datastoreItem>
</file>

<file path=customXml/itemProps6.xml><?xml version="1.0" encoding="utf-8"?>
<ds:datastoreItem xmlns:ds="http://schemas.openxmlformats.org/officeDocument/2006/customXml" ds:itemID="{e15f6864-747c-47e0-83cd-26f459591af4}">
  <ds:schemaRefs/>
</ds:datastoreItem>
</file>

<file path=customXml/itemProps7.xml><?xml version="1.0" encoding="utf-8"?>
<ds:datastoreItem xmlns:ds="http://schemas.openxmlformats.org/officeDocument/2006/customXml" ds:itemID="{b7bab065-bba5-416d-a834-acdff647e882}">
  <ds:schemaRefs/>
</ds:datastoreItem>
</file>

<file path=customXml/itemProps8.xml><?xml version="1.0" encoding="utf-8"?>
<ds:datastoreItem xmlns:ds="http://schemas.openxmlformats.org/officeDocument/2006/customXml" ds:itemID="{02252278-85ba-4db8-bc61-5a1db8ff49f7}">
  <ds:schemaRefs/>
</ds:datastoreItem>
</file>

<file path=customXml/itemProps9.xml><?xml version="1.0" encoding="utf-8"?>
<ds:datastoreItem xmlns:ds="http://schemas.openxmlformats.org/officeDocument/2006/customXml" ds:itemID="{92e673ba-a490-4d15-a40d-1191ed22aa5d}">
  <ds:schemaRefs/>
</ds:datastoreItem>
</file>

<file path=docProps/app.xml><?xml version="1.0" encoding="utf-8"?>
<Properties xmlns="http://schemas.openxmlformats.org/officeDocument/2006/extended-properties" xmlns:vt="http://schemas.openxmlformats.org/officeDocument/2006/docPropsVTypes">
  <Pages>13</Pages>
  <Words>3740</Words>
  <Characters>3977</Characters>
  <TotalTime>38</TotalTime>
  <ScaleCrop>false</ScaleCrop>
  <LinksUpToDate>false</LinksUpToDate>
  <CharactersWithSpaces>4049</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2023-03-15T10:39:00Z</dcterms:created>
  <dc:creator>AAA</dc:creator>
  <cp:lastModifiedBy>AAA</cp:lastModifiedBy>
  <dcterms:modified xsi:type="dcterms:W3CDTF">2024-03-21T03:26:27Z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A079C64BBBB54ADAA290523B8EE02560_12</vt:lpwstr>
  </property>
</Properties>
</file>