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406" w:rsidRDefault="006942D7">
      <w:pPr>
        <w:jc w:val="left"/>
        <w:rPr>
          <w:rFonts w:ascii="Times New Roman" w:hAnsi="Times New Roman" w:cs="Times New Roman"/>
          <w:sz w:val="32"/>
          <w:szCs w:val="32"/>
        </w:rPr>
      </w:pPr>
      <w:r>
        <w:rPr>
          <w:rFonts w:ascii="Times New Roman" w:hAnsi="Times New Roman" w:cs="Times New Roman" w:hint="eastAsia"/>
          <w:sz w:val="32"/>
          <w:szCs w:val="32"/>
        </w:rPr>
        <w:t>附件</w:t>
      </w:r>
      <w:r>
        <w:rPr>
          <w:rFonts w:ascii="Times New Roman" w:hAnsi="Times New Roman" w:cs="Times New Roman" w:hint="eastAsia"/>
          <w:sz w:val="32"/>
          <w:szCs w:val="32"/>
        </w:rPr>
        <w:t>4</w:t>
      </w:r>
    </w:p>
    <w:p w:rsidR="006B3406" w:rsidRDefault="006942D7">
      <w:pPr>
        <w:jc w:val="center"/>
        <w:rPr>
          <w:rFonts w:ascii="Times New Roman" w:hAnsi="Times New Roman" w:cs="Times New Roman"/>
          <w:sz w:val="44"/>
          <w:szCs w:val="44"/>
        </w:rPr>
      </w:pPr>
      <w:r>
        <w:rPr>
          <w:rFonts w:ascii="Times New Roman" w:hAnsi="Times New Roman" w:cs="Times New Roman"/>
          <w:sz w:val="44"/>
          <w:szCs w:val="44"/>
        </w:rPr>
        <w:t>预算部门</w:t>
      </w:r>
      <w:r>
        <w:rPr>
          <w:rFonts w:ascii="Times New Roman" w:hAnsi="Times New Roman" w:cs="Times New Roman" w:hint="eastAsia"/>
          <w:sz w:val="44"/>
          <w:szCs w:val="44"/>
        </w:rPr>
        <w:t>整体</w:t>
      </w:r>
      <w:r>
        <w:rPr>
          <w:rFonts w:ascii="Times New Roman" w:hAnsi="Times New Roman" w:cs="Times New Roman"/>
          <w:sz w:val="44"/>
          <w:szCs w:val="44"/>
        </w:rPr>
        <w:t>绩效自评报告</w:t>
      </w:r>
    </w:p>
    <w:p w:rsidR="006B3406" w:rsidRDefault="006942D7">
      <w:pPr>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Pr>
          <w:rFonts w:ascii="Times New Roman" w:eastAsia="仿宋" w:hAnsi="Times New Roman" w:cs="Times New Roman" w:hint="eastAsia"/>
          <w:sz w:val="30"/>
          <w:szCs w:val="30"/>
        </w:rPr>
        <w:t>23</w:t>
      </w:r>
      <w:r>
        <w:rPr>
          <w:rFonts w:ascii="Times New Roman" w:eastAsia="仿宋" w:hAnsi="Times New Roman" w:cs="Times New Roman"/>
          <w:sz w:val="30"/>
          <w:szCs w:val="30"/>
        </w:rPr>
        <w:t>年度）</w:t>
      </w:r>
    </w:p>
    <w:p w:rsidR="006B3406" w:rsidRDefault="006B3406">
      <w:pPr>
        <w:rPr>
          <w:rFonts w:ascii="Times New Roman" w:eastAsia="仿宋" w:hAnsi="Times New Roman" w:cs="Times New Roman"/>
        </w:rPr>
      </w:pPr>
    </w:p>
    <w:p w:rsidR="006B3406" w:rsidRDefault="006B3406">
      <w:pPr>
        <w:rPr>
          <w:rFonts w:ascii="Times New Roman" w:eastAsia="仿宋" w:hAnsi="Times New Roman" w:cs="Times New Roman"/>
        </w:rPr>
      </w:pPr>
    </w:p>
    <w:p w:rsidR="006B3406" w:rsidRDefault="006942D7">
      <w:pPr>
        <w:ind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评价方式：</w:t>
      </w:r>
      <w:r w:rsidR="007C3F9A">
        <w:rPr>
          <w:rFonts w:ascii="Times New Roman" w:eastAsia="仿宋" w:hAnsi="Times New Roman" w:cs="Times New Roman"/>
          <w:sz w:val="44"/>
          <w:szCs w:val="44"/>
        </w:rPr>
        <w:sym w:font="Wingdings" w:char="F0FE"/>
      </w:r>
      <w:r>
        <w:rPr>
          <w:rFonts w:ascii="Times New Roman" w:eastAsia="仿宋" w:hAnsi="Times New Roman" w:cs="Times New Roman"/>
          <w:sz w:val="32"/>
          <w:szCs w:val="32"/>
        </w:rPr>
        <w:t>直接组织评价</w:t>
      </w:r>
      <w:r>
        <w:rPr>
          <w:rFonts w:ascii="Times New Roman" w:eastAsia="仿宋" w:hAnsi="Times New Roman" w:cs="Times New Roman"/>
          <w:sz w:val="32"/>
          <w:szCs w:val="32"/>
        </w:rPr>
        <w:t xml:space="preserve">        </w:t>
      </w:r>
      <w:r>
        <w:rPr>
          <w:rFonts w:ascii="Times New Roman" w:eastAsia="仿宋" w:hAnsi="Times New Roman" w:cs="Times New Roman"/>
          <w:sz w:val="44"/>
          <w:szCs w:val="44"/>
        </w:rPr>
        <w:t>□</w:t>
      </w:r>
      <w:r>
        <w:rPr>
          <w:rFonts w:ascii="Times New Roman" w:eastAsia="仿宋" w:hAnsi="Times New Roman" w:cs="Times New Roman"/>
          <w:sz w:val="32"/>
          <w:szCs w:val="32"/>
        </w:rPr>
        <w:t>委托评价</w:t>
      </w:r>
    </w:p>
    <w:p w:rsidR="006B3406" w:rsidRDefault="006B3406">
      <w:pPr>
        <w:rPr>
          <w:rFonts w:ascii="Times New Roman" w:eastAsia="仿宋" w:hAnsi="Times New Roman" w:cs="Times New Roman"/>
        </w:rPr>
      </w:pPr>
    </w:p>
    <w:p w:rsidR="006B3406" w:rsidRDefault="006B3406">
      <w:pPr>
        <w:rPr>
          <w:rFonts w:ascii="Times New Roman" w:eastAsia="仿宋" w:hAnsi="Times New Roman" w:cs="Times New Roman"/>
        </w:rPr>
      </w:pPr>
    </w:p>
    <w:p w:rsidR="006B3406" w:rsidRDefault="006B3406">
      <w:pPr>
        <w:rPr>
          <w:rFonts w:ascii="Times New Roman" w:eastAsia="仿宋" w:hAnsi="Times New Roman" w:cs="Times New Roman"/>
        </w:rPr>
      </w:pPr>
    </w:p>
    <w:p w:rsidR="006B3406" w:rsidRDefault="006B3406">
      <w:pPr>
        <w:ind w:firstLineChars="600" w:firstLine="1920"/>
        <w:rPr>
          <w:rFonts w:ascii="Times New Roman" w:eastAsia="仿宋" w:hAnsi="Times New Roman" w:cs="Times New Roman"/>
          <w:sz w:val="32"/>
          <w:szCs w:val="32"/>
        </w:rPr>
      </w:pPr>
    </w:p>
    <w:p w:rsidR="006B3406" w:rsidRDefault="006B3406">
      <w:pPr>
        <w:ind w:firstLineChars="600" w:firstLine="1920"/>
        <w:rPr>
          <w:rFonts w:ascii="Times New Roman" w:eastAsia="仿宋" w:hAnsi="Times New Roman" w:cs="Times New Roman"/>
          <w:sz w:val="32"/>
          <w:szCs w:val="32"/>
        </w:rPr>
      </w:pPr>
    </w:p>
    <w:p w:rsidR="006B3406" w:rsidRDefault="006B3406">
      <w:pPr>
        <w:ind w:firstLineChars="600" w:firstLine="1920"/>
        <w:rPr>
          <w:rFonts w:ascii="Times New Roman" w:eastAsia="仿宋" w:hAnsi="Times New Roman" w:cs="Times New Roman"/>
          <w:sz w:val="32"/>
          <w:szCs w:val="32"/>
        </w:rPr>
      </w:pPr>
    </w:p>
    <w:p w:rsidR="006B3406" w:rsidRDefault="006942D7" w:rsidP="007C3F9A">
      <w:pPr>
        <w:ind w:firstLineChars="100" w:firstLine="320"/>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sidR="007C3F9A">
        <w:rPr>
          <w:rFonts w:ascii="Times New Roman" w:eastAsia="仿宋" w:hAnsi="Times New Roman" w:cs="Times New Roman" w:hint="eastAsia"/>
          <w:sz w:val="32"/>
          <w:szCs w:val="32"/>
          <w:u w:val="single"/>
        </w:rPr>
        <w:t>唐山市丰润区工业和信息化局</w:t>
      </w:r>
      <w:r>
        <w:rPr>
          <w:rFonts w:ascii="Times New Roman" w:eastAsia="仿宋" w:hAnsi="Times New Roman" w:cs="Times New Roman" w:hint="eastAsia"/>
          <w:sz w:val="32"/>
          <w:szCs w:val="32"/>
          <w:u w:val="single"/>
        </w:rPr>
        <w:t>（加盖公章）</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sz w:val="32"/>
          <w:szCs w:val="32"/>
          <w:u w:val="single"/>
        </w:rPr>
        <w:t xml:space="preserve"> </w:t>
      </w:r>
    </w:p>
    <w:p w:rsidR="006B3406" w:rsidRDefault="006942D7" w:rsidP="007C3F9A">
      <w:pPr>
        <w:ind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r w:rsidR="007C3F9A">
        <w:rPr>
          <w:rFonts w:ascii="Times New Roman" w:eastAsia="仿宋" w:hAnsi="Times New Roman" w:cs="Times New Roman"/>
          <w:sz w:val="32"/>
          <w:szCs w:val="32"/>
          <w:u w:val="single"/>
        </w:rPr>
        <w:t>0315-5152400</w:t>
      </w:r>
      <w:r>
        <w:rPr>
          <w:rFonts w:ascii="Times New Roman" w:eastAsia="仿宋" w:hAnsi="Times New Roman" w:cs="Times New Roman"/>
          <w:sz w:val="32"/>
          <w:szCs w:val="32"/>
          <w:u w:val="single"/>
        </w:rPr>
        <w:t xml:space="preserve">    </w:t>
      </w:r>
    </w:p>
    <w:p w:rsidR="006B3406" w:rsidRDefault="006B3406">
      <w:pPr>
        <w:ind w:firstLineChars="450" w:firstLine="1440"/>
        <w:rPr>
          <w:rFonts w:ascii="Times New Roman" w:eastAsia="仿宋" w:hAnsi="Times New Roman" w:cs="Times New Roman"/>
          <w:sz w:val="32"/>
          <w:szCs w:val="32"/>
        </w:rPr>
      </w:pPr>
    </w:p>
    <w:p w:rsidR="006B3406" w:rsidRDefault="006B3406">
      <w:pPr>
        <w:ind w:firstLineChars="450" w:firstLine="1440"/>
        <w:rPr>
          <w:rFonts w:ascii="Times New Roman" w:eastAsia="仿宋" w:hAnsi="Times New Roman" w:cs="Times New Roman"/>
          <w:sz w:val="32"/>
          <w:szCs w:val="32"/>
        </w:rPr>
      </w:pPr>
    </w:p>
    <w:p w:rsidR="006B3406" w:rsidRDefault="006B3406">
      <w:pPr>
        <w:ind w:firstLineChars="450" w:firstLine="1440"/>
        <w:rPr>
          <w:rFonts w:ascii="Times New Roman" w:eastAsia="仿宋" w:hAnsi="Times New Roman" w:cs="Times New Roman"/>
          <w:sz w:val="32"/>
          <w:szCs w:val="32"/>
        </w:rPr>
      </w:pPr>
    </w:p>
    <w:p w:rsidR="006B3406" w:rsidRDefault="006B3406">
      <w:pPr>
        <w:ind w:firstLineChars="450" w:firstLine="1440"/>
        <w:rPr>
          <w:rFonts w:ascii="Times New Roman" w:eastAsia="仿宋" w:hAnsi="Times New Roman" w:cs="Times New Roman"/>
          <w:sz w:val="32"/>
          <w:szCs w:val="32"/>
        </w:rPr>
      </w:pPr>
    </w:p>
    <w:p w:rsidR="006B3406" w:rsidRDefault="006B3406">
      <w:pPr>
        <w:ind w:firstLineChars="450" w:firstLine="1440"/>
        <w:rPr>
          <w:rFonts w:ascii="Times New Roman" w:eastAsia="仿宋" w:hAnsi="Times New Roman" w:cs="Times New Roman"/>
          <w:sz w:val="32"/>
          <w:szCs w:val="32"/>
        </w:rPr>
      </w:pPr>
    </w:p>
    <w:p w:rsidR="006B3406" w:rsidRDefault="006B3406">
      <w:pPr>
        <w:ind w:firstLineChars="450" w:firstLine="1440"/>
        <w:rPr>
          <w:rFonts w:ascii="Times New Roman" w:eastAsia="仿宋" w:hAnsi="Times New Roman" w:cs="Times New Roman"/>
          <w:sz w:val="32"/>
          <w:szCs w:val="32"/>
        </w:rPr>
      </w:pPr>
    </w:p>
    <w:p w:rsidR="006B3406" w:rsidRDefault="006942D7">
      <w:pPr>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24</w:t>
      </w:r>
      <w:r>
        <w:rPr>
          <w:rFonts w:ascii="Times New Roman" w:eastAsia="仿宋" w:hAnsi="Times New Roman" w:cs="Times New Roman"/>
          <w:sz w:val="32"/>
          <w:szCs w:val="32"/>
        </w:rPr>
        <w:t>年</w:t>
      </w:r>
      <w:r w:rsidR="007C3F9A">
        <w:rPr>
          <w:rFonts w:ascii="Times New Roman" w:eastAsia="仿宋" w:hAnsi="Times New Roman" w:cs="Times New Roman"/>
          <w:sz w:val="32"/>
          <w:szCs w:val="32"/>
        </w:rPr>
        <w:t>2</w:t>
      </w:r>
      <w:r>
        <w:rPr>
          <w:rFonts w:ascii="Times New Roman" w:eastAsia="仿宋" w:hAnsi="Times New Roman" w:cs="Times New Roman"/>
          <w:sz w:val="32"/>
          <w:szCs w:val="32"/>
        </w:rPr>
        <w:t>月</w:t>
      </w:r>
      <w:r w:rsidR="007C3F9A">
        <w:rPr>
          <w:rFonts w:ascii="Times New Roman" w:eastAsia="仿宋" w:hAnsi="Times New Roman" w:cs="Times New Roman"/>
          <w:sz w:val="32"/>
          <w:szCs w:val="32"/>
        </w:rPr>
        <w:t>23</w:t>
      </w:r>
      <w:r>
        <w:rPr>
          <w:rFonts w:ascii="Times New Roman" w:eastAsia="仿宋" w:hAnsi="Times New Roman" w:cs="Times New Roman"/>
          <w:sz w:val="32"/>
          <w:szCs w:val="32"/>
        </w:rPr>
        <w:t>日</w:t>
      </w:r>
    </w:p>
    <w:p w:rsidR="006B3406" w:rsidRDefault="006942D7">
      <w:pPr>
        <w:jc w:val="center"/>
        <w:rPr>
          <w:rFonts w:ascii="仿宋" w:eastAsia="仿宋" w:hAnsi="仿宋" w:cs="Times New Roman"/>
          <w:sz w:val="32"/>
          <w:szCs w:val="32"/>
        </w:rPr>
      </w:pPr>
      <w:r>
        <w:rPr>
          <w:rFonts w:ascii="仿宋" w:eastAsia="仿宋" w:hAnsi="仿宋" w:cs="Times New Roman" w:hint="eastAsia"/>
          <w:sz w:val="32"/>
          <w:szCs w:val="32"/>
        </w:rPr>
        <w:t>唐山</w:t>
      </w:r>
      <w:r>
        <w:rPr>
          <w:rFonts w:ascii="仿宋" w:eastAsia="仿宋" w:hAnsi="仿宋" w:cs="Times New Roman"/>
          <w:sz w:val="32"/>
          <w:szCs w:val="32"/>
        </w:rPr>
        <w:t>市</w:t>
      </w:r>
      <w:r>
        <w:rPr>
          <w:rFonts w:ascii="仿宋" w:eastAsia="仿宋" w:hAnsi="仿宋" w:cs="Times New Roman" w:hint="eastAsia"/>
          <w:sz w:val="32"/>
          <w:szCs w:val="32"/>
        </w:rPr>
        <w:t>丰润区</w:t>
      </w:r>
      <w:r w:rsidR="007C3F9A">
        <w:rPr>
          <w:rFonts w:ascii="仿宋" w:eastAsia="仿宋" w:hAnsi="仿宋" w:cs="Times New Roman" w:hint="eastAsia"/>
          <w:sz w:val="32"/>
          <w:szCs w:val="32"/>
        </w:rPr>
        <w:t>工信局</w:t>
      </w:r>
      <w:r>
        <w:rPr>
          <w:rFonts w:ascii="仿宋" w:eastAsia="仿宋" w:hAnsi="仿宋" w:cs="Times New Roman" w:hint="eastAsia"/>
          <w:sz w:val="32"/>
          <w:szCs w:val="32"/>
        </w:rPr>
        <w:t>编</w:t>
      </w:r>
      <w:r>
        <w:rPr>
          <w:rFonts w:ascii="仿宋" w:eastAsia="仿宋" w:hAnsi="仿宋" w:cs="Times New Roman"/>
          <w:sz w:val="32"/>
          <w:szCs w:val="32"/>
        </w:rPr>
        <w:t>制</w:t>
      </w:r>
    </w:p>
    <w:p w:rsidR="006B3406" w:rsidRDefault="006942D7">
      <w:pPr>
        <w:widowControl/>
        <w:jc w:val="left"/>
        <w:rPr>
          <w:rFonts w:asciiTheme="minorEastAsia" w:hAnsiTheme="minorEastAsia" w:cs="Times New Roman"/>
          <w:b/>
          <w:sz w:val="44"/>
          <w:szCs w:val="44"/>
        </w:rPr>
      </w:pPr>
      <w:r>
        <w:rPr>
          <w:rFonts w:asciiTheme="minorEastAsia" w:hAnsiTheme="minorEastAsia" w:cs="Times New Roman"/>
          <w:b/>
          <w:sz w:val="44"/>
          <w:szCs w:val="44"/>
        </w:rPr>
        <w:br w:type="page"/>
      </w:r>
    </w:p>
    <w:p w:rsidR="006B3406" w:rsidRDefault="006942D7">
      <w:pPr>
        <w:jc w:val="center"/>
        <w:rPr>
          <w:rFonts w:asciiTheme="minorEastAsia" w:hAnsiTheme="minorEastAsia" w:cs="Times New Roman"/>
          <w:b/>
          <w:sz w:val="44"/>
          <w:szCs w:val="44"/>
        </w:rPr>
      </w:pPr>
      <w:r>
        <w:rPr>
          <w:rFonts w:asciiTheme="minorEastAsia" w:hAnsiTheme="minorEastAsia" w:cs="Times New Roman"/>
          <w:b/>
          <w:sz w:val="44"/>
          <w:szCs w:val="44"/>
        </w:rPr>
        <w:lastRenderedPageBreak/>
        <w:t>部门</w:t>
      </w:r>
      <w:r>
        <w:rPr>
          <w:rFonts w:asciiTheme="minorEastAsia" w:hAnsiTheme="minorEastAsia" w:cs="Times New Roman" w:hint="eastAsia"/>
          <w:b/>
          <w:sz w:val="44"/>
          <w:szCs w:val="44"/>
        </w:rPr>
        <w:t>整体</w:t>
      </w:r>
      <w:r>
        <w:rPr>
          <w:rFonts w:asciiTheme="minorEastAsia" w:hAnsiTheme="minorEastAsia" w:cs="Times New Roman"/>
          <w:b/>
          <w:sz w:val="44"/>
          <w:szCs w:val="44"/>
        </w:rPr>
        <w:t>绩效自评情况</w:t>
      </w:r>
    </w:p>
    <w:p w:rsidR="006B3406" w:rsidRDefault="006942D7">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一、部门</w:t>
      </w:r>
      <w:r>
        <w:rPr>
          <w:rFonts w:ascii="Times New Roman" w:eastAsia="黑体" w:hAnsi="Times New Roman" w:cs="Times New Roman" w:hint="eastAsia"/>
          <w:b/>
          <w:sz w:val="32"/>
          <w:szCs w:val="32"/>
        </w:rPr>
        <w:t>整体</w:t>
      </w:r>
      <w:r>
        <w:rPr>
          <w:rFonts w:ascii="Times New Roman" w:eastAsia="黑体" w:hAnsi="Times New Roman" w:cs="Times New Roman"/>
          <w:b/>
          <w:sz w:val="32"/>
          <w:szCs w:val="32"/>
        </w:rPr>
        <w:t>概况</w:t>
      </w:r>
    </w:p>
    <w:p w:rsidR="006B3406" w:rsidRDefault="006942D7" w:rsidP="000903A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本部门</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23</w:t>
      </w:r>
      <w:r>
        <w:rPr>
          <w:rFonts w:ascii="Times New Roman" w:eastAsia="仿宋" w:hAnsi="Times New Roman" w:cs="Times New Roman"/>
          <w:sz w:val="32"/>
          <w:szCs w:val="32"/>
        </w:rPr>
        <w:t>年度申请预算</w:t>
      </w:r>
      <w:r>
        <w:rPr>
          <w:rFonts w:ascii="Times New Roman" w:eastAsia="仿宋" w:hAnsi="Times New Roman" w:cs="Times New Roman" w:hint="eastAsia"/>
          <w:sz w:val="32"/>
          <w:szCs w:val="32"/>
        </w:rPr>
        <w:t>资金</w:t>
      </w:r>
      <w:r w:rsidR="000903AC">
        <w:rPr>
          <w:rFonts w:ascii="Times New Roman" w:eastAsia="仿宋" w:hAnsi="Times New Roman" w:cs="Times New Roman"/>
          <w:sz w:val="32"/>
          <w:szCs w:val="32"/>
        </w:rPr>
        <w:t>4544.33</w:t>
      </w:r>
      <w:r>
        <w:rPr>
          <w:rFonts w:ascii="Times New Roman" w:eastAsia="仿宋" w:hAnsi="Times New Roman" w:cs="Times New Roman" w:hint="eastAsia"/>
          <w:sz w:val="32"/>
          <w:szCs w:val="32"/>
        </w:rPr>
        <w:t>万元，实际支出</w:t>
      </w:r>
      <w:r w:rsidR="000903AC">
        <w:rPr>
          <w:rFonts w:ascii="Times New Roman" w:eastAsia="仿宋" w:hAnsi="Times New Roman" w:cs="Times New Roman"/>
          <w:sz w:val="32"/>
          <w:szCs w:val="32"/>
        </w:rPr>
        <w:t>4544.33</w:t>
      </w:r>
      <w:r>
        <w:rPr>
          <w:rFonts w:ascii="Times New Roman" w:eastAsia="仿宋" w:hAnsi="Times New Roman" w:cs="Times New Roman" w:hint="eastAsia"/>
          <w:sz w:val="32"/>
          <w:szCs w:val="32"/>
        </w:rPr>
        <w:t>万元，预算执行率</w:t>
      </w:r>
      <w:r w:rsidR="000903AC">
        <w:rPr>
          <w:rFonts w:ascii="Times New Roman" w:eastAsia="仿宋" w:hAnsi="Times New Roman" w:cs="Times New Roman"/>
          <w:sz w:val="32"/>
          <w:szCs w:val="32"/>
        </w:rPr>
        <w:t>100</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。其中：专项</w:t>
      </w:r>
      <w:r>
        <w:rPr>
          <w:rFonts w:ascii="Times New Roman" w:eastAsia="仿宋" w:hAnsi="Times New Roman" w:cs="Times New Roman"/>
          <w:sz w:val="32"/>
          <w:szCs w:val="32"/>
        </w:rPr>
        <w:t>项目</w:t>
      </w:r>
      <w:r w:rsidR="000903AC">
        <w:rPr>
          <w:rFonts w:ascii="Times New Roman" w:eastAsia="仿宋" w:hAnsi="Times New Roman" w:cs="Times New Roman"/>
          <w:sz w:val="32"/>
          <w:szCs w:val="32"/>
        </w:rPr>
        <w:t>22</w:t>
      </w:r>
      <w:r>
        <w:rPr>
          <w:rFonts w:ascii="Times New Roman" w:eastAsia="仿宋" w:hAnsi="Times New Roman" w:cs="Times New Roman"/>
          <w:sz w:val="32"/>
          <w:szCs w:val="32"/>
        </w:rPr>
        <w:t>个，金额合计</w:t>
      </w:r>
      <w:r w:rsidR="000903AC">
        <w:rPr>
          <w:rFonts w:ascii="Times New Roman" w:eastAsia="仿宋" w:hAnsi="Times New Roman" w:cs="Times New Roman"/>
          <w:sz w:val="32"/>
          <w:szCs w:val="32"/>
        </w:rPr>
        <w:t>3320.24</w:t>
      </w:r>
      <w:r>
        <w:rPr>
          <w:rFonts w:ascii="Times New Roman" w:eastAsia="仿宋" w:hAnsi="Times New Roman" w:cs="Times New Roman"/>
          <w:sz w:val="32"/>
          <w:szCs w:val="32"/>
        </w:rPr>
        <w:t>万元，实际</w:t>
      </w:r>
      <w:r>
        <w:rPr>
          <w:rFonts w:ascii="Times New Roman" w:eastAsia="仿宋" w:hAnsi="Times New Roman" w:cs="Times New Roman" w:hint="eastAsia"/>
          <w:sz w:val="32"/>
          <w:szCs w:val="32"/>
        </w:rPr>
        <w:t>支出</w:t>
      </w:r>
      <w:r w:rsidR="000903AC">
        <w:rPr>
          <w:rFonts w:ascii="Times New Roman" w:eastAsia="仿宋" w:hAnsi="Times New Roman" w:cs="Times New Roman"/>
          <w:sz w:val="32"/>
          <w:szCs w:val="32"/>
        </w:rPr>
        <w:t>3320.24</w:t>
      </w:r>
      <w:r>
        <w:rPr>
          <w:rFonts w:ascii="Times New Roman" w:eastAsia="仿宋" w:hAnsi="Times New Roman" w:cs="Times New Roman"/>
          <w:sz w:val="32"/>
          <w:szCs w:val="32"/>
        </w:rPr>
        <w:t>万元，执行率为</w:t>
      </w:r>
      <w:r w:rsidR="000903AC">
        <w:rPr>
          <w:rFonts w:ascii="Times New Roman" w:eastAsia="仿宋" w:hAnsi="Times New Roman" w:cs="Times New Roman"/>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6B3406" w:rsidRDefault="006942D7" w:rsidP="000903AC">
      <w:pPr>
        <w:spacing w:line="56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二、部门总体绩效目标和绩效指标设定情况</w:t>
      </w:r>
    </w:p>
    <w:p w:rsidR="006B3406" w:rsidRPr="000903AC" w:rsidRDefault="000903AC" w:rsidP="001C11DE">
      <w:pPr>
        <w:ind w:firstLineChars="200" w:firstLine="640"/>
        <w:rPr>
          <w:rFonts w:ascii="Times New Roman" w:eastAsia="仿宋" w:hAnsi="Times New Roman" w:cs="Times New Roman" w:hint="eastAsia"/>
          <w:sz w:val="32"/>
          <w:szCs w:val="32"/>
        </w:rPr>
      </w:pPr>
      <w:r w:rsidRPr="000903AC">
        <w:rPr>
          <w:rFonts w:eastAsia="仿宋"/>
          <w:sz w:val="32"/>
          <w:szCs w:val="32"/>
        </w:rPr>
        <w:t>组织实施全区工业的发展规划，推进产业结构战略性调整</w:t>
      </w:r>
      <w:r w:rsidRPr="001C11DE">
        <w:rPr>
          <w:rFonts w:ascii="仿宋" w:eastAsia="仿宋" w:hAnsi="仿宋" w:cs="仿宋"/>
          <w:kern w:val="0"/>
          <w:sz w:val="32"/>
          <w:szCs w:val="32"/>
          <w:lang w:bidi="ar"/>
        </w:rPr>
        <w:t>和优化升级，推进信息化和工业化融合；推进现代产业体系建</w:t>
      </w:r>
      <w:r w:rsidRPr="000903AC">
        <w:rPr>
          <w:rFonts w:eastAsia="仿宋"/>
          <w:sz w:val="32"/>
          <w:szCs w:val="32"/>
        </w:rPr>
        <w:t>设，指导行业质量管理工作；监测分析全区工业运行态势，推进区规划内和年度计划规模内工业固定资产投资项目、工业企业技术改造投资项目实施；对全区中小企业和民营经济促进工作进行指导，</w:t>
      </w:r>
      <w:r w:rsidRPr="001C11DE">
        <w:rPr>
          <w:rFonts w:ascii="仿宋" w:eastAsia="仿宋" w:hAnsi="仿宋" w:cs="仿宋"/>
          <w:kern w:val="0"/>
          <w:sz w:val="32"/>
          <w:szCs w:val="32"/>
          <w:lang w:bidi="ar"/>
        </w:rPr>
        <w:t>促进全区中小企业发展和民营经济发展</w:t>
      </w:r>
      <w:r w:rsidRPr="000903AC">
        <w:rPr>
          <w:rFonts w:eastAsia="仿宋"/>
          <w:sz w:val="32"/>
          <w:szCs w:val="32"/>
        </w:rPr>
        <w:t>；指导行业技术创新和技术进步，以先进适用技术改造提升传统产业；指导工业行业加强安全生产管理，负责民爆行业生产流通的监督管理和安全生产工作；推进工业领域信息化工作，指导协调通讯业发展；落实创新驱动发展战略方针，推进全区创新体系建设和科技体制改革，提升科技开放与合作的水平，提高科技成果转化和产业化能力；应用示范一批改善生态环境、惠及民生的新技术、新工艺、新产品，科技支撑改善环境和惠及民生能力增强。</w:t>
      </w:r>
    </w:p>
    <w:p w:rsidR="006B3406" w:rsidRPr="006942D7" w:rsidRDefault="006942D7" w:rsidP="006942D7">
      <w:pPr>
        <w:spacing w:line="560" w:lineRule="exact"/>
        <w:ind w:firstLineChars="200" w:firstLine="643"/>
        <w:rPr>
          <w:rFonts w:ascii="Times New Roman" w:eastAsia="黑体" w:hAnsi="Times New Roman" w:cs="Times New Roman"/>
          <w:b/>
          <w:sz w:val="32"/>
          <w:szCs w:val="32"/>
        </w:rPr>
      </w:pPr>
      <w:r w:rsidRPr="006942D7">
        <w:rPr>
          <w:rFonts w:ascii="Times New Roman" w:eastAsia="黑体" w:hAnsi="Times New Roman" w:cs="Times New Roman"/>
          <w:b/>
          <w:sz w:val="32"/>
          <w:szCs w:val="32"/>
        </w:rPr>
        <w:t>三、绩效评价组织情况</w:t>
      </w:r>
    </w:p>
    <w:p w:rsidR="006B3406" w:rsidRPr="001C11DE" w:rsidRDefault="006942D7">
      <w:pPr>
        <w:ind w:firstLineChars="200" w:firstLine="640"/>
        <w:rPr>
          <w:rFonts w:ascii="仿宋" w:eastAsia="仿宋" w:hAnsi="仿宋" w:cs="仿宋"/>
          <w:kern w:val="0"/>
          <w:sz w:val="32"/>
          <w:szCs w:val="32"/>
          <w:lang w:bidi="ar"/>
        </w:rPr>
      </w:pPr>
      <w:r w:rsidRPr="001C11DE">
        <w:rPr>
          <w:rFonts w:ascii="仿宋" w:eastAsia="仿宋" w:hAnsi="仿宋" w:cs="仿宋"/>
          <w:kern w:val="0"/>
          <w:sz w:val="32"/>
          <w:szCs w:val="32"/>
          <w:lang w:bidi="ar"/>
        </w:rPr>
        <w:lastRenderedPageBreak/>
        <w:t>本次绩效评价项目</w:t>
      </w:r>
      <w:r w:rsidR="000903AC" w:rsidRPr="001C11DE">
        <w:rPr>
          <w:rFonts w:ascii="仿宋" w:eastAsia="仿宋" w:hAnsi="仿宋" w:cs="仿宋"/>
          <w:kern w:val="0"/>
          <w:sz w:val="32"/>
          <w:szCs w:val="32"/>
          <w:lang w:bidi="ar"/>
        </w:rPr>
        <w:t>22</w:t>
      </w:r>
      <w:r w:rsidRPr="001C11DE">
        <w:rPr>
          <w:rFonts w:ascii="仿宋" w:eastAsia="仿宋" w:hAnsi="仿宋" w:cs="仿宋"/>
          <w:kern w:val="0"/>
          <w:sz w:val="32"/>
          <w:szCs w:val="32"/>
          <w:lang w:bidi="ar"/>
        </w:rPr>
        <w:t>个，</w:t>
      </w:r>
      <w:r w:rsidRPr="001C11DE">
        <w:rPr>
          <w:rFonts w:ascii="仿宋" w:eastAsia="仿宋" w:hAnsi="仿宋" w:cs="仿宋" w:hint="eastAsia"/>
          <w:kern w:val="0"/>
          <w:sz w:val="32"/>
          <w:szCs w:val="32"/>
          <w:lang w:bidi="ar"/>
        </w:rPr>
        <w:t>占</w:t>
      </w:r>
      <w:r w:rsidRPr="001C11DE">
        <w:rPr>
          <w:rFonts w:ascii="仿宋" w:eastAsia="仿宋" w:hAnsi="仿宋" w:cs="仿宋"/>
          <w:kern w:val="0"/>
          <w:sz w:val="32"/>
          <w:szCs w:val="32"/>
          <w:lang w:bidi="ar"/>
        </w:rPr>
        <w:t>部门项目总数的</w:t>
      </w:r>
      <w:r w:rsidR="000903AC" w:rsidRPr="001C11DE">
        <w:rPr>
          <w:rFonts w:ascii="仿宋" w:eastAsia="仿宋" w:hAnsi="仿宋" w:cs="仿宋"/>
          <w:kern w:val="0"/>
          <w:sz w:val="32"/>
          <w:szCs w:val="32"/>
          <w:lang w:bidi="ar"/>
        </w:rPr>
        <w:t>100</w:t>
      </w:r>
      <w:r w:rsidRPr="001C11DE">
        <w:rPr>
          <w:rFonts w:ascii="仿宋" w:eastAsia="仿宋" w:hAnsi="仿宋" w:cs="仿宋"/>
          <w:kern w:val="0"/>
          <w:sz w:val="32"/>
          <w:szCs w:val="32"/>
          <w:lang w:bidi="ar"/>
        </w:rPr>
        <w:t>%</w:t>
      </w:r>
      <w:r w:rsidRPr="001C11DE">
        <w:rPr>
          <w:rFonts w:ascii="仿宋" w:eastAsia="仿宋" w:hAnsi="仿宋" w:cs="仿宋"/>
          <w:kern w:val="0"/>
          <w:sz w:val="32"/>
          <w:szCs w:val="32"/>
          <w:lang w:bidi="ar"/>
        </w:rPr>
        <w:t>，涉及金额</w:t>
      </w:r>
      <w:r w:rsidR="000903AC" w:rsidRPr="001C11DE">
        <w:rPr>
          <w:rFonts w:ascii="仿宋" w:eastAsia="仿宋" w:hAnsi="仿宋" w:cs="仿宋"/>
          <w:kern w:val="0"/>
          <w:sz w:val="32"/>
          <w:szCs w:val="32"/>
          <w:lang w:bidi="ar"/>
        </w:rPr>
        <w:t>3320.24</w:t>
      </w:r>
      <w:r w:rsidRPr="001C11DE">
        <w:rPr>
          <w:rFonts w:ascii="仿宋" w:eastAsia="仿宋" w:hAnsi="仿宋" w:cs="仿宋"/>
          <w:kern w:val="0"/>
          <w:sz w:val="32"/>
          <w:szCs w:val="32"/>
          <w:lang w:bidi="ar"/>
        </w:rPr>
        <w:t>万元。采取成立本部门绩效自评工作组</w:t>
      </w:r>
      <w:r w:rsidRPr="001C11DE">
        <w:rPr>
          <w:rFonts w:ascii="仿宋" w:eastAsia="仿宋" w:hAnsi="仿宋" w:cs="仿宋" w:hint="eastAsia"/>
          <w:kern w:val="0"/>
          <w:sz w:val="32"/>
          <w:szCs w:val="32"/>
          <w:lang w:bidi="ar"/>
        </w:rPr>
        <w:t>的</w:t>
      </w:r>
      <w:r w:rsidRPr="001C11DE">
        <w:rPr>
          <w:rFonts w:ascii="仿宋" w:eastAsia="仿宋" w:hAnsi="仿宋" w:cs="仿宋"/>
          <w:kern w:val="0"/>
          <w:sz w:val="32"/>
          <w:szCs w:val="32"/>
          <w:lang w:bidi="ar"/>
        </w:rPr>
        <w:t>形式，本着客观、公正、公开的原则开展自评工作，所有项目的绩效自评均设计了合理、明晰、可考核的、关键性产出指标和效果指标。自评结果真实可靠。</w:t>
      </w:r>
    </w:p>
    <w:p w:rsidR="006B3406" w:rsidRPr="006942D7" w:rsidRDefault="006942D7" w:rsidP="006942D7">
      <w:pPr>
        <w:spacing w:line="560" w:lineRule="exact"/>
        <w:ind w:firstLineChars="200" w:firstLine="643"/>
        <w:rPr>
          <w:rFonts w:ascii="Times New Roman" w:eastAsia="黑体" w:hAnsi="Times New Roman" w:cs="Times New Roman"/>
          <w:b/>
          <w:sz w:val="32"/>
          <w:szCs w:val="32"/>
        </w:rPr>
      </w:pPr>
      <w:r w:rsidRPr="006942D7">
        <w:rPr>
          <w:rFonts w:ascii="Times New Roman" w:eastAsia="黑体" w:hAnsi="Times New Roman" w:cs="Times New Roman"/>
          <w:b/>
          <w:sz w:val="32"/>
          <w:szCs w:val="32"/>
        </w:rPr>
        <w:t>四、绩效实现情况分析</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（一）促进工业转型升级</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改造提升全区传统产业水平，调整产业结构，转变经济发展方式。</w:t>
      </w:r>
      <w:r w:rsidRPr="001C11DE">
        <w:rPr>
          <w:rFonts w:ascii="仿宋" w:eastAsia="仿宋" w:hAnsi="仿宋" w:cs="仿宋" w:hint="eastAsia"/>
          <w:sz w:val="32"/>
          <w:szCs w:val="32"/>
          <w:lang w:eastAsia="zh-CN" w:bidi="ar"/>
        </w:rPr>
        <w:t>按照省市技术改造投资导向目录，引导企业实施技术改造建立工业技改项目库，调度各乡镇街道经开区加强工业和技改投资项目储备力度</w:t>
      </w:r>
      <w:r w:rsidRPr="001C11DE">
        <w:rPr>
          <w:rFonts w:ascii="仿宋" w:eastAsia="仿宋" w:hAnsi="仿宋" w:cs="仿宋" w:hint="eastAsia"/>
          <w:sz w:val="32"/>
          <w:szCs w:val="32"/>
          <w:lang w:eastAsia="zh-CN" w:bidi="ar"/>
        </w:rPr>
        <w:t>。</w:t>
      </w:r>
    </w:p>
    <w:p w:rsidR="00F97036" w:rsidRPr="001C11DE" w:rsidRDefault="00F97036" w:rsidP="00F97036">
      <w:pPr>
        <w:pStyle w:val="-0"/>
        <w:ind w:firstLineChars="100" w:firstLine="320"/>
        <w:rPr>
          <w:rFonts w:ascii="仿宋" w:eastAsia="仿宋" w:hAnsi="仿宋" w:cs="仿宋"/>
          <w:sz w:val="32"/>
          <w:szCs w:val="32"/>
          <w:lang w:eastAsia="zh-CN" w:bidi="ar"/>
        </w:rPr>
      </w:pPr>
      <w:r w:rsidRPr="001C11DE">
        <w:rPr>
          <w:rFonts w:ascii="仿宋" w:eastAsia="仿宋" w:hAnsi="仿宋" w:cs="仿宋"/>
          <w:sz w:val="32"/>
          <w:szCs w:val="32"/>
          <w:lang w:eastAsia="zh-CN" w:bidi="ar"/>
        </w:rPr>
        <w:t>（二）实行工业和信息化监测管理</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培育规模以上工业企业，新增规模以上工业企业</w:t>
      </w:r>
      <w:r w:rsidRPr="001C11DE">
        <w:rPr>
          <w:rFonts w:ascii="仿宋" w:eastAsia="仿宋" w:hAnsi="仿宋" w:cs="仿宋"/>
          <w:sz w:val="32"/>
          <w:szCs w:val="32"/>
          <w:lang w:eastAsia="zh-CN" w:bidi="ar"/>
        </w:rPr>
        <w:t>16</w:t>
      </w:r>
      <w:r w:rsidRPr="001C11DE">
        <w:rPr>
          <w:rFonts w:ascii="仿宋" w:eastAsia="仿宋" w:hAnsi="仿宋" w:cs="仿宋"/>
          <w:sz w:val="32"/>
          <w:szCs w:val="32"/>
          <w:lang w:eastAsia="zh-CN" w:bidi="ar"/>
        </w:rPr>
        <w:t>家；安全生产管理工作完成率，年度安全生产管理工作完成情况全部工作任务的比例大于等于80%；民爆行业企业监管</w:t>
      </w:r>
      <w:r w:rsidRPr="001C11DE">
        <w:rPr>
          <w:rFonts w:ascii="仿宋" w:eastAsia="仿宋" w:hAnsi="仿宋" w:cs="仿宋" w:hint="eastAsia"/>
          <w:sz w:val="32"/>
          <w:szCs w:val="32"/>
          <w:lang w:eastAsia="zh-CN" w:bidi="ar"/>
        </w:rPr>
        <w:t>到位</w:t>
      </w:r>
      <w:r w:rsidRPr="001C11DE">
        <w:rPr>
          <w:rFonts w:ascii="仿宋" w:eastAsia="仿宋" w:hAnsi="仿宋" w:cs="仿宋"/>
          <w:sz w:val="32"/>
          <w:szCs w:val="32"/>
          <w:lang w:eastAsia="zh-CN" w:bidi="ar"/>
        </w:rPr>
        <w:t>。</w:t>
      </w:r>
    </w:p>
    <w:p w:rsidR="00F97036" w:rsidRPr="001C11DE" w:rsidRDefault="00F97036" w:rsidP="00F97036">
      <w:pPr>
        <w:pStyle w:val="-0"/>
        <w:ind w:firstLineChars="100" w:firstLine="320"/>
        <w:rPr>
          <w:rFonts w:ascii="仿宋" w:eastAsia="仿宋" w:hAnsi="仿宋" w:cs="仿宋"/>
          <w:sz w:val="32"/>
          <w:szCs w:val="32"/>
          <w:lang w:eastAsia="zh-CN" w:bidi="ar"/>
        </w:rPr>
      </w:pPr>
      <w:r w:rsidRPr="001C11DE">
        <w:rPr>
          <w:rFonts w:ascii="仿宋" w:eastAsia="仿宋" w:hAnsi="仿宋" w:cs="仿宋"/>
          <w:sz w:val="32"/>
          <w:szCs w:val="32"/>
          <w:lang w:eastAsia="zh-CN" w:bidi="ar"/>
        </w:rPr>
        <w:t>（三）促进中小企业和民营经济发展</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hint="eastAsia"/>
          <w:sz w:val="32"/>
          <w:szCs w:val="32"/>
          <w:lang w:eastAsia="zh-CN" w:bidi="ar"/>
        </w:rPr>
        <w:t>积极开展创新型中小企业的培育工作，制定创新型中小企业培育方案、《创新型中小企业申报明白纸》，组织开展4场全区性质的专精特新中小企业、创新型中小企业专场培训会，对辖区内150余家企业进行专场培训</w:t>
      </w:r>
      <w:r w:rsidRPr="001C11DE">
        <w:rPr>
          <w:rFonts w:ascii="仿宋" w:eastAsia="仿宋" w:hAnsi="仿宋" w:cs="仿宋" w:hint="eastAsia"/>
          <w:sz w:val="32"/>
          <w:szCs w:val="32"/>
          <w:lang w:eastAsia="zh-CN" w:bidi="ar"/>
        </w:rPr>
        <w:t>。</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hint="eastAsia"/>
          <w:sz w:val="32"/>
          <w:szCs w:val="32"/>
          <w:lang w:eastAsia="zh-CN" w:bidi="ar"/>
        </w:rPr>
        <w:t>推荐河北实丰绿建科技发展有限公司、帝人汽车技术（唐山）有限公司等7家申报第五批专精特新“小巨人”企业</w:t>
      </w:r>
      <w:r w:rsidRPr="001C11DE">
        <w:rPr>
          <w:rFonts w:ascii="仿宋" w:eastAsia="仿宋" w:hAnsi="仿宋" w:cs="仿宋" w:hint="eastAsia"/>
          <w:sz w:val="32"/>
          <w:szCs w:val="32"/>
          <w:lang w:eastAsia="zh-CN" w:bidi="ar"/>
        </w:rPr>
        <w:t>。</w:t>
      </w:r>
      <w:r w:rsidRPr="001C11DE">
        <w:rPr>
          <w:rFonts w:ascii="仿宋" w:eastAsia="仿宋" w:hAnsi="仿宋" w:cs="仿宋" w:hint="eastAsia"/>
          <w:sz w:val="32"/>
          <w:szCs w:val="32"/>
          <w:lang w:eastAsia="zh-CN" w:bidi="ar"/>
        </w:rPr>
        <w:t>建立“专精特新”中小企业的梯度培育机制，对重点企业发展进行全程</w:t>
      </w:r>
      <w:r w:rsidRPr="001C11DE">
        <w:rPr>
          <w:rFonts w:ascii="仿宋" w:eastAsia="仿宋" w:hAnsi="仿宋" w:cs="仿宋" w:hint="eastAsia"/>
          <w:sz w:val="32"/>
          <w:szCs w:val="32"/>
          <w:lang w:eastAsia="zh-CN" w:bidi="ar"/>
        </w:rPr>
        <w:lastRenderedPageBreak/>
        <w:t>跟踪，充分挖掘企业“专”“精”“特”“新”方面亮点，指导企业向“专精特新”中小企业方向发展。</w:t>
      </w:r>
    </w:p>
    <w:p w:rsidR="00F97036" w:rsidRPr="001C11DE" w:rsidRDefault="00F97036" w:rsidP="00F97036">
      <w:pPr>
        <w:pStyle w:val="-0"/>
        <w:rPr>
          <w:rFonts w:ascii="仿宋" w:eastAsia="仿宋" w:hAnsi="仿宋" w:cs="仿宋" w:hint="eastAsia"/>
          <w:sz w:val="32"/>
          <w:szCs w:val="32"/>
          <w:lang w:eastAsia="zh-CN" w:bidi="ar"/>
        </w:rPr>
      </w:pPr>
      <w:r w:rsidRPr="001C11DE">
        <w:rPr>
          <w:rFonts w:ascii="仿宋" w:eastAsia="仿宋" w:hAnsi="仿宋" w:cs="仿宋" w:hint="eastAsia"/>
          <w:sz w:val="32"/>
          <w:szCs w:val="32"/>
          <w:lang w:eastAsia="zh-CN" w:bidi="ar"/>
        </w:rPr>
        <w:t>组织工业企业研发机构认定</w:t>
      </w:r>
      <w:r w:rsidRPr="001C11DE">
        <w:rPr>
          <w:rFonts w:ascii="仿宋" w:eastAsia="仿宋" w:hAnsi="仿宋" w:cs="仿宋" w:hint="eastAsia"/>
          <w:sz w:val="32"/>
          <w:szCs w:val="32"/>
          <w:lang w:eastAsia="zh-CN" w:bidi="ar"/>
        </w:rPr>
        <w:t>，</w:t>
      </w:r>
      <w:r w:rsidRPr="001C11DE">
        <w:rPr>
          <w:rFonts w:ascii="仿宋" w:eastAsia="仿宋" w:hAnsi="仿宋" w:cs="仿宋" w:hint="eastAsia"/>
          <w:sz w:val="32"/>
          <w:szCs w:val="32"/>
          <w:lang w:eastAsia="zh-CN" w:bidi="ar"/>
        </w:rPr>
        <w:t>鼓励研发机构提档升级，增强企业自主创新能力。</w:t>
      </w:r>
      <w:r w:rsidRPr="001C11DE">
        <w:rPr>
          <w:rFonts w:ascii="仿宋" w:eastAsia="仿宋" w:hAnsi="仿宋" w:cs="仿宋" w:hint="eastAsia"/>
          <w:sz w:val="32"/>
          <w:szCs w:val="32"/>
          <w:lang w:eastAsia="zh-CN" w:bidi="ar"/>
        </w:rPr>
        <w:t>2</w:t>
      </w:r>
      <w:r w:rsidRPr="001C11DE">
        <w:rPr>
          <w:rFonts w:ascii="仿宋" w:eastAsia="仿宋" w:hAnsi="仿宋" w:cs="仿宋"/>
          <w:sz w:val="32"/>
          <w:szCs w:val="32"/>
          <w:lang w:eastAsia="zh-CN" w:bidi="ar"/>
        </w:rPr>
        <w:t>023</w:t>
      </w:r>
      <w:r w:rsidRPr="001C11DE">
        <w:rPr>
          <w:rFonts w:ascii="仿宋" w:eastAsia="仿宋" w:hAnsi="仿宋" w:cs="仿宋" w:hint="eastAsia"/>
          <w:sz w:val="32"/>
          <w:szCs w:val="32"/>
          <w:lang w:eastAsia="zh-CN" w:bidi="ar"/>
        </w:rPr>
        <w:t>年以来，共组织认定A级工业企业研发机构3家；B级工业企业研发机构8家；C级工业企业研发机构19家，新增规模以上企业工业企业研发机构1</w:t>
      </w:r>
      <w:r w:rsidRPr="001C11DE">
        <w:rPr>
          <w:rFonts w:ascii="仿宋" w:eastAsia="仿宋" w:hAnsi="仿宋" w:cs="仿宋"/>
          <w:sz w:val="32"/>
          <w:szCs w:val="32"/>
          <w:lang w:eastAsia="zh-CN" w:bidi="ar"/>
        </w:rPr>
        <w:t>7</w:t>
      </w:r>
      <w:r w:rsidRPr="001C11DE">
        <w:rPr>
          <w:rFonts w:ascii="仿宋" w:eastAsia="仿宋" w:hAnsi="仿宋" w:cs="仿宋" w:hint="eastAsia"/>
          <w:sz w:val="32"/>
          <w:szCs w:val="32"/>
          <w:lang w:eastAsia="zh-CN" w:bidi="ar"/>
        </w:rPr>
        <w:t>家。</w:t>
      </w:r>
      <w:r w:rsidRPr="001C11DE">
        <w:rPr>
          <w:rFonts w:ascii="仿宋" w:eastAsia="仿宋" w:hAnsi="仿宋" w:cs="仿宋" w:hint="eastAsia"/>
          <w:sz w:val="32"/>
          <w:szCs w:val="32"/>
          <w:lang w:eastAsia="zh-CN" w:bidi="ar"/>
        </w:rPr>
        <w:t>推进工业设计产业化发展，</w:t>
      </w:r>
      <w:r w:rsidRPr="001C11DE">
        <w:rPr>
          <w:rFonts w:ascii="仿宋" w:eastAsia="仿宋" w:hAnsi="仿宋" w:cs="仿宋" w:hint="eastAsia"/>
          <w:sz w:val="32"/>
          <w:szCs w:val="32"/>
          <w:lang w:eastAsia="zh-CN" w:bidi="ar"/>
        </w:rPr>
        <w:t>加强工业设计中心建设。组织实丰绿建等</w:t>
      </w:r>
      <w:r w:rsidRPr="001C11DE">
        <w:rPr>
          <w:rFonts w:ascii="仿宋" w:eastAsia="仿宋" w:hAnsi="仿宋" w:cs="仿宋"/>
          <w:sz w:val="32"/>
          <w:szCs w:val="32"/>
          <w:lang w:eastAsia="zh-CN" w:bidi="ar"/>
        </w:rPr>
        <w:t>3</w:t>
      </w:r>
      <w:r w:rsidRPr="001C11DE">
        <w:rPr>
          <w:rFonts w:ascii="仿宋" w:eastAsia="仿宋" w:hAnsi="仿宋" w:cs="仿宋" w:hint="eastAsia"/>
          <w:sz w:val="32"/>
          <w:szCs w:val="32"/>
          <w:lang w:eastAsia="zh-CN" w:bidi="ar"/>
        </w:rPr>
        <w:t>家企业申报市级工业设计中心；推进工业设计成果转化及购买工业设计服务，推荐中车唐山公司等骨干企业申报省级工业设计成果转化项目4个。</w:t>
      </w:r>
      <w:r w:rsidRPr="001C11DE">
        <w:rPr>
          <w:rFonts w:ascii="仿宋" w:eastAsia="仿宋" w:hAnsi="仿宋" w:cs="仿宋" w:hint="eastAsia"/>
          <w:sz w:val="32"/>
          <w:szCs w:val="32"/>
          <w:lang w:eastAsia="zh-CN" w:bidi="ar"/>
        </w:rPr>
        <w:t>推动企业技术创新，</w:t>
      </w:r>
      <w:r w:rsidRPr="001C11DE">
        <w:rPr>
          <w:rFonts w:ascii="仿宋" w:eastAsia="仿宋" w:hAnsi="仿宋" w:cs="仿宋" w:hint="eastAsia"/>
          <w:sz w:val="32"/>
          <w:szCs w:val="32"/>
          <w:lang w:eastAsia="zh-CN" w:bidi="ar"/>
        </w:rPr>
        <w:t>申报市技术创新示范企业3家，上报科技成果转化项目21项，推荐</w:t>
      </w:r>
      <w:r w:rsidRPr="001C11DE">
        <w:rPr>
          <w:rFonts w:ascii="仿宋" w:eastAsia="仿宋" w:hAnsi="仿宋" w:cs="仿宋"/>
          <w:sz w:val="32"/>
          <w:szCs w:val="32"/>
          <w:lang w:eastAsia="zh-CN" w:bidi="ar"/>
        </w:rPr>
        <w:t>41</w:t>
      </w:r>
      <w:r w:rsidRPr="001C11DE">
        <w:rPr>
          <w:rFonts w:ascii="仿宋" w:eastAsia="仿宋" w:hAnsi="仿宋" w:cs="仿宋" w:hint="eastAsia"/>
          <w:sz w:val="32"/>
          <w:szCs w:val="32"/>
          <w:lang w:eastAsia="zh-CN" w:bidi="ar"/>
        </w:rPr>
        <w:t>家企业申报享受增值税加计抵减政策的先进制造业企业。</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（四）推进全区工业信息化建设与应用</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hint="eastAsia"/>
          <w:sz w:val="32"/>
          <w:szCs w:val="32"/>
          <w:lang w:eastAsia="zh-CN" w:bidi="ar"/>
        </w:rPr>
        <w:t>围绕工业互联网网络建设、工业互联网平台、“制造业+互联网”新模式应用、企业上云、工业互联网安全保障能力建设和企业信息化基础能力建设等方向，培育10个两化融合建设项目，总投资1.22亿元，已全部纳入唐山市两化融合项目库。推荐企业申报2023年河北省工业互联网创新发展重点项目，推荐企业申报工信部工业互联网平台领域重点任务，推荐唐山冀东水泥股份有限公司基于工业互联网的设备智能运维平台创新应用项目申报工信部2023年新一代信息技术典型产品、应用和服务案例</w:t>
      </w:r>
      <w:r w:rsidRPr="001C11DE">
        <w:rPr>
          <w:rFonts w:ascii="仿宋" w:eastAsia="仿宋" w:hAnsi="仿宋" w:cs="仿宋" w:hint="eastAsia"/>
          <w:sz w:val="32"/>
          <w:szCs w:val="32"/>
          <w:lang w:eastAsia="zh-CN" w:bidi="ar"/>
        </w:rPr>
        <w:t>。</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 xml:space="preserve"> </w:t>
      </w:r>
      <w:r w:rsidRPr="001C11DE">
        <w:rPr>
          <w:rFonts w:ascii="仿宋" w:eastAsia="仿宋" w:hAnsi="仿宋" w:cs="仿宋"/>
          <w:sz w:val="32"/>
          <w:szCs w:val="32"/>
          <w:lang w:eastAsia="zh-CN" w:bidi="ar"/>
        </w:rPr>
        <w:t>(五) 实施全区工业能源节约和资源综合利用</w:t>
      </w:r>
    </w:p>
    <w:p w:rsidR="00F97036" w:rsidRPr="001C11DE" w:rsidRDefault="00F97036" w:rsidP="00F97036">
      <w:pPr>
        <w:pStyle w:val="a3"/>
        <w:widowControl w:val="0"/>
        <w:kinsoku/>
        <w:autoSpaceDE/>
        <w:autoSpaceDN/>
        <w:adjustRightInd/>
        <w:snapToGrid/>
        <w:spacing w:line="566" w:lineRule="exact"/>
        <w:ind w:firstLineChars="200" w:firstLine="640"/>
        <w:jc w:val="both"/>
        <w:textAlignment w:val="auto"/>
        <w:rPr>
          <w:rFonts w:ascii="仿宋" w:eastAsia="仿宋" w:hAnsi="仿宋" w:cs="仿宋"/>
          <w:snapToGrid/>
          <w:color w:val="auto"/>
          <w:sz w:val="32"/>
          <w:szCs w:val="32"/>
          <w:lang w:bidi="ar"/>
        </w:rPr>
      </w:pPr>
      <w:r w:rsidRPr="001C11DE">
        <w:rPr>
          <w:rFonts w:ascii="仿宋" w:eastAsia="仿宋" w:hAnsi="仿宋" w:cs="仿宋"/>
          <w:snapToGrid/>
          <w:color w:val="auto"/>
          <w:sz w:val="32"/>
          <w:szCs w:val="32"/>
          <w:lang w:bidi="ar"/>
        </w:rPr>
        <w:t>按照省政府《扎实稳定全省积极运行的一揽子措施及配套政策的通知》要求，做好生态环境监管正面清单企业推荐工作。</w:t>
      </w:r>
      <w:r w:rsidRPr="001C11DE">
        <w:rPr>
          <w:rFonts w:ascii="仿宋" w:eastAsia="仿宋" w:hAnsi="仿宋" w:cs="仿宋"/>
          <w:snapToGrid/>
          <w:color w:val="auto"/>
          <w:sz w:val="32"/>
          <w:szCs w:val="32"/>
          <w:lang w:bidi="ar"/>
        </w:rPr>
        <w:lastRenderedPageBreak/>
        <w:t>共向省工信厅推荐省产业链供应链“白名单”企业、“专精特新”中小企业、省级及以上制造业单项冠军企业、高新技术企业、省级及以上绿色工厂等</w:t>
      </w:r>
      <w:r w:rsidRPr="001C11DE">
        <w:rPr>
          <w:rFonts w:ascii="仿宋" w:eastAsia="仿宋" w:hAnsi="仿宋" w:cs="仿宋" w:hint="eastAsia"/>
          <w:snapToGrid/>
          <w:color w:val="auto"/>
          <w:sz w:val="32"/>
          <w:szCs w:val="32"/>
          <w:lang w:bidi="ar"/>
        </w:rPr>
        <w:t>75</w:t>
      </w:r>
      <w:r w:rsidRPr="001C11DE">
        <w:rPr>
          <w:rFonts w:ascii="仿宋" w:eastAsia="仿宋" w:hAnsi="仿宋" w:cs="仿宋"/>
          <w:snapToGrid/>
          <w:color w:val="auto"/>
          <w:sz w:val="32"/>
          <w:szCs w:val="32"/>
          <w:lang w:bidi="ar"/>
        </w:rPr>
        <w:t>家企业纳入生态环境监管正面清单。依托局班子成员分片带队、各科室人人参与的督导工作机制，在重污染天气应急响应期间，通过采取听汇报、查资料、抽查重点企业</w:t>
      </w:r>
      <w:r w:rsidRPr="001C11DE">
        <w:rPr>
          <w:rFonts w:ascii="仿宋" w:eastAsia="仿宋" w:hAnsi="仿宋" w:cs="仿宋" w:hint="eastAsia"/>
          <w:snapToGrid/>
          <w:color w:val="auto"/>
          <w:sz w:val="32"/>
          <w:szCs w:val="32"/>
          <w:lang w:bidi="ar"/>
        </w:rPr>
        <w:t>、驻企监督</w:t>
      </w:r>
      <w:r w:rsidRPr="001C11DE">
        <w:rPr>
          <w:rFonts w:ascii="仿宋" w:eastAsia="仿宋" w:hAnsi="仿宋" w:cs="仿宋"/>
          <w:snapToGrid/>
          <w:color w:val="auto"/>
          <w:sz w:val="32"/>
          <w:szCs w:val="32"/>
          <w:lang w:bidi="ar"/>
        </w:rPr>
        <w:t>等方式，对属地政府保减排、保运行工作开展情况进行督导检查。截至目前共出动人员</w:t>
      </w:r>
      <w:r w:rsidRPr="001C11DE">
        <w:rPr>
          <w:rFonts w:ascii="仿宋" w:eastAsia="仿宋" w:hAnsi="仿宋" w:cs="仿宋" w:hint="eastAsia"/>
          <w:snapToGrid/>
          <w:color w:val="auto"/>
          <w:sz w:val="32"/>
          <w:szCs w:val="32"/>
          <w:lang w:bidi="ar"/>
        </w:rPr>
        <w:t>140</w:t>
      </w:r>
      <w:r w:rsidRPr="001C11DE">
        <w:rPr>
          <w:rFonts w:ascii="仿宋" w:eastAsia="仿宋" w:hAnsi="仿宋" w:cs="仿宋"/>
          <w:snapToGrid/>
          <w:color w:val="auto"/>
          <w:sz w:val="32"/>
          <w:szCs w:val="32"/>
          <w:lang w:bidi="ar"/>
        </w:rPr>
        <w:t>人次，检查企业</w:t>
      </w:r>
      <w:r w:rsidRPr="001C11DE">
        <w:rPr>
          <w:rFonts w:ascii="仿宋" w:eastAsia="仿宋" w:hAnsi="仿宋" w:cs="仿宋" w:hint="eastAsia"/>
          <w:snapToGrid/>
          <w:color w:val="auto"/>
          <w:sz w:val="32"/>
          <w:szCs w:val="32"/>
          <w:lang w:bidi="ar"/>
        </w:rPr>
        <w:t>139</w:t>
      </w:r>
      <w:r w:rsidRPr="001C11DE">
        <w:rPr>
          <w:rFonts w:ascii="仿宋" w:eastAsia="仿宋" w:hAnsi="仿宋" w:cs="仿宋"/>
          <w:snapToGrid/>
          <w:color w:val="auto"/>
          <w:sz w:val="32"/>
          <w:szCs w:val="32"/>
          <w:lang w:bidi="ar"/>
        </w:rPr>
        <w:t>家</w:t>
      </w:r>
      <w:r w:rsidRPr="001C11DE">
        <w:rPr>
          <w:rFonts w:ascii="仿宋" w:eastAsia="仿宋" w:hAnsi="仿宋" w:cs="仿宋" w:hint="eastAsia"/>
          <w:snapToGrid/>
          <w:color w:val="auto"/>
          <w:sz w:val="32"/>
          <w:szCs w:val="32"/>
          <w:lang w:bidi="ar"/>
        </w:rPr>
        <w:t>，未发现违规生产行为</w:t>
      </w:r>
      <w:r w:rsidRPr="001C11DE">
        <w:rPr>
          <w:rFonts w:ascii="仿宋" w:eastAsia="仿宋" w:hAnsi="仿宋" w:cs="仿宋"/>
          <w:snapToGrid/>
          <w:color w:val="auto"/>
          <w:sz w:val="32"/>
          <w:szCs w:val="32"/>
          <w:lang w:bidi="ar"/>
        </w:rPr>
        <w:t>。</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 xml:space="preserve"> </w:t>
      </w:r>
      <w:r w:rsidRPr="001C11DE">
        <w:rPr>
          <w:rFonts w:ascii="仿宋" w:eastAsia="仿宋" w:hAnsi="仿宋" w:cs="仿宋"/>
          <w:sz w:val="32"/>
          <w:szCs w:val="32"/>
          <w:lang w:eastAsia="zh-CN" w:bidi="ar"/>
        </w:rPr>
        <w:t>(六) 工信政务管理</w:t>
      </w:r>
    </w:p>
    <w:p w:rsidR="00F97036" w:rsidRPr="001C11DE" w:rsidRDefault="001C11DE" w:rsidP="001C11DE">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综合业务管理工作</w:t>
      </w:r>
      <w:r w:rsidRPr="001C11DE">
        <w:rPr>
          <w:rFonts w:ascii="仿宋" w:eastAsia="仿宋" w:hAnsi="仿宋" w:cs="仿宋" w:hint="eastAsia"/>
          <w:sz w:val="32"/>
          <w:szCs w:val="32"/>
          <w:lang w:eastAsia="zh-CN" w:bidi="ar"/>
        </w:rPr>
        <w:t>较好</w:t>
      </w:r>
      <w:r w:rsidRPr="001C11DE">
        <w:rPr>
          <w:rFonts w:ascii="仿宋" w:eastAsia="仿宋" w:hAnsi="仿宋" w:cs="仿宋"/>
          <w:sz w:val="32"/>
          <w:szCs w:val="32"/>
          <w:lang w:eastAsia="zh-CN" w:bidi="ar"/>
        </w:rPr>
        <w:t>完成</w:t>
      </w:r>
      <w:r w:rsidRPr="001C11DE">
        <w:rPr>
          <w:rFonts w:ascii="仿宋" w:eastAsia="仿宋" w:hAnsi="仿宋" w:cs="仿宋" w:hint="eastAsia"/>
          <w:sz w:val="32"/>
          <w:szCs w:val="32"/>
          <w:lang w:eastAsia="zh-CN" w:bidi="ar"/>
        </w:rPr>
        <w:t>。</w:t>
      </w:r>
      <w:r w:rsidR="00F97036" w:rsidRPr="001C11DE">
        <w:rPr>
          <w:rFonts w:ascii="仿宋" w:eastAsia="仿宋" w:hAnsi="仿宋" w:cs="仿宋"/>
          <w:sz w:val="32"/>
          <w:szCs w:val="32"/>
          <w:lang w:eastAsia="zh-CN" w:bidi="ar"/>
        </w:rPr>
        <w:t>制定部门发展规划；加强行政许可管理；指导行业体制改革；业务宣传、政务信息公开、网上行政服务、依法行政等。服务于支撑工业转型升级、工业强区、制造强区等工作的事项；工业和信息化管理工作运转保障，加强机关事务性管理，开展机关自身能力建设。</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(七) 科技创新项目支撑</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推进实施有关国家和省、市、区科技重大专项，推进相关科研成果产业化，促进区科技型企业的发展。</w:t>
      </w:r>
    </w:p>
    <w:p w:rsidR="00F97036" w:rsidRPr="001C11DE" w:rsidRDefault="001C11DE"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 xml:space="preserve"> </w:t>
      </w:r>
      <w:r w:rsidR="00F97036" w:rsidRPr="001C11DE">
        <w:rPr>
          <w:rFonts w:ascii="仿宋" w:eastAsia="仿宋" w:hAnsi="仿宋" w:cs="仿宋"/>
          <w:sz w:val="32"/>
          <w:szCs w:val="32"/>
          <w:lang w:eastAsia="zh-CN" w:bidi="ar"/>
        </w:rPr>
        <w:t>(八) 科技创新环境建设</w:t>
      </w:r>
    </w:p>
    <w:p w:rsidR="00F97036" w:rsidRPr="001C11DE" w:rsidRDefault="00F97036" w:rsidP="00F97036">
      <w:pPr>
        <w:pStyle w:val="-0"/>
        <w:rPr>
          <w:rFonts w:ascii="仿宋" w:eastAsia="仿宋" w:hAnsi="仿宋" w:cs="仿宋"/>
          <w:sz w:val="32"/>
          <w:szCs w:val="32"/>
          <w:lang w:eastAsia="zh-CN" w:bidi="ar"/>
        </w:rPr>
      </w:pPr>
      <w:r w:rsidRPr="001C11DE">
        <w:rPr>
          <w:rFonts w:ascii="仿宋" w:eastAsia="仿宋" w:hAnsi="仿宋" w:cs="仿宋"/>
          <w:sz w:val="32"/>
          <w:szCs w:val="32"/>
          <w:lang w:eastAsia="zh-CN" w:bidi="ar"/>
        </w:rPr>
        <w:t>推动企业科技创新能力建设、促进农业农村和社会发展的规划。</w:t>
      </w:r>
    </w:p>
    <w:p w:rsidR="00F97036" w:rsidRPr="001C11DE" w:rsidRDefault="00F97036" w:rsidP="001C11DE">
      <w:pPr>
        <w:pStyle w:val="-0"/>
        <w:ind w:firstLine="0"/>
        <w:rPr>
          <w:rFonts w:ascii="仿宋" w:eastAsia="仿宋" w:hAnsi="仿宋" w:cs="仿宋"/>
          <w:sz w:val="32"/>
          <w:szCs w:val="32"/>
          <w:lang w:eastAsia="zh-CN" w:bidi="ar"/>
        </w:rPr>
      </w:pPr>
      <w:r w:rsidRPr="001C11DE">
        <w:rPr>
          <w:rFonts w:ascii="仿宋" w:eastAsia="仿宋" w:hAnsi="仿宋" w:cs="仿宋"/>
          <w:sz w:val="32"/>
          <w:szCs w:val="32"/>
          <w:lang w:eastAsia="zh-CN" w:bidi="ar"/>
        </w:rPr>
        <w:t>根据科技发展需求，对企业进行奖补；为科技发展，组织培训；为推动科技建设，开展科技交流活动；为科技发展引进的人才。</w:t>
      </w:r>
    </w:p>
    <w:p w:rsidR="006B3406" w:rsidRPr="006942D7" w:rsidRDefault="006942D7" w:rsidP="006942D7">
      <w:pPr>
        <w:spacing w:line="560" w:lineRule="exact"/>
        <w:ind w:firstLineChars="200" w:firstLine="643"/>
        <w:rPr>
          <w:rFonts w:ascii="Times New Roman" w:eastAsia="黑体" w:hAnsi="Times New Roman" w:cs="Times New Roman"/>
          <w:b/>
          <w:sz w:val="32"/>
          <w:szCs w:val="32"/>
        </w:rPr>
      </w:pPr>
      <w:r w:rsidRPr="006942D7">
        <w:rPr>
          <w:rFonts w:ascii="Times New Roman" w:eastAsia="黑体" w:hAnsi="Times New Roman" w:cs="Times New Roman"/>
          <w:b/>
          <w:sz w:val="32"/>
          <w:szCs w:val="32"/>
        </w:rPr>
        <w:t>五、存在的问题和建议</w:t>
      </w:r>
    </w:p>
    <w:p w:rsidR="000903AC" w:rsidRDefault="000903AC" w:rsidP="006942D7">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（一）存在问题</w:t>
      </w:r>
    </w:p>
    <w:p w:rsidR="000903AC" w:rsidRPr="00FF3826" w:rsidRDefault="000903AC" w:rsidP="000903AC">
      <w:pPr>
        <w:pBdr>
          <w:bottom w:val="single" w:sz="4" w:space="17" w:color="FFFFFF"/>
        </w:pBdr>
        <w:tabs>
          <w:tab w:val="left" w:pos="7380"/>
        </w:tabs>
        <w:snapToGrid w:val="0"/>
        <w:spacing w:line="560" w:lineRule="exact"/>
        <w:ind w:firstLineChars="200" w:firstLine="640"/>
        <w:textAlignment w:val="baseline"/>
        <w:rPr>
          <w:rFonts w:ascii="仿宋" w:eastAsia="仿宋" w:hAnsi="仿宋" w:cs="仿宋"/>
          <w:kern w:val="0"/>
          <w:sz w:val="32"/>
          <w:szCs w:val="32"/>
          <w:lang w:bidi="ar"/>
        </w:rPr>
      </w:pPr>
      <w:r w:rsidRPr="00FF3826">
        <w:rPr>
          <w:rFonts w:ascii="仿宋" w:eastAsia="仿宋" w:hAnsi="仿宋" w:cs="仿宋" w:hint="eastAsia"/>
          <w:kern w:val="0"/>
          <w:sz w:val="32"/>
          <w:szCs w:val="32"/>
          <w:lang w:bidi="ar"/>
        </w:rPr>
        <w:lastRenderedPageBreak/>
        <w:t>一是年中追加经费，导致预算控制率较低，其原因主要是年初不能有效预计一年中的项目支出情况，不能纳入年初预算。项目支出与基本支出划分不准或预算支出与实际执行出现较大偏差。</w:t>
      </w:r>
    </w:p>
    <w:p w:rsidR="000903AC" w:rsidRPr="00FF3826" w:rsidRDefault="000903AC" w:rsidP="000903AC">
      <w:pPr>
        <w:pBdr>
          <w:bottom w:val="single" w:sz="4" w:space="17" w:color="FFFFFF"/>
        </w:pBdr>
        <w:tabs>
          <w:tab w:val="left" w:pos="7380"/>
        </w:tabs>
        <w:snapToGrid w:val="0"/>
        <w:spacing w:line="560" w:lineRule="exact"/>
        <w:ind w:firstLineChars="200" w:firstLine="640"/>
        <w:textAlignment w:val="baseline"/>
        <w:rPr>
          <w:rFonts w:ascii="仿宋" w:eastAsia="仿宋" w:hAnsi="仿宋" w:cs="仿宋"/>
          <w:kern w:val="0"/>
          <w:sz w:val="32"/>
          <w:szCs w:val="32"/>
          <w:lang w:bidi="ar"/>
        </w:rPr>
      </w:pPr>
      <w:r w:rsidRPr="00FF3826">
        <w:rPr>
          <w:rFonts w:ascii="仿宋" w:eastAsia="仿宋" w:hAnsi="仿宋" w:cs="仿宋" w:hint="eastAsia"/>
          <w:kern w:val="0"/>
          <w:sz w:val="32"/>
          <w:szCs w:val="32"/>
          <w:lang w:bidi="ar"/>
        </w:rPr>
        <w:t>二是任务时间安排不够科学合理，需加强预算中期执行内部监督，加快预算执行进度。</w:t>
      </w:r>
    </w:p>
    <w:p w:rsidR="000903AC" w:rsidRPr="00FF3826" w:rsidRDefault="000903AC" w:rsidP="000903AC">
      <w:pPr>
        <w:pBdr>
          <w:bottom w:val="single" w:sz="4" w:space="17" w:color="FFFFFF"/>
        </w:pBdr>
        <w:tabs>
          <w:tab w:val="left" w:pos="7380"/>
        </w:tabs>
        <w:snapToGrid w:val="0"/>
        <w:spacing w:line="560" w:lineRule="exact"/>
        <w:ind w:firstLineChars="200" w:firstLine="640"/>
        <w:textAlignment w:val="baseline"/>
        <w:rPr>
          <w:rFonts w:ascii="仿宋" w:eastAsia="仿宋" w:hAnsi="仿宋" w:cs="仿宋"/>
          <w:kern w:val="0"/>
          <w:sz w:val="32"/>
          <w:szCs w:val="32"/>
          <w:lang w:bidi="ar"/>
        </w:rPr>
      </w:pPr>
      <w:r w:rsidRPr="00FF3826">
        <w:rPr>
          <w:rFonts w:ascii="仿宋" w:eastAsia="仿宋" w:hAnsi="仿宋" w:cs="仿宋" w:hint="eastAsia"/>
          <w:kern w:val="0"/>
          <w:sz w:val="32"/>
          <w:szCs w:val="32"/>
          <w:lang w:bidi="ar"/>
        </w:rPr>
        <w:t>三是财务管理有待加强，需进一步规范日常财务工作，提高财务人员素质，提升专业水平。</w:t>
      </w:r>
    </w:p>
    <w:p w:rsidR="000903AC" w:rsidRPr="00FF3826" w:rsidRDefault="000903AC" w:rsidP="000903AC">
      <w:pPr>
        <w:pBdr>
          <w:bottom w:val="single" w:sz="4" w:space="17" w:color="FFFFFF"/>
        </w:pBdr>
        <w:tabs>
          <w:tab w:val="left" w:pos="7380"/>
        </w:tabs>
        <w:snapToGrid w:val="0"/>
        <w:spacing w:line="560" w:lineRule="exact"/>
        <w:ind w:firstLineChars="200" w:firstLine="643"/>
        <w:textAlignment w:val="baseline"/>
        <w:rPr>
          <w:rFonts w:ascii="仿宋" w:eastAsia="仿宋" w:hAnsi="仿宋" w:cs="仿宋"/>
          <w:b/>
          <w:bCs/>
          <w:sz w:val="32"/>
          <w:szCs w:val="32"/>
        </w:rPr>
      </w:pPr>
      <w:bookmarkStart w:id="0" w:name="_GoBack"/>
      <w:r w:rsidRPr="00FF3826">
        <w:rPr>
          <w:rFonts w:ascii="仿宋" w:eastAsia="仿宋" w:hAnsi="仿宋" w:cs="仿宋" w:hint="eastAsia"/>
          <w:b/>
          <w:bCs/>
          <w:sz w:val="32"/>
          <w:szCs w:val="32"/>
        </w:rPr>
        <w:t>（二）有关建议</w:t>
      </w:r>
    </w:p>
    <w:bookmarkEnd w:id="0"/>
    <w:p w:rsidR="000903AC" w:rsidRPr="00FF3826" w:rsidRDefault="000903AC" w:rsidP="000903AC">
      <w:pPr>
        <w:pBdr>
          <w:bottom w:val="single" w:sz="4" w:space="17" w:color="FFFFFF"/>
        </w:pBdr>
        <w:tabs>
          <w:tab w:val="left" w:pos="7380"/>
        </w:tabs>
        <w:snapToGrid w:val="0"/>
        <w:spacing w:line="560" w:lineRule="exact"/>
        <w:ind w:firstLineChars="200" w:firstLine="640"/>
        <w:textAlignment w:val="baseline"/>
        <w:rPr>
          <w:rFonts w:ascii="仿宋" w:eastAsia="仿宋" w:hAnsi="仿宋" w:cs="仿宋"/>
          <w:kern w:val="0"/>
          <w:sz w:val="32"/>
          <w:szCs w:val="32"/>
          <w:lang w:bidi="ar"/>
        </w:rPr>
      </w:pPr>
      <w:r w:rsidRPr="00FF3826">
        <w:rPr>
          <w:rFonts w:ascii="仿宋" w:eastAsia="仿宋" w:hAnsi="仿宋" w:cs="仿宋" w:hint="eastAsia"/>
          <w:kern w:val="0"/>
          <w:sz w:val="32"/>
          <w:szCs w:val="32"/>
          <w:lang w:bidi="ar"/>
        </w:rPr>
        <w:t>一是提高全面预算编制的科学性，调整和优化项目支出的结构，优先保障固定性的、相对刚性的费用支出项目，尽量压缩变动性的、有控制空间的费用项目，加强内部预算编制审核，进一步提高预算编制水平。</w:t>
      </w:r>
    </w:p>
    <w:p w:rsidR="000903AC" w:rsidRPr="00FF3826" w:rsidRDefault="000903AC" w:rsidP="000903AC">
      <w:pPr>
        <w:pBdr>
          <w:bottom w:val="single" w:sz="4" w:space="17" w:color="FFFFFF"/>
        </w:pBdr>
        <w:tabs>
          <w:tab w:val="left" w:pos="7380"/>
        </w:tabs>
        <w:snapToGrid w:val="0"/>
        <w:spacing w:line="560" w:lineRule="exact"/>
        <w:ind w:firstLineChars="200" w:firstLine="640"/>
        <w:textAlignment w:val="baseline"/>
        <w:rPr>
          <w:rFonts w:ascii="仿宋" w:eastAsia="仿宋" w:hAnsi="仿宋" w:cs="仿宋"/>
          <w:kern w:val="0"/>
          <w:sz w:val="32"/>
          <w:szCs w:val="32"/>
          <w:lang w:bidi="ar"/>
        </w:rPr>
      </w:pPr>
      <w:r w:rsidRPr="00FF3826">
        <w:rPr>
          <w:rFonts w:ascii="仿宋" w:eastAsia="仿宋" w:hAnsi="仿宋" w:cs="仿宋" w:hint="eastAsia"/>
          <w:kern w:val="0"/>
          <w:sz w:val="32"/>
          <w:szCs w:val="32"/>
          <w:lang w:bidi="ar"/>
        </w:rPr>
        <w:t>二是进一步强化治理绩效观念，加快完善绩效管理的制度体系，确保绩效管理有序实施，健全绩效管理反馈体系，强化绩效结果运用，提高资金的管理效能和使用效益，逐步提升部门的绩效管理水准。</w:t>
      </w:r>
    </w:p>
    <w:p w:rsidR="006B3406" w:rsidRDefault="006B3406">
      <w:pPr>
        <w:rPr>
          <w:rFonts w:ascii="Times New Roman" w:eastAsia="黑体" w:hAnsi="Times New Roman" w:cs="Times New Roman"/>
          <w:b/>
          <w:sz w:val="32"/>
          <w:szCs w:val="32"/>
        </w:rPr>
      </w:pPr>
    </w:p>
    <w:p w:rsidR="006B3406" w:rsidRDefault="006B3406">
      <w:pPr>
        <w:rPr>
          <w:rFonts w:ascii="Times New Roman" w:hAnsi="Times New Roman" w:cs="Times New Roman"/>
        </w:rPr>
      </w:pPr>
    </w:p>
    <w:sectPr w:rsidR="006B3406">
      <w:pgSz w:w="11906" w:h="16838"/>
      <w:pgMar w:top="2098"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楷体简体">
    <w:altName w:val="Microsoft YaHei UI"/>
    <w:charset w:val="86"/>
    <w:family w:val="auto"/>
    <w:pitch w:val="default"/>
    <w:sig w:usb0="00000001" w:usb1="080E0000" w:usb2="00000000" w:usb3="00000000" w:csb0="00040000" w:csb1="00000000"/>
  </w:font>
  <w:font w:name="方正仿宋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mRjYjk2NzFmZTM5M2EzYjFlZTRiYTk3YWJlZTgifQ=="/>
  </w:docVars>
  <w:rsids>
    <w:rsidRoot w:val="0096493D"/>
    <w:rsid w:val="00005328"/>
    <w:rsid w:val="00010B23"/>
    <w:rsid w:val="00075FA4"/>
    <w:rsid w:val="0008093C"/>
    <w:rsid w:val="000862E6"/>
    <w:rsid w:val="000903AC"/>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C11DE"/>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942D7"/>
    <w:rsid w:val="006B32FD"/>
    <w:rsid w:val="006B3406"/>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3F9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C4BAF"/>
    <w:rsid w:val="00BD031B"/>
    <w:rsid w:val="00BD0897"/>
    <w:rsid w:val="00BD47B5"/>
    <w:rsid w:val="00BF3406"/>
    <w:rsid w:val="00BF4BD9"/>
    <w:rsid w:val="00C02BF7"/>
    <w:rsid w:val="00C06F32"/>
    <w:rsid w:val="00C2469C"/>
    <w:rsid w:val="00C2716C"/>
    <w:rsid w:val="00C33099"/>
    <w:rsid w:val="00C34FC7"/>
    <w:rsid w:val="00C37B3A"/>
    <w:rsid w:val="00C44C0D"/>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97036"/>
    <w:rsid w:val="00FD665A"/>
    <w:rsid w:val="00FF6055"/>
    <w:rsid w:val="04F645DA"/>
    <w:rsid w:val="19133616"/>
    <w:rsid w:val="1BA42DE0"/>
    <w:rsid w:val="27F72136"/>
    <w:rsid w:val="37D4268E"/>
    <w:rsid w:val="3AE7058E"/>
    <w:rsid w:val="3D2E1997"/>
    <w:rsid w:val="4E01484C"/>
    <w:rsid w:val="53E029D7"/>
    <w:rsid w:val="58254FDF"/>
    <w:rsid w:val="598E3DDA"/>
    <w:rsid w:val="5DDD0E03"/>
    <w:rsid w:val="655869C7"/>
    <w:rsid w:val="7C9C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27CC5"/>
  <w15:docId w15:val="{288AEE1C-34B1-45F3-9133-4F85A86E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2">
    <w:name w:val="heading 2"/>
    <w:basedOn w:val="a"/>
    <w:next w:val="a"/>
    <w:link w:val="20"/>
    <w:semiHidden/>
    <w:unhideWhenUsed/>
    <w:qFormat/>
    <w:rsid w:val="00F97036"/>
    <w:pPr>
      <w:keepNext/>
      <w:keepLines/>
      <w:widowControl/>
      <w:kinsoku w:val="0"/>
      <w:autoSpaceDE w:val="0"/>
      <w:autoSpaceDN w:val="0"/>
      <w:adjustRightInd w:val="0"/>
      <w:snapToGrid w:val="0"/>
      <w:spacing w:line="566" w:lineRule="exact"/>
      <w:jc w:val="left"/>
      <w:textAlignment w:val="baseline"/>
      <w:outlineLvl w:val="1"/>
    </w:pPr>
    <w:rPr>
      <w:rFonts w:ascii="Arial" w:eastAsia="方正楷体简体" w:hAnsi="Arial" w:cs="Arial"/>
      <w:snapToGrid w:val="0"/>
      <w:color w:val="000000"/>
      <w:kern w:val="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0903AC"/>
    <w:pPr>
      <w:widowControl/>
      <w:spacing w:line="500" w:lineRule="exact"/>
      <w:ind w:firstLine="560"/>
      <w:jc w:val="left"/>
    </w:pPr>
    <w:rPr>
      <w:rFonts w:ascii="Times New Roman" w:eastAsia="方正仿宋_GBK" w:hAnsi="Times New Roman" w:cs="Times New Roman"/>
      <w:kern w:val="0"/>
      <w:sz w:val="28"/>
      <w:szCs w:val="24"/>
      <w:lang w:eastAsia="uk-UA"/>
    </w:rPr>
  </w:style>
  <w:style w:type="character" w:customStyle="1" w:styleId="20">
    <w:name w:val="标题 2 字符"/>
    <w:basedOn w:val="a0"/>
    <w:link w:val="2"/>
    <w:semiHidden/>
    <w:qFormat/>
    <w:rsid w:val="00F97036"/>
    <w:rPr>
      <w:rFonts w:ascii="Arial" w:eastAsia="方正楷体简体" w:hAnsi="Arial" w:cs="Arial"/>
      <w:snapToGrid w:val="0"/>
      <w:color w:val="000000"/>
      <w:sz w:val="32"/>
      <w:szCs w:val="21"/>
    </w:rPr>
  </w:style>
  <w:style w:type="paragraph" w:customStyle="1" w:styleId="UserStyle0">
    <w:name w:val="UserStyle_0"/>
    <w:basedOn w:val="a"/>
    <w:uiPriority w:val="99"/>
    <w:qFormat/>
    <w:rsid w:val="00F97036"/>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paragraph" w:styleId="a3">
    <w:name w:val="Body Text"/>
    <w:basedOn w:val="a"/>
    <w:next w:val="21"/>
    <w:link w:val="a4"/>
    <w:qFormat/>
    <w:rsid w:val="00F97036"/>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character" w:customStyle="1" w:styleId="a4">
    <w:name w:val="正文文本 字符"/>
    <w:basedOn w:val="a0"/>
    <w:link w:val="a3"/>
    <w:rsid w:val="00F97036"/>
    <w:rPr>
      <w:rFonts w:ascii="Arial" w:eastAsia="Arial" w:hAnsi="Arial" w:cs="Arial"/>
      <w:snapToGrid w:val="0"/>
      <w:color w:val="000000"/>
      <w:sz w:val="21"/>
      <w:szCs w:val="21"/>
    </w:rPr>
  </w:style>
  <w:style w:type="paragraph" w:styleId="21">
    <w:name w:val="toc 2"/>
    <w:basedOn w:val="a"/>
    <w:next w:val="a"/>
    <w:autoRedefine/>
    <w:uiPriority w:val="39"/>
    <w:semiHidden/>
    <w:unhideWhenUsed/>
    <w:rsid w:val="00F97036"/>
    <w:pPr>
      <w:ind w:leftChars="200" w:left="420"/>
    </w:pPr>
  </w:style>
  <w:style w:type="paragraph" w:customStyle="1" w:styleId="-0">
    <w:name w:val="插入文本样式-插入职责分类绩效目标文件"/>
    <w:basedOn w:val="a"/>
    <w:qFormat/>
    <w:rsid w:val="00F97036"/>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styleId="a5">
    <w:name w:val="Plain Text"/>
    <w:basedOn w:val="a"/>
    <w:link w:val="a6"/>
    <w:uiPriority w:val="99"/>
    <w:unhideWhenUsed/>
    <w:qFormat/>
    <w:rsid w:val="00F97036"/>
    <w:pPr>
      <w:widowControl/>
      <w:kinsoku w:val="0"/>
      <w:autoSpaceDE w:val="0"/>
      <w:autoSpaceDN w:val="0"/>
      <w:adjustRightInd w:val="0"/>
      <w:snapToGrid w:val="0"/>
      <w:spacing w:before="100" w:beforeAutospacing="1" w:after="100" w:afterAutospacing="1"/>
      <w:jc w:val="left"/>
      <w:textAlignment w:val="baseline"/>
    </w:pPr>
    <w:rPr>
      <w:rFonts w:ascii="宋体" w:eastAsia="Arial" w:hAnsi="宋体" w:cs="宋体"/>
      <w:snapToGrid w:val="0"/>
      <w:color w:val="000000"/>
      <w:kern w:val="0"/>
      <w:sz w:val="24"/>
      <w:szCs w:val="24"/>
    </w:rPr>
  </w:style>
  <w:style w:type="character" w:customStyle="1" w:styleId="a6">
    <w:name w:val="纯文本 字符"/>
    <w:basedOn w:val="a0"/>
    <w:link w:val="a5"/>
    <w:uiPriority w:val="99"/>
    <w:rsid w:val="00F97036"/>
    <w:rPr>
      <w:rFonts w:ascii="宋体" w:eastAsia="Arial" w:hAnsi="宋体" w:cs="宋体"/>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panbo</dc:creator>
  <cp:lastModifiedBy>Administrator</cp:lastModifiedBy>
  <cp:revision>11</cp:revision>
  <cp:lastPrinted>2021-03-05T01:04:00Z</cp:lastPrinted>
  <dcterms:created xsi:type="dcterms:W3CDTF">2020-08-27T08:17:00Z</dcterms:created>
  <dcterms:modified xsi:type="dcterms:W3CDTF">2024-02-23T06:52:00Z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32C0EA5FB0694A64B894C64B9F96EAC9</vt:lpwstr>
  </property>
</Properties>
</file>