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方正楷体_GBK" w:hAnsi="方正楷体_GBK" w:eastAsia="宋体"/>
          <w:b/>
          <w:bCs/>
          <w:sz w:val="44"/>
          <w:szCs w:val="44"/>
          <w:lang w:eastAsia="zh-CN"/>
        </w:rPr>
      </w:pPr>
      <w:r>
        <w:rPr>
          <w:rFonts w:hint="eastAsia" w:ascii="方正楷体_GBK" w:hAnsi="方正楷体_GBK"/>
          <w:b/>
          <w:bCs/>
          <w:sz w:val="44"/>
          <w:szCs w:val="44"/>
          <w:lang w:eastAsia="zh-CN"/>
        </w:rPr>
        <w:t>组织部门</w:t>
      </w:r>
    </w:p>
    <w:p>
      <w:pPr>
        <w:widowControl/>
        <w:jc w:val="center"/>
        <w:rPr>
          <w:rFonts w:ascii="方正楷体_GBK" w:hAnsi="方正楷体_GBK"/>
          <w:b/>
          <w:bCs/>
          <w:sz w:val="44"/>
          <w:szCs w:val="44"/>
        </w:rPr>
      </w:pPr>
      <w:r>
        <w:rPr>
          <w:rFonts w:hint="eastAsia" w:ascii="方正楷体_GBK" w:hAnsi="方正楷体_GBK"/>
          <w:b/>
          <w:bCs/>
          <w:sz w:val="44"/>
          <w:szCs w:val="44"/>
        </w:rPr>
        <w:t>20</w:t>
      </w:r>
      <w:r>
        <w:rPr>
          <w:rFonts w:hint="eastAsia" w:ascii="方正楷体_GBK" w:hAnsi="方正楷体_GBK"/>
          <w:b/>
          <w:bCs/>
          <w:sz w:val="44"/>
          <w:szCs w:val="44"/>
          <w:lang w:val="en-US" w:eastAsia="zh-CN"/>
        </w:rPr>
        <w:t>21</w:t>
      </w:r>
      <w:r>
        <w:rPr>
          <w:rFonts w:hint="eastAsia" w:ascii="方正楷体_GBK" w:hAnsi="方正楷体_GBK"/>
          <w:b/>
          <w:bCs/>
          <w:sz w:val="44"/>
          <w:szCs w:val="44"/>
        </w:rPr>
        <w:t>年预算公开情况说明</w:t>
      </w:r>
    </w:p>
    <w:p>
      <w:pPr>
        <w:widowControl/>
        <w:jc w:val="center"/>
        <w:rPr>
          <w:rFonts w:ascii="方正楷体_GBK" w:hAnsi="方正楷体_GBK"/>
          <w:b/>
          <w:bCs/>
          <w:sz w:val="44"/>
          <w:szCs w:val="44"/>
        </w:rPr>
      </w:pP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sz w:val="32"/>
          <w:szCs w:val="32"/>
        </w:rPr>
        <w:t>按照《中华人民共和国预算法》、《地方</w:t>
      </w:r>
      <w:bookmarkStart w:id="0" w:name="_GoBack"/>
      <w:bookmarkEnd w:id="0"/>
      <w:r>
        <w:rPr>
          <w:rFonts w:hint="eastAsia" w:ascii="方正仿宋简体" w:hAnsi="方正仿宋简体" w:eastAsia="方正仿宋简体" w:cs="方正仿宋简体"/>
          <w:sz w:val="32"/>
          <w:szCs w:val="32"/>
        </w:rPr>
        <w:t>预决算公开操作规程》和《河北省省级预算公开办法》规定，现将</w:t>
      </w:r>
      <w:r>
        <w:rPr>
          <w:rFonts w:hint="eastAsia" w:ascii="方正仿宋简体" w:hAnsi="方正仿宋简体" w:eastAsia="方正仿宋简体" w:cs="方正仿宋简体"/>
          <w:sz w:val="32"/>
          <w:szCs w:val="32"/>
          <w:lang w:eastAsia="zh-CN"/>
        </w:rPr>
        <w:t>组织</w:t>
      </w:r>
      <w:r>
        <w:rPr>
          <w:rFonts w:hint="eastAsia" w:ascii="方正仿宋简体" w:hAnsi="方正仿宋简体" w:eastAsia="方正仿宋简体" w:cs="方正仿宋简体"/>
          <w:sz w:val="32"/>
          <w:szCs w:val="32"/>
        </w:rPr>
        <w:t>部门2021年部门预算公开如下：</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ascii="仿宋" w:hAnsi="仿宋" w:eastAsia="仿宋"/>
          <w:b/>
          <w:sz w:val="32"/>
          <w:szCs w:val="32"/>
        </w:rPr>
      </w:pPr>
      <w:r>
        <w:rPr>
          <w:rFonts w:hint="eastAsia" w:ascii="黑体" w:hAnsi="黑体" w:eastAsia="黑体" w:cs="黑体"/>
          <w:b w:val="0"/>
          <w:bCs/>
          <w:sz w:val="32"/>
          <w:szCs w:val="32"/>
        </w:rPr>
        <w:t>一、部门职责、机构设置</w:t>
      </w:r>
      <w:r>
        <w:rPr>
          <w:rFonts w:hint="eastAsia" w:ascii="黑体" w:hAnsi="黑体" w:eastAsia="黑体" w:cs="黑体"/>
          <w:b w:val="0"/>
          <w:bCs/>
          <w:sz w:val="32"/>
          <w:szCs w:val="32"/>
          <w:lang w:eastAsia="zh-CN"/>
        </w:rPr>
        <w:t>等基本</w:t>
      </w:r>
      <w:r>
        <w:rPr>
          <w:rFonts w:hint="eastAsia" w:ascii="黑体" w:hAnsi="黑体" w:eastAsia="黑体" w:cs="黑体"/>
          <w:b w:val="0"/>
          <w:bCs/>
          <w:sz w:val="32"/>
          <w:szCs w:val="32"/>
        </w:rPr>
        <w:t>情况</w:t>
      </w:r>
    </w:p>
    <w:p>
      <w:pPr>
        <w:keepNext w:val="0"/>
        <w:keepLines w:val="0"/>
        <w:pageBreakBefore w:val="0"/>
        <w:widowControl/>
        <w:kinsoku/>
        <w:wordWrap/>
        <w:overflowPunct/>
        <w:topLinePunct w:val="0"/>
        <w:autoSpaceDE/>
        <w:autoSpaceDN/>
        <w:bidi w:val="0"/>
        <w:adjustRightInd/>
        <w:snapToGrid w:val="0"/>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黑体" w:hAnsi="黑体" w:eastAsia="黑体" w:cs="黑体"/>
          <w:sz w:val="32"/>
          <w:szCs w:val="32"/>
          <w:lang w:eastAsia="zh-CN"/>
        </w:rPr>
        <w:t>部门</w:t>
      </w:r>
      <w:r>
        <w:rPr>
          <w:rFonts w:hint="eastAsia" w:ascii="黑体" w:hAnsi="黑体" w:eastAsia="黑体" w:cs="黑体"/>
          <w:sz w:val="32"/>
          <w:szCs w:val="32"/>
        </w:rPr>
        <w:t>职责</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（一）、</w:t>
      </w:r>
      <w:r>
        <w:rPr>
          <w:rFonts w:hint="eastAsia" w:ascii="仿宋" w:hAnsi="仿宋" w:eastAsia="仿宋"/>
          <w:sz w:val="32"/>
          <w:szCs w:val="32"/>
        </w:rPr>
        <w:t>研究和指导全区党组织特别是党的基层组织建设，负责党内生活制度建设实施意见的研究制定。负责指导全区党员的管理教育和发展工作。</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（二）、</w:t>
      </w:r>
      <w:r>
        <w:rPr>
          <w:rFonts w:hint="eastAsia" w:ascii="仿宋" w:hAnsi="仿宋" w:eastAsia="仿宋"/>
          <w:sz w:val="32"/>
          <w:szCs w:val="32"/>
        </w:rPr>
        <w:t>对区直各部门以及其他列入区委管理的领导班子的调整、配备提出意见和建议并负责考察和办理任免、工资待遇、离（退）休审批手续。</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（三）、</w:t>
      </w:r>
      <w:r>
        <w:rPr>
          <w:rFonts w:hint="eastAsia" w:ascii="仿宋" w:hAnsi="仿宋" w:eastAsia="仿宋"/>
          <w:sz w:val="32"/>
          <w:szCs w:val="32"/>
        </w:rPr>
        <w:t>负责全区干部的宏观管理，党政机关目标管理、科级领导班子和干部的考核奖励工作。</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（四）、</w:t>
      </w:r>
      <w:r>
        <w:rPr>
          <w:rFonts w:hint="eastAsia" w:ascii="仿宋" w:hAnsi="仿宋" w:eastAsia="仿宋"/>
          <w:sz w:val="32"/>
          <w:szCs w:val="32"/>
        </w:rPr>
        <w:t>负责组织落实培养选拔后备干部、妇女干部、非党干部和少数民族干部工作。承办干部调配、交流及安置事宜。</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（五）、</w:t>
      </w:r>
      <w:r>
        <w:rPr>
          <w:rFonts w:hint="eastAsia" w:ascii="仿宋" w:hAnsi="仿宋" w:eastAsia="仿宋"/>
          <w:sz w:val="32"/>
          <w:szCs w:val="32"/>
        </w:rPr>
        <w:t>贯彻落实中央、省</w:t>
      </w:r>
      <w:r>
        <w:rPr>
          <w:rFonts w:ascii="仿宋" w:hAnsi="仿宋" w:eastAsia="仿宋"/>
          <w:sz w:val="32"/>
          <w:szCs w:val="32"/>
        </w:rPr>
        <w:t>、市委</w:t>
      </w:r>
      <w:r>
        <w:rPr>
          <w:rFonts w:hint="eastAsia" w:ascii="仿宋" w:hAnsi="仿宋" w:eastAsia="仿宋"/>
          <w:sz w:val="32"/>
          <w:szCs w:val="32"/>
        </w:rPr>
        <w:t>关于干部队伍建设的方针、政策重要意见和措施。研究和指导全区党的组织制度和干部人事制度改革，制定或参与制定组织、干部、人事工作的政策性措施和制度。</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（六）、</w:t>
      </w:r>
      <w:r>
        <w:rPr>
          <w:rFonts w:hint="eastAsia" w:ascii="仿宋" w:hAnsi="仿宋" w:eastAsia="仿宋"/>
          <w:sz w:val="32"/>
          <w:szCs w:val="32"/>
        </w:rPr>
        <w:t>负责全区组织工作和干部工作的调查研究和检查指导，及时向区委反应重要情况，提出建议。</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（七）、</w:t>
      </w:r>
      <w:r>
        <w:rPr>
          <w:rFonts w:hint="eastAsia" w:ascii="仿宋" w:hAnsi="仿宋" w:eastAsia="仿宋"/>
          <w:sz w:val="32"/>
          <w:szCs w:val="32"/>
        </w:rPr>
        <w:t>负责全区干部教育培训工作。负责区委干部教育领导小组办公室的日常工作，研究制定干部教育规划。指导、协调、检查区直各单位和有关企、事业单位的干部教育和培训工作，组织区委管理的干部和一定层次的其他干部的培训。</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（八）、</w:t>
      </w:r>
      <w:r>
        <w:rPr>
          <w:rFonts w:hint="eastAsia" w:ascii="仿宋" w:hAnsi="仿宋" w:eastAsia="仿宋"/>
          <w:sz w:val="32"/>
          <w:szCs w:val="32"/>
        </w:rPr>
        <w:t>负责全区知识分子工作的综合协调、检查指导。会同有关部门研究制定我区知识分子工作有关政策性规定。负责选拔、管理区级专业技术拔尖人才工作。</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（九）、</w:t>
      </w:r>
      <w:r>
        <w:rPr>
          <w:rFonts w:hint="eastAsia" w:ascii="仿宋" w:hAnsi="仿宋" w:eastAsia="仿宋"/>
          <w:sz w:val="32"/>
          <w:szCs w:val="32"/>
        </w:rPr>
        <w:t>负责审查干部的现实政治表现及对选拔任用干部工作进行监督，研究加强对各级领导干部的监督工作。负责全区干部档案工作的宏观管理，直接管理全区副科级以上干部和党群系统一般干部档案。承办因公出国、出境人员的政审工作。</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负责老干部工作的宏观管理和指导，督促检查老干部政策和待遇的落实。</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（十一）、</w:t>
      </w:r>
      <w:r>
        <w:rPr>
          <w:rFonts w:hint="eastAsia" w:ascii="仿宋" w:hAnsi="仿宋" w:eastAsia="仿宋"/>
          <w:sz w:val="32"/>
          <w:szCs w:val="32"/>
        </w:rPr>
        <w:t>负责组织史资料征编工作和党员电化教育工作。</w:t>
      </w:r>
    </w:p>
    <w:p>
      <w:pPr>
        <w:widowControl/>
        <w:spacing w:line="540" w:lineRule="exact"/>
        <w:ind w:firstLine="640" w:firstLineChars="200"/>
        <w:rPr>
          <w:rFonts w:ascii="仿宋" w:hAnsi="仿宋" w:eastAsia="仿宋"/>
          <w:sz w:val="32"/>
          <w:szCs w:val="32"/>
        </w:rPr>
      </w:pPr>
      <w:r>
        <w:rPr>
          <w:rFonts w:ascii="仿宋" w:hAnsi="仿宋" w:eastAsia="仿宋"/>
          <w:sz w:val="32"/>
          <w:szCs w:val="32"/>
        </w:rPr>
        <w:t>（十二）、</w:t>
      </w:r>
      <w:r>
        <w:rPr>
          <w:rFonts w:hint="eastAsia" w:ascii="仿宋" w:hAnsi="仿宋" w:eastAsia="仿宋"/>
          <w:sz w:val="32"/>
          <w:szCs w:val="32"/>
        </w:rPr>
        <w:t>负责区委交办的其他工作任务。</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jc w:val="left"/>
        <w:textAlignment w:val="auto"/>
        <w:rPr>
          <w:rFonts w:hint="default" w:ascii="仿宋" w:hAnsi="仿宋" w:eastAsia="方正仿宋简体"/>
          <w:sz w:val="32"/>
          <w:szCs w:val="32"/>
          <w:lang w:val="en-US" w:eastAsia="zh-CN"/>
        </w:rPr>
      </w:pPr>
      <w:r>
        <w:rPr>
          <w:rFonts w:hint="eastAsia" w:ascii="黑体" w:hAnsi="黑体" w:eastAsia="黑体" w:cs="黑体"/>
          <w:sz w:val="32"/>
          <w:szCs w:val="32"/>
          <w:lang w:eastAsia="zh-CN"/>
        </w:rPr>
        <w:t>机构设置</w:t>
      </w:r>
      <w:r>
        <w:rPr>
          <w:rFonts w:hint="eastAsia" w:ascii="方正仿宋简体" w:hAnsi="方正仿宋简体" w:eastAsia="方正仿宋简体" w:cs="方正仿宋简体"/>
          <w:sz w:val="32"/>
          <w:szCs w:val="32"/>
          <w:lang w:val="en-US" w:eastAsia="zh-CN"/>
        </w:rPr>
        <w:t xml:space="preserve">  </w:t>
      </w:r>
    </w:p>
    <w:p>
      <w:pPr>
        <w:widowControl/>
        <w:spacing w:line="540" w:lineRule="exact"/>
        <w:ind w:firstLine="640" w:firstLineChars="200"/>
        <w:jc w:val="left"/>
        <w:rPr>
          <w:rFonts w:ascii="仿宋" w:hAnsi="仿宋" w:eastAsia="仿宋"/>
          <w:sz w:val="32"/>
          <w:szCs w:val="32"/>
        </w:rPr>
      </w:pPr>
      <w:r>
        <w:rPr>
          <w:rFonts w:ascii="仿宋" w:hAnsi="仿宋" w:eastAsia="仿宋"/>
          <w:sz w:val="32"/>
          <w:szCs w:val="32"/>
        </w:rPr>
        <w:t>根据区编办最近核定的三定方案要求，</w:t>
      </w:r>
      <w:r>
        <w:rPr>
          <w:rFonts w:hint="eastAsia" w:ascii="仿宋" w:hAnsi="仿宋" w:eastAsia="仿宋"/>
          <w:sz w:val="32"/>
          <w:szCs w:val="32"/>
        </w:rPr>
        <w:t>中共唐山市丰润区委</w:t>
      </w:r>
      <w:r>
        <w:rPr>
          <w:rFonts w:hint="eastAsia" w:ascii="仿宋" w:hAnsi="仿宋" w:eastAsia="仿宋"/>
          <w:sz w:val="32"/>
          <w:szCs w:val="32"/>
          <w:lang w:eastAsia="zh-CN"/>
        </w:rPr>
        <w:t>组织部</w:t>
      </w:r>
      <w:r>
        <w:rPr>
          <w:rFonts w:ascii="仿宋" w:hAnsi="仿宋" w:eastAsia="仿宋"/>
          <w:sz w:val="32"/>
          <w:szCs w:val="32"/>
        </w:rPr>
        <w:t>为行政编制单位，内设</w:t>
      </w:r>
      <w:r>
        <w:rPr>
          <w:rFonts w:hint="eastAsia" w:ascii="仿宋" w:hAnsi="仿宋" w:eastAsia="仿宋"/>
          <w:sz w:val="32"/>
          <w:szCs w:val="32"/>
          <w:lang w:val="en-US" w:eastAsia="zh-CN"/>
        </w:rPr>
        <w:t>12</w:t>
      </w:r>
      <w:r>
        <w:rPr>
          <w:rFonts w:ascii="仿宋" w:hAnsi="仿宋" w:eastAsia="仿宋"/>
          <w:sz w:val="32"/>
          <w:szCs w:val="32"/>
        </w:rPr>
        <w:t>个行政职能科室，</w:t>
      </w:r>
      <w:r>
        <w:rPr>
          <w:rFonts w:hint="eastAsia" w:ascii="仿宋" w:hAnsi="仿宋" w:eastAsia="仿宋"/>
          <w:sz w:val="32"/>
          <w:szCs w:val="32"/>
          <w:lang w:eastAsia="zh-CN"/>
        </w:rPr>
        <w:t>办公室、干部科、干部综合科、公务员科、干部监督科、干部教育科、人才工作科、考核科、农村党建科、城市党建科、组织指导科、非公经济组织和社会组织党建科</w:t>
      </w:r>
      <w:r>
        <w:rPr>
          <w:rFonts w:hint="eastAsia" w:ascii="仿宋" w:hAnsi="仿宋" w:eastAsia="仿宋"/>
          <w:sz w:val="32"/>
          <w:szCs w:val="32"/>
        </w:rPr>
        <w:t>。</w:t>
      </w:r>
      <w:r>
        <w:rPr>
          <w:rFonts w:ascii="仿宋" w:hAnsi="仿宋" w:eastAsia="仿宋"/>
          <w:sz w:val="32"/>
          <w:szCs w:val="32"/>
        </w:rPr>
        <w:t>人员编制数</w:t>
      </w:r>
      <w:r>
        <w:rPr>
          <w:rFonts w:hint="eastAsia" w:ascii="仿宋" w:hAnsi="仿宋" w:eastAsia="仿宋"/>
          <w:sz w:val="32"/>
          <w:szCs w:val="32"/>
          <w:lang w:val="en-US" w:eastAsia="zh-CN"/>
        </w:rPr>
        <w:t>47</w:t>
      </w:r>
      <w:r>
        <w:rPr>
          <w:rFonts w:ascii="仿宋" w:hAnsi="仿宋" w:eastAsia="仿宋"/>
          <w:sz w:val="32"/>
          <w:szCs w:val="32"/>
        </w:rPr>
        <w:t>个，实际在编</w:t>
      </w:r>
      <w:r>
        <w:rPr>
          <w:rFonts w:hint="eastAsia" w:ascii="仿宋" w:hAnsi="仿宋" w:eastAsia="仿宋"/>
          <w:sz w:val="32"/>
          <w:szCs w:val="32"/>
          <w:lang w:val="en-US" w:eastAsia="zh-CN"/>
        </w:rPr>
        <w:t>41</w:t>
      </w:r>
      <w:r>
        <w:rPr>
          <w:rFonts w:ascii="仿宋" w:hAnsi="仿宋" w:eastAsia="仿宋"/>
          <w:sz w:val="32"/>
          <w:szCs w:val="32"/>
        </w:rPr>
        <w:t>人。</w:t>
      </w:r>
    </w:p>
    <w:p>
      <w:pPr>
        <w:widowControl/>
        <w:spacing w:line="540" w:lineRule="exact"/>
        <w:ind w:firstLine="643" w:firstLineChars="200"/>
        <w:jc w:val="center"/>
        <w:rPr>
          <w:rFonts w:hint="eastAsia" w:ascii="仿宋" w:hAnsi="仿宋" w:eastAsia="仿宋"/>
          <w:b/>
          <w:bCs/>
          <w:sz w:val="32"/>
          <w:szCs w:val="32"/>
          <w:lang w:eastAsia="zh-CN"/>
        </w:rPr>
      </w:pPr>
    </w:p>
    <w:p>
      <w:pPr>
        <w:widowControl/>
        <w:spacing w:line="540" w:lineRule="exact"/>
        <w:ind w:firstLine="643" w:firstLineChars="200"/>
        <w:jc w:val="center"/>
        <w:rPr>
          <w:rFonts w:ascii="仿宋" w:hAnsi="仿宋" w:eastAsia="仿宋"/>
          <w:sz w:val="32"/>
          <w:szCs w:val="32"/>
        </w:rPr>
      </w:pPr>
      <w:r>
        <w:rPr>
          <w:rFonts w:hint="eastAsia" w:ascii="仿宋" w:hAnsi="仿宋" w:eastAsia="仿宋"/>
          <w:b/>
          <w:bCs/>
          <w:sz w:val="32"/>
          <w:szCs w:val="32"/>
          <w:lang w:eastAsia="zh-CN"/>
        </w:rPr>
        <w:t>区委办机构设置情况</w:t>
      </w:r>
    </w:p>
    <w:p>
      <w:pPr>
        <w:widowControl/>
        <w:spacing w:line="540" w:lineRule="exact"/>
        <w:ind w:firstLine="640" w:firstLineChars="200"/>
        <w:jc w:val="center"/>
        <w:rPr>
          <w:rFonts w:ascii="仿宋" w:hAnsi="仿宋" w:eastAsia="仿宋"/>
          <w:sz w:val="32"/>
          <w:szCs w:val="32"/>
        </w:rPr>
      </w:pPr>
    </w:p>
    <w:tbl>
      <w:tblPr>
        <w:tblStyle w:val="7"/>
        <w:tblpPr w:leftFromText="180" w:rightFromText="180" w:vertAnchor="text" w:horzAnchor="page" w:tblpX="1183" w:tblpY="-959"/>
        <w:tblOverlap w:val="never"/>
        <w:tblW w:w="9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1519"/>
        <w:gridCol w:w="1539"/>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4110"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单位名称</w:t>
            </w:r>
          </w:p>
        </w:tc>
        <w:tc>
          <w:tcPr>
            <w:tcW w:w="1519"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单位性质</w:t>
            </w:r>
          </w:p>
        </w:tc>
        <w:tc>
          <w:tcPr>
            <w:tcW w:w="1539"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单位规格</w:t>
            </w:r>
          </w:p>
        </w:tc>
        <w:tc>
          <w:tcPr>
            <w:tcW w:w="2596"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110" w:type="dxa"/>
          </w:tcPr>
          <w:p>
            <w:pPr>
              <w:widowControl/>
              <w:spacing w:line="540" w:lineRule="exact"/>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中共唐山市丰润区委组织部</w:t>
            </w:r>
          </w:p>
        </w:tc>
        <w:tc>
          <w:tcPr>
            <w:tcW w:w="1519"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行政</w:t>
            </w:r>
          </w:p>
        </w:tc>
        <w:tc>
          <w:tcPr>
            <w:tcW w:w="1539"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正科级</w:t>
            </w:r>
          </w:p>
        </w:tc>
        <w:tc>
          <w:tcPr>
            <w:tcW w:w="2596" w:type="dxa"/>
            <w:vAlign w:val="center"/>
          </w:tcPr>
          <w:p>
            <w:pPr>
              <w:widowControl/>
              <w:spacing w:line="540" w:lineRule="exact"/>
              <w:jc w:val="center"/>
              <w:rPr>
                <w:rFonts w:hint="eastAsia" w:ascii="仿宋" w:hAnsi="仿宋" w:eastAsia="仿宋"/>
                <w:sz w:val="32"/>
                <w:szCs w:val="32"/>
                <w:vertAlign w:val="baseline"/>
                <w:lang w:eastAsia="zh-CN"/>
              </w:rPr>
            </w:pPr>
            <w:r>
              <w:rPr>
                <w:rFonts w:hint="eastAsia" w:ascii="仿宋" w:hAnsi="仿宋" w:eastAsia="仿宋"/>
                <w:sz w:val="32"/>
                <w:szCs w:val="32"/>
                <w:vertAlign w:val="baseline"/>
                <w:lang w:eastAsia="zh-CN"/>
              </w:rPr>
              <w:t>财政拨款</w:t>
            </w:r>
          </w:p>
        </w:tc>
      </w:tr>
    </w:tbl>
    <w:p>
      <w:pPr>
        <w:widowControl/>
        <w:spacing w:line="540" w:lineRule="exact"/>
        <w:ind w:firstLine="643" w:firstLineChars="200"/>
        <w:rPr>
          <w:rFonts w:ascii="仿宋" w:hAnsi="仿宋" w:eastAsia="仿宋"/>
          <w:b/>
          <w:sz w:val="32"/>
          <w:szCs w:val="32"/>
        </w:rPr>
      </w:pPr>
      <w:r>
        <w:rPr>
          <w:rFonts w:hint="eastAsia" w:ascii="仿宋" w:hAnsi="仿宋" w:eastAsia="仿宋"/>
          <w:b/>
          <w:sz w:val="32"/>
          <w:szCs w:val="32"/>
        </w:rPr>
        <w:t>二、部门预算总体安排情况</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年一般公共预算拨款收入</w:t>
      </w:r>
      <w:r>
        <w:rPr>
          <w:rFonts w:hint="eastAsia" w:ascii="方正仿宋简体" w:hAnsi="方正仿宋简体" w:eastAsia="方正仿宋简体" w:cs="方正仿宋简体"/>
          <w:color w:val="000000"/>
          <w:sz w:val="32"/>
          <w:szCs w:val="32"/>
          <w:shd w:val="clear" w:color="auto" w:fill="FFFFFF"/>
          <w:lang w:val="en-US" w:eastAsia="zh-CN"/>
        </w:rPr>
        <w:t>9406.27万</w:t>
      </w:r>
      <w:r>
        <w:rPr>
          <w:rFonts w:hint="eastAsia" w:ascii="方正仿宋简体" w:hAnsi="方正仿宋简体" w:eastAsia="方正仿宋简体" w:cs="方正仿宋简体"/>
          <w:sz w:val="32"/>
          <w:szCs w:val="32"/>
        </w:rPr>
        <w:t>元。</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年，根据本单位职责和工作任务规划，共安排部门预算支出</w:t>
      </w:r>
      <w:r>
        <w:rPr>
          <w:rFonts w:hint="eastAsia" w:ascii="方正仿宋简体" w:hAnsi="方正仿宋简体" w:eastAsia="方正仿宋简体" w:cs="方正仿宋简体"/>
          <w:color w:val="000000"/>
          <w:sz w:val="32"/>
          <w:szCs w:val="32"/>
          <w:shd w:val="clear" w:color="auto" w:fill="FFFFFF"/>
          <w:lang w:val="en-US" w:eastAsia="zh-CN"/>
        </w:rPr>
        <w:t>9406.27万</w:t>
      </w:r>
      <w:r>
        <w:rPr>
          <w:rFonts w:hint="eastAsia" w:ascii="方正仿宋简体" w:hAnsi="方正仿宋简体" w:eastAsia="方正仿宋简体" w:cs="方正仿宋简体"/>
          <w:sz w:val="32"/>
          <w:szCs w:val="32"/>
        </w:rPr>
        <w:t>元。其中人员经费支出</w:t>
      </w:r>
      <w:r>
        <w:rPr>
          <w:rFonts w:hint="eastAsia" w:ascii="方正仿宋简体" w:hAnsi="方正仿宋简体" w:eastAsia="方正仿宋简体" w:cs="方正仿宋简体"/>
          <w:sz w:val="32"/>
          <w:szCs w:val="32"/>
          <w:lang w:val="en-US" w:eastAsia="zh-CN"/>
        </w:rPr>
        <w:t>509.28万</w:t>
      </w:r>
      <w:r>
        <w:rPr>
          <w:rFonts w:hint="eastAsia" w:ascii="方正仿宋简体" w:hAnsi="方正仿宋简体" w:eastAsia="方正仿宋简体" w:cs="方正仿宋简体"/>
          <w:sz w:val="32"/>
          <w:szCs w:val="32"/>
        </w:rPr>
        <w:t>元，日常公用经费支出</w:t>
      </w:r>
      <w:r>
        <w:rPr>
          <w:rFonts w:hint="eastAsia" w:ascii="方正仿宋简体" w:hAnsi="方正仿宋简体" w:eastAsia="方正仿宋简体" w:cs="方正仿宋简体"/>
          <w:sz w:val="32"/>
          <w:szCs w:val="32"/>
          <w:lang w:val="en-US" w:eastAsia="zh-CN"/>
        </w:rPr>
        <w:t>55.19万</w:t>
      </w:r>
      <w:r>
        <w:rPr>
          <w:rFonts w:hint="eastAsia" w:ascii="方正仿宋简体" w:hAnsi="方正仿宋简体" w:eastAsia="方正仿宋简体" w:cs="方正仿宋简体"/>
          <w:sz w:val="32"/>
          <w:szCs w:val="32"/>
        </w:rPr>
        <w:t>元，项目支出</w:t>
      </w:r>
      <w:r>
        <w:rPr>
          <w:rFonts w:hint="eastAsia" w:ascii="方正仿宋简体" w:hAnsi="方正仿宋简体" w:eastAsia="方正仿宋简体" w:cs="方正仿宋简体"/>
          <w:sz w:val="32"/>
          <w:szCs w:val="32"/>
          <w:lang w:val="en-US" w:eastAsia="zh-CN"/>
        </w:rPr>
        <w:t>8841.80万</w:t>
      </w:r>
      <w:r>
        <w:rPr>
          <w:rFonts w:hint="eastAsia" w:ascii="方正仿宋简体" w:hAnsi="方正仿宋简体" w:eastAsia="方正仿宋简体" w:cs="方正仿宋简体"/>
          <w:sz w:val="32"/>
          <w:szCs w:val="32"/>
        </w:rPr>
        <w:t>元。</w:t>
      </w:r>
    </w:p>
    <w:p>
      <w:pPr>
        <w:widowControl/>
        <w:spacing w:line="540" w:lineRule="exact"/>
        <w:ind w:firstLine="640" w:firstLineChars="200"/>
        <w:rPr>
          <w:rFonts w:ascii="仿宋" w:hAnsi="仿宋" w:eastAsia="仿宋"/>
          <w:sz w:val="32"/>
          <w:szCs w:val="32"/>
        </w:rPr>
      </w:pPr>
      <w:r>
        <w:rPr>
          <w:rFonts w:hint="eastAsia" w:ascii="方正仿宋简体" w:hAnsi="方正仿宋简体" w:eastAsia="方正仿宋简体" w:cs="方正仿宋简体"/>
          <w:sz w:val="32"/>
          <w:szCs w:val="32"/>
        </w:rPr>
        <w:t>3、与上年相比</w:t>
      </w:r>
      <w:r>
        <w:rPr>
          <w:rFonts w:hint="eastAsia" w:ascii="方正仿宋简体" w:hAnsi="方正仿宋简体" w:eastAsia="方正仿宋简体" w:cs="方正仿宋简体"/>
          <w:sz w:val="32"/>
          <w:szCs w:val="32"/>
          <w:lang w:eastAsia="zh-CN"/>
        </w:rPr>
        <w:t>减少</w:t>
      </w:r>
      <w:r>
        <w:rPr>
          <w:rFonts w:hint="eastAsia" w:ascii="方正仿宋简体" w:hAnsi="方正仿宋简体" w:eastAsia="方正仿宋简体" w:cs="方正仿宋简体"/>
          <w:sz w:val="32"/>
          <w:szCs w:val="32"/>
          <w:lang w:val="en-US" w:eastAsia="zh-CN"/>
        </w:rPr>
        <w:t>1218.39</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主要原因为</w:t>
      </w:r>
      <w:r>
        <w:rPr>
          <w:rFonts w:hint="eastAsia" w:ascii="方正仿宋简体" w:hAnsi="方正仿宋简体" w:eastAsia="方正仿宋简体" w:cs="方正仿宋简体"/>
          <w:sz w:val="32"/>
          <w:szCs w:val="32"/>
          <w:lang w:val="en-US" w:eastAsia="zh-CN"/>
        </w:rPr>
        <w:t>2019年补发全区2015-2016年度考核奖金</w:t>
      </w:r>
      <w:r>
        <w:rPr>
          <w:rFonts w:hint="eastAsia" w:ascii="方正仿宋简体" w:hAnsi="方正仿宋简体" w:eastAsia="方正仿宋简体" w:cs="方正仿宋简体"/>
          <w:sz w:val="32"/>
          <w:szCs w:val="32"/>
        </w:rPr>
        <w:t>。</w:t>
      </w:r>
    </w:p>
    <w:p>
      <w:pPr>
        <w:widowControl/>
        <w:spacing w:line="540" w:lineRule="exact"/>
        <w:ind w:firstLine="643" w:firstLineChars="200"/>
        <w:rPr>
          <w:rFonts w:hint="eastAsia" w:ascii="仿宋" w:hAnsi="仿宋" w:eastAsia="仿宋"/>
          <w:b/>
          <w:sz w:val="32"/>
          <w:szCs w:val="32"/>
        </w:rPr>
      </w:pPr>
      <w:r>
        <w:rPr>
          <w:rFonts w:hint="eastAsia" w:ascii="仿宋" w:hAnsi="仿宋" w:eastAsia="仿宋"/>
          <w:b/>
          <w:sz w:val="32"/>
          <w:szCs w:val="32"/>
        </w:rPr>
        <w:t>三、机关运行经</w:t>
      </w:r>
    </w:p>
    <w:p>
      <w:pPr>
        <w:widowControl/>
        <w:spacing w:line="540" w:lineRule="exact"/>
        <w:ind w:firstLine="643" w:firstLineChars="200"/>
        <w:rPr>
          <w:rFonts w:ascii="仿宋" w:hAnsi="仿宋" w:eastAsia="仿宋"/>
          <w:b/>
          <w:sz w:val="32"/>
          <w:szCs w:val="32"/>
        </w:rPr>
      </w:pPr>
      <w:r>
        <w:rPr>
          <w:rFonts w:hint="eastAsia" w:ascii="仿宋" w:hAnsi="仿宋" w:eastAsia="仿宋"/>
          <w:b/>
          <w:sz w:val="32"/>
          <w:szCs w:val="32"/>
        </w:rPr>
        <w:t>费安排情况</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日常公用经费支出总计</w:t>
      </w:r>
      <w:r>
        <w:rPr>
          <w:rFonts w:hint="eastAsia" w:ascii="方正仿宋简体" w:hAnsi="方正仿宋简体" w:eastAsia="方正仿宋简体" w:cs="方正仿宋简体"/>
          <w:sz w:val="32"/>
          <w:szCs w:val="32"/>
          <w:lang w:val="en-US" w:eastAsia="zh-CN"/>
        </w:rPr>
        <w:t>55.1</w:t>
      </w:r>
      <w:r>
        <w:rPr>
          <w:rFonts w:hint="eastAsia" w:ascii="方正仿宋简体" w:hAnsi="方正仿宋简体" w:eastAsia="方正仿宋简体" w:cs="方正仿宋简体"/>
          <w:sz w:val="32"/>
          <w:szCs w:val="32"/>
        </w:rPr>
        <w:t>元。其中：</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1、办公费：</w:t>
      </w:r>
      <w:r>
        <w:rPr>
          <w:rFonts w:hint="eastAsia" w:ascii="方正仿宋简体" w:hAnsi="方正仿宋简体" w:eastAsia="方正仿宋简体" w:cs="方正仿宋简体"/>
          <w:sz w:val="32"/>
          <w:szCs w:val="32"/>
          <w:lang w:val="en-US" w:eastAsia="zh-CN"/>
        </w:rPr>
        <w:t>8.01万</w:t>
      </w:r>
      <w:r>
        <w:rPr>
          <w:rFonts w:hint="eastAsia" w:ascii="方正仿宋简体" w:hAnsi="方正仿宋简体" w:eastAsia="方正仿宋简体" w:cs="方正仿宋简体"/>
          <w:sz w:val="32"/>
          <w:szCs w:val="32"/>
        </w:rPr>
        <w:t>元。</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2、邮电费：</w:t>
      </w:r>
      <w:r>
        <w:rPr>
          <w:rFonts w:hint="eastAsia" w:ascii="方正仿宋简体" w:hAnsi="方正仿宋简体" w:eastAsia="方正仿宋简体" w:cs="方正仿宋简体"/>
          <w:sz w:val="32"/>
          <w:szCs w:val="32"/>
          <w:lang w:val="en-US" w:eastAsia="zh-CN"/>
        </w:rPr>
        <w:t>18.74万</w:t>
      </w:r>
      <w:r>
        <w:rPr>
          <w:rFonts w:hint="eastAsia" w:ascii="方正仿宋简体" w:hAnsi="方正仿宋简体" w:eastAsia="方正仿宋简体" w:cs="方正仿宋简体"/>
          <w:sz w:val="32"/>
          <w:szCs w:val="32"/>
        </w:rPr>
        <w:t>元。</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3、差旅费：</w:t>
      </w:r>
      <w:r>
        <w:rPr>
          <w:rFonts w:hint="eastAsia" w:ascii="方正仿宋简体" w:hAnsi="方正仿宋简体" w:eastAsia="方正仿宋简体" w:cs="方正仿宋简体"/>
          <w:sz w:val="32"/>
          <w:szCs w:val="32"/>
          <w:lang w:val="en-US" w:eastAsia="zh-CN"/>
        </w:rPr>
        <w:t>0.6万</w:t>
      </w:r>
      <w:r>
        <w:rPr>
          <w:rFonts w:hint="eastAsia" w:ascii="方正仿宋简体" w:hAnsi="方正仿宋简体" w:eastAsia="方正仿宋简体" w:cs="方正仿宋简体"/>
          <w:sz w:val="32"/>
          <w:szCs w:val="32"/>
        </w:rPr>
        <w:t>元。</w:t>
      </w:r>
    </w:p>
    <w:p>
      <w:pPr>
        <w:widowControl/>
        <w:spacing w:line="540" w:lineRule="exact"/>
        <w:ind w:firstLine="640" w:firstLineChars="200"/>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4、</w:t>
      </w:r>
      <w:r>
        <w:rPr>
          <w:rFonts w:hint="eastAsia" w:ascii="方正仿宋简体" w:hAnsi="方正仿宋简体" w:eastAsia="方正仿宋简体" w:cs="方正仿宋简体"/>
          <w:sz w:val="32"/>
          <w:szCs w:val="32"/>
          <w:lang w:val="en-US" w:eastAsia="zh-CN"/>
        </w:rPr>
        <w:t>工会经费：0.41万元。按在职职工每人每年100元安排。</w:t>
      </w:r>
    </w:p>
    <w:p>
      <w:pPr>
        <w:widowControl/>
        <w:spacing w:line="540" w:lineRule="exact"/>
        <w:ind w:firstLine="636" w:firstLineChars="199"/>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、福利费：</w:t>
      </w:r>
      <w:r>
        <w:rPr>
          <w:rFonts w:hint="eastAsia" w:ascii="方正仿宋简体" w:hAnsi="方正仿宋简体" w:eastAsia="方正仿宋简体" w:cs="方正仿宋简体"/>
          <w:sz w:val="32"/>
          <w:szCs w:val="32"/>
          <w:lang w:val="en-US" w:eastAsia="zh-CN"/>
        </w:rPr>
        <w:t>0.63万</w:t>
      </w:r>
      <w:r>
        <w:rPr>
          <w:rFonts w:hint="eastAsia" w:ascii="方正仿宋简体" w:hAnsi="方正仿宋简体" w:eastAsia="方正仿宋简体" w:cs="方正仿宋简体"/>
          <w:sz w:val="32"/>
          <w:szCs w:val="32"/>
        </w:rPr>
        <w:t>元。按在职职工每人每年150元安排</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退休人员</w:t>
      </w:r>
      <w:r>
        <w:rPr>
          <w:rFonts w:hint="eastAsia" w:ascii="方正仿宋简体" w:hAnsi="方正仿宋简体" w:eastAsia="方正仿宋简体" w:cs="方正仿宋简体"/>
          <w:sz w:val="32"/>
          <w:szCs w:val="32"/>
          <w:lang w:eastAsia="zh-CN"/>
        </w:rPr>
        <w:t>每人</w:t>
      </w:r>
      <w:r>
        <w:rPr>
          <w:rFonts w:hint="eastAsia" w:ascii="方正仿宋简体" w:hAnsi="方正仿宋简体" w:eastAsia="方正仿宋简体" w:cs="方正仿宋简体"/>
          <w:sz w:val="32"/>
          <w:szCs w:val="32"/>
        </w:rPr>
        <w:t>每年20元安排。</w:t>
      </w:r>
    </w:p>
    <w:p>
      <w:pPr>
        <w:widowControl/>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、公务用车运行维护费：</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lang w:eastAsia="zh-CN"/>
        </w:rPr>
        <w:t>万</w:t>
      </w:r>
      <w:r>
        <w:rPr>
          <w:rFonts w:hint="eastAsia" w:ascii="方正仿宋简体" w:hAnsi="方正仿宋简体" w:eastAsia="方正仿宋简体" w:cs="方正仿宋简体"/>
          <w:sz w:val="32"/>
          <w:szCs w:val="32"/>
        </w:rPr>
        <w:t>元。</w:t>
      </w:r>
    </w:p>
    <w:p>
      <w:pPr>
        <w:widowControl/>
        <w:spacing w:line="540" w:lineRule="exact"/>
        <w:ind w:left="638" w:leftChars="304"/>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、其他交通费（公务交通补贴）：</w:t>
      </w:r>
      <w:r>
        <w:rPr>
          <w:rFonts w:hint="eastAsia" w:ascii="方正仿宋简体" w:hAnsi="方正仿宋简体" w:eastAsia="方正仿宋简体" w:cs="方正仿宋简体"/>
          <w:sz w:val="32"/>
          <w:szCs w:val="32"/>
          <w:lang w:val="en-US" w:eastAsia="zh-CN"/>
        </w:rPr>
        <w:t>21.6万</w:t>
      </w:r>
      <w:r>
        <w:rPr>
          <w:rFonts w:hint="eastAsia" w:ascii="方正仿宋简体" w:hAnsi="方正仿宋简体" w:eastAsia="方正仿宋简体" w:cs="方正仿宋简体"/>
          <w:sz w:val="32"/>
          <w:szCs w:val="32"/>
        </w:rPr>
        <w:t>元。</w:t>
      </w:r>
    </w:p>
    <w:p>
      <w:pPr>
        <w:widowControl/>
        <w:snapToGrid w:val="0"/>
        <w:spacing w:line="588" w:lineRule="exact"/>
        <w:ind w:firstLine="643" w:firstLineChars="200"/>
        <w:rPr>
          <w:rFonts w:ascii="仿宋" w:hAnsi="仿宋" w:eastAsia="仿宋"/>
          <w:b/>
          <w:sz w:val="32"/>
          <w:szCs w:val="32"/>
        </w:rPr>
      </w:pPr>
      <w:r>
        <w:rPr>
          <w:rFonts w:hint="eastAsia" w:ascii="仿宋" w:hAnsi="仿宋" w:eastAsia="仿宋"/>
          <w:b/>
          <w:sz w:val="32"/>
          <w:szCs w:val="32"/>
        </w:rPr>
        <w:t>四、</w:t>
      </w:r>
      <w:r>
        <w:rPr>
          <w:rFonts w:hint="eastAsia" w:ascii="仿宋" w:hAnsi="仿宋" w:eastAsia="仿宋"/>
          <w:b/>
          <w:sz w:val="32"/>
          <w:szCs w:val="32"/>
          <w:lang w:eastAsia="zh-CN"/>
        </w:rPr>
        <w:t>财政拨款</w:t>
      </w:r>
      <w:r>
        <w:rPr>
          <w:rFonts w:ascii="仿宋" w:hAnsi="仿宋" w:eastAsia="仿宋"/>
          <w:b/>
          <w:sz w:val="32"/>
          <w:szCs w:val="32"/>
        </w:rPr>
        <w:t>“三公”经费</w:t>
      </w:r>
      <w:r>
        <w:rPr>
          <w:rFonts w:hint="eastAsia" w:ascii="仿宋" w:hAnsi="仿宋" w:eastAsia="仿宋"/>
          <w:b/>
          <w:sz w:val="32"/>
          <w:szCs w:val="32"/>
          <w:lang w:eastAsia="zh-CN"/>
        </w:rPr>
        <w:t>预算</w:t>
      </w:r>
      <w:r>
        <w:rPr>
          <w:rFonts w:ascii="仿宋" w:hAnsi="仿宋" w:eastAsia="仿宋"/>
          <w:b/>
          <w:sz w:val="32"/>
          <w:szCs w:val="32"/>
        </w:rPr>
        <w:t>情况</w:t>
      </w:r>
    </w:p>
    <w:p>
      <w:pPr>
        <w:widowControl/>
        <w:snapToGrid w:val="0"/>
        <w:spacing w:line="588"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w:t>
      </w:r>
      <w:r>
        <w:rPr>
          <w:rFonts w:hint="eastAsia" w:ascii="方正仿宋简体" w:hAnsi="方正仿宋简体" w:eastAsia="方正仿宋简体" w:cs="方正仿宋简体"/>
          <w:sz w:val="32"/>
          <w:szCs w:val="32"/>
          <w:lang w:val="en-US" w:eastAsia="zh-CN"/>
        </w:rPr>
        <w:t>21</w:t>
      </w:r>
      <w:r>
        <w:rPr>
          <w:rFonts w:hint="eastAsia" w:ascii="方正仿宋简体" w:hAnsi="方正仿宋简体" w:eastAsia="方正仿宋简体" w:cs="方正仿宋简体"/>
          <w:sz w:val="32"/>
          <w:szCs w:val="32"/>
        </w:rPr>
        <w:t>年我部门“三公”经费预算安排</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万元，</w:t>
      </w:r>
      <w:r>
        <w:rPr>
          <w:rFonts w:hint="eastAsia" w:ascii="方正仿宋简体" w:hAnsi="方正仿宋简体" w:eastAsia="方正仿宋简体" w:cs="方正仿宋简体"/>
          <w:sz w:val="32"/>
          <w:szCs w:val="32"/>
          <w:lang w:eastAsia="zh-CN"/>
        </w:rPr>
        <w:t>与</w:t>
      </w:r>
      <w:r>
        <w:rPr>
          <w:rFonts w:hint="eastAsia" w:ascii="方正仿宋简体" w:hAnsi="方正仿宋简体" w:eastAsia="方正仿宋简体" w:cs="方正仿宋简体"/>
          <w:sz w:val="32"/>
          <w:szCs w:val="32"/>
        </w:rPr>
        <w:t>上年预算</w:t>
      </w:r>
      <w:r>
        <w:rPr>
          <w:rFonts w:hint="eastAsia" w:ascii="方正仿宋简体" w:hAnsi="方正仿宋简体" w:eastAsia="方正仿宋简体" w:cs="方正仿宋简体"/>
          <w:sz w:val="32"/>
          <w:szCs w:val="32"/>
          <w:lang w:eastAsia="zh-CN"/>
        </w:rPr>
        <w:t>相比减少</w:t>
      </w:r>
      <w:r>
        <w:rPr>
          <w:rFonts w:hint="eastAsia" w:ascii="方正仿宋简体" w:hAnsi="方正仿宋简体" w:eastAsia="方正仿宋简体" w:cs="方正仿宋简体"/>
          <w:sz w:val="32"/>
          <w:szCs w:val="32"/>
          <w:lang w:val="en-US" w:eastAsia="zh-CN"/>
        </w:rPr>
        <w:t>800元</w:t>
      </w:r>
      <w:r>
        <w:rPr>
          <w:rFonts w:hint="eastAsia" w:ascii="方正仿宋简体" w:hAnsi="方正仿宋简体" w:eastAsia="方正仿宋简体" w:cs="方正仿宋简体"/>
          <w:sz w:val="32"/>
          <w:szCs w:val="32"/>
        </w:rPr>
        <w:t xml:space="preserve">。具体安排情况为： </w:t>
      </w:r>
    </w:p>
    <w:p>
      <w:pPr>
        <w:widowControl/>
        <w:numPr>
          <w:ilvl w:val="0"/>
          <w:numId w:val="1"/>
        </w:numPr>
        <w:snapToGrid w:val="0"/>
        <w:spacing w:line="588"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公务用车购置及运行费。共计安排</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万元，与20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年预算相比无变化。①公务用车购置安排0万元。②公车运行维护经费安排</w:t>
      </w:r>
      <w:r>
        <w:rPr>
          <w:rFonts w:hint="eastAsia" w:ascii="方正仿宋简体" w:hAnsi="方正仿宋简体" w:eastAsia="方正仿宋简体" w:cs="方正仿宋简体"/>
          <w:sz w:val="32"/>
          <w:szCs w:val="32"/>
          <w:lang w:val="en-US" w:eastAsia="zh-CN"/>
        </w:rPr>
        <w:t>6</w:t>
      </w:r>
      <w:r>
        <w:rPr>
          <w:rFonts w:hint="eastAsia" w:ascii="方正仿宋简体" w:hAnsi="方正仿宋简体" w:eastAsia="方正仿宋简体" w:cs="方正仿宋简体"/>
          <w:sz w:val="32"/>
          <w:szCs w:val="32"/>
        </w:rPr>
        <w:t>万元，与上年预算相比无变化。</w:t>
      </w:r>
    </w:p>
    <w:p>
      <w:pPr>
        <w:widowControl/>
        <w:numPr>
          <w:ilvl w:val="0"/>
          <w:numId w:val="1"/>
        </w:numPr>
        <w:snapToGrid w:val="0"/>
        <w:spacing w:line="588"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公务接待费。安排</w:t>
      </w:r>
      <w:r>
        <w:rPr>
          <w:rFonts w:hint="eastAsia" w:ascii="方正仿宋简体" w:hAnsi="方正仿宋简体" w:eastAsia="方正仿宋简体" w:cs="方正仿宋简体"/>
          <w:sz w:val="32"/>
          <w:szCs w:val="32"/>
          <w:lang w:val="en-US" w:eastAsia="zh-CN"/>
        </w:rPr>
        <w:t>0</w:t>
      </w:r>
      <w:r>
        <w:rPr>
          <w:rFonts w:hint="eastAsia" w:ascii="方正仿宋简体" w:hAnsi="方正仿宋简体" w:eastAsia="方正仿宋简体" w:cs="方正仿宋简体"/>
          <w:sz w:val="32"/>
          <w:szCs w:val="32"/>
        </w:rPr>
        <w:t>万元，与20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年相比无变化。</w:t>
      </w:r>
    </w:p>
    <w:p>
      <w:pPr>
        <w:widowControl/>
        <w:numPr>
          <w:ilvl w:val="0"/>
          <w:numId w:val="1"/>
        </w:numPr>
        <w:snapToGrid w:val="0"/>
        <w:spacing w:line="588" w:lineRule="exact"/>
        <w:ind w:left="0" w:leftChars="0"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因公出国（境）费。安排0万元, 与20</w:t>
      </w:r>
      <w:r>
        <w:rPr>
          <w:rFonts w:hint="eastAsia" w:ascii="方正仿宋简体" w:hAnsi="方正仿宋简体" w:eastAsia="方正仿宋简体" w:cs="方正仿宋简体"/>
          <w:sz w:val="32"/>
          <w:szCs w:val="32"/>
          <w:lang w:val="en-US" w:eastAsia="zh-CN"/>
        </w:rPr>
        <w:t>20</w:t>
      </w:r>
      <w:r>
        <w:rPr>
          <w:rFonts w:hint="eastAsia" w:ascii="方正仿宋简体" w:hAnsi="方正仿宋简体" w:eastAsia="方正仿宋简体" w:cs="方正仿宋简体"/>
          <w:sz w:val="32"/>
          <w:szCs w:val="32"/>
        </w:rPr>
        <w:t>年相比无变化。</w:t>
      </w:r>
    </w:p>
    <w:p>
      <w:pPr>
        <w:keepNext w:val="0"/>
        <w:keepLines w:val="0"/>
        <w:pageBreakBefore w:val="0"/>
        <w:widowControl/>
        <w:numPr>
          <w:ilvl w:val="0"/>
          <w:numId w:val="2"/>
        </w:numPr>
        <w:kinsoku/>
        <w:wordWrap/>
        <w:overflowPunct/>
        <w:topLinePunct w:val="0"/>
        <w:autoSpaceDE/>
        <w:autoSpaceDN/>
        <w:bidi w:val="0"/>
        <w:adjustRightInd/>
        <w:snapToGrid w:val="0"/>
        <w:spacing w:line="580" w:lineRule="exact"/>
        <w:ind w:firstLine="643" w:firstLineChars="200"/>
        <w:jc w:val="both"/>
        <w:textAlignment w:val="auto"/>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lang w:eastAsia="zh-CN"/>
        </w:rPr>
        <w:t>预算绩效信息情况</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（一）总体绩效目标</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总体绩效目标是： (一)承担区委党的建设(基层组织建设)工作领导小组办公室工作职责；(二)统筹全区党员队伍建设、组织员队伍建设的宏观指导以及全区党员发展、教育、管理工作；(三)负责各级领导班子和干部队伍建设的宏观管理；(四)负责全区干部教育培训的宏观管理、统筹协调、指导检查；研究拟订全区干部教育工作规划和年度计划；组织实施区委管理干部和一定层次其他干部的培训;承担区委党员干部教育工作领导小组办公室职责；(五)落实公务员、参照公务员法管理事业单位工作人员管理政策法规；(六)负责全区人才工作和人才队伍建设的牵头抓总、统筹协调、推进落实；(七)负责全区组织工作的检查督促，及时向区委反映重要情况，提出建议；(八)统一管理区委机构编制委员会办公室，归口管理区委老干部局；(九)完成区委交办的其他任务。</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（二）分项绩效目标</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（一）党员和党组织建设</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目标：统筹好全区党员队伍建设、组织员队伍建设的宏观指导以及全区党员发展、教育、管理工作。指导好全区党的组织制度、党内生活制度建设；协调指导好全区党代表大会、党代表会议、人民代表大会的选举工作；负责好全区党代表大会代表的日常管理和服务工作；负责好全区党组织建设特别是党的基层组织建设的调查研究、政策制定和宏观指导；负责好全区抓党建促脱贫攻坚工作的谋划指导和组织推动；承担起区委非公有制经济组织和社会组织工作委员会职责。</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指标：党员教育管理覆盖率，通过组织培训、严格党组织生活、配发学习资料、推送学习内容等方式，使全区党员纳入教育管理的比例达到100%；指导党组织生活轮次，年内指导调阅《党支部工作手册》2轮以上；党建会议次数，召开基层党建工作会议不低于2次；保质保量完成村干部职务补贴和绩效奖金的发放工作。</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（二）干部管理。</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目标：负责好各级领导班子和干部队伍建设的宏观管理。研究提出领导班子和领导干部队伍建设规划以及干部管理体制的建议，指导领导班子思想作风建设；负责好事业单位领导人员宏观管理；提出乡镇(街道)、开发区和区直各部门以及其他列入区委管理的领导班子调整、配备的建议；负责好区委管理干部的考察，办理职务任免、工资、待遇、退休审批手续；综合管理优秀年轻干部队伍，统筹选育管用工作，指导协调妇女干部、少数民族干部和党外干部培养选拔工作；负责好对口支援西藏、新疆干部人才的选派管理及有关工作；负责好副团职军队转业干部安置工作；负责好股级干部任免工作；负责好全区选调生、大学生村官的管理、培养和宏观指导。负责好全区干部教育培训的宏观管理、统筹协调、指导检查；研究拟订全区干部教育工作规划和年度计划；组织实施区委管理干部和一定层次其他干部的培训;承担起区委党员干部教育工作领导小组办公室职责。负责好全区组织系统干部监督工作的综合协调和宏观指导;组织开展选人用人工作和执行干部监督制度规定情况的监督检查，处置反映违反干部选拔任用工作政策法规选人用人问题及领导干部相关问题的举报。负责好全区干部考核工作的宏观指导和督导检查，组织实施对区委管理领导班子和领导干部的考核工作；承担起区委干部考核领导小组办公室职责。落实公务员、参照公务员法管理事业单位工作人员管理政策法规。负责公务员、参照公务员法管理事业单位工作人员录用调配、考核奖惩、培训和工资福利等工作；统筹规划全区公务员、参照公务员法管理事业单位工作人员队伍建设。</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指标：调整干部轮次，年内在区委指导下完成干部调整轮次不小于2轮；工资待遇审批次数，年内按规定办理工资、干部调动等工作单位数不低于60家；开展干部培训班次，年内按照工作计划开展党员干部培训班班次不低于2班次；科级班子考核完成率，年内按照区委部署完成科级班子和区管干部的考核工作，完成率达到100%。</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（三）全区人才工作及队伍建设。</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目标：负责好全区人才工作和人才队伍建设的牵头抓总、统筹协调、推进落实。负责好牵头人才政策法规和规划的组织实施，人才发展体制机制改革的深化推进，提出重要人才政策制定的建议；负责好区级专业技术拔尖人才队伍建设；承担起区人才工作领导小组办公室职责。</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指标：区管专业技术拔尖人才数，区管专业技术拔尖人才掌握在45人以上；工作津贴发放率，按照区委常委会研究标准发放区管人才工作津贴，年内发放率达到100%；人才工作和活动次数，年内组织人才工作和活动次数不低于2次。</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（四）组织事务管理。</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目标：围绕党的重大理论和实践问题调查研究，提出加强全区党的建设的建议；负责好党的建设制度改革的宏观指导，综合研究党的组织工作、干部工作、人才工作重要方针政策，制定或参与制定全区性重要政策和制度。负责好全区组织工作的检查督促，及时向区委反映重要情况，提出建议。统一管理好区委机构编制委员会办公室，归口管理好区委老干部局。完成区委交办的其他任务。妥善做好部机关机要、文秘、信访、会议、固定资产等工作。</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绩效指标：发文数量，年内印发组织工作相关文件数量，不低于20件；督导组织工作次数，年内开展组织工作相关督导轮次，不低于3轮；处理文件数量，年内收发、传阅文件数量，不低于450件。</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（三）工作保障措施</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（一）切实加强人才队伍建设，创新管理使用机制，促进人才成长，激活现有人才存量，通过科学设置岗位，使各类人员在各自岗位上充分发挥专业特长；建立科学的考评机制，激励人才成长和作用的发挥。</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（二）加强自身建设，打造文明高效的机关形象,加强班子建设，不断提高班子的凝聚力、战斗力，切实发挥领导干部的表率作用。</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（三）加强队伍管理，提高职工工作的自觉性和主动性。一是实施岗位目标管理。二是加强制度建设。三是坚持政治学习。</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（四）不断加强绩效管理，采取措施预做准备，控制偏差，成立绩效监查工作小组，定期或不定期的对工作开展绩效跟踪，检查，保证绩效目标的实现。</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1、完善制度建设。制定预算绩效管理制度、资金管理办法、工作保障制度，为全年预算绩效目标的实现奠定制度基础。</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2、加强支出管理。通过优化支出结构、编细编实预算、加快履行政府采购手续、尽快启动项目、及时支付资金、按规定及时下达资金等多种措施，确保支出进度达标。</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3、加强绩效运行监控。按财政局要求开展绩效运行监控，发现问题及时采取措施，确保绩效目标如期保质实现。</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4、做好绩效自评。按要求开展上年度部门预算绩效自评和重点评价工作，对评价中发现的问题及时整改，调整优化支出结构，提高财政资金使用效益。</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5、规范财务资产管理。完善财务管理制度，严格审批程序，加强固定资产登记、使用和报废处置管理，做到支出合理，物尽其用。</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加强内部监督。加强内部监督制度建设，对绩效运行情况、重大支出决策、资产处置及其他重要经济业务事项的决策和执行进行督导，对会计资料进行内部审计，并配合做好审计、财政监督等外部监督工作，确保财政资金安全有效。</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7、加强宣传培训调研等。加强人员培训，提高职工业务素质；加强调研，提出优化财政资金配置、提高资金使用效益的意见；加大宣传力度，强化预算绩效管理意识，促进预算绩效管理水平进一步提升。</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宋体" w:hAnsi="宋体"/>
          <w:b/>
          <w:sz w:val="32"/>
          <w:szCs w:val="32"/>
        </w:rPr>
      </w:pPr>
      <w:r>
        <w:rPr>
          <w:rFonts w:hint="eastAsia" w:ascii="宋体" w:hAnsi="宋体"/>
          <w:b/>
          <w:sz w:val="32"/>
          <w:szCs w:val="32"/>
        </w:rPr>
        <w:t>六、政府采购预算情况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无</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 w:hAnsi="仿宋" w:eastAsia="仿宋"/>
          <w:b/>
          <w:sz w:val="32"/>
          <w:szCs w:val="32"/>
        </w:rPr>
      </w:pPr>
      <w:r>
        <w:rPr>
          <w:rFonts w:hint="eastAsia" w:ascii="仿宋" w:hAnsi="仿宋" w:eastAsia="仿宋"/>
          <w:b/>
          <w:sz w:val="32"/>
          <w:szCs w:val="32"/>
        </w:rPr>
        <w:t>七、国有资产</w:t>
      </w:r>
      <w:r>
        <w:rPr>
          <w:rFonts w:hint="eastAsia" w:ascii="仿宋" w:hAnsi="仿宋" w:eastAsia="仿宋"/>
          <w:b/>
          <w:sz w:val="32"/>
          <w:szCs w:val="32"/>
          <w:lang w:eastAsia="zh-CN"/>
        </w:rPr>
        <w:t>信息</w:t>
      </w:r>
      <w:r>
        <w:rPr>
          <w:rFonts w:hint="eastAsia" w:ascii="仿宋" w:hAnsi="仿宋" w:eastAsia="仿宋"/>
          <w:b/>
          <w:sz w:val="32"/>
          <w:szCs w:val="32"/>
        </w:rPr>
        <w:t>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lang w:val="en-US" w:eastAsia="zh-CN"/>
        </w:rPr>
        <w:t>20</w:t>
      </w:r>
      <w:r>
        <w:rPr>
          <w:rFonts w:ascii="仿宋" w:hAnsi="仿宋" w:eastAsia="仿宋"/>
          <w:sz w:val="32"/>
          <w:szCs w:val="32"/>
        </w:rPr>
        <w:t>年底资产原值</w:t>
      </w:r>
      <w:r>
        <w:rPr>
          <w:rFonts w:hint="eastAsia" w:ascii="仿宋" w:hAnsi="仿宋" w:eastAsia="仿宋"/>
          <w:sz w:val="32"/>
          <w:szCs w:val="32"/>
          <w:lang w:val="en-US" w:eastAsia="zh-CN"/>
        </w:rPr>
        <w:t>268.46</w:t>
      </w:r>
      <w:r>
        <w:rPr>
          <w:rFonts w:ascii="仿宋" w:hAnsi="仿宋" w:eastAsia="仿宋"/>
          <w:sz w:val="32"/>
          <w:szCs w:val="32"/>
        </w:rPr>
        <w:t>万元，</w:t>
      </w:r>
      <w:r>
        <w:rPr>
          <w:rFonts w:hint="eastAsia" w:ascii="仿宋" w:hAnsi="仿宋" w:eastAsia="仿宋"/>
          <w:sz w:val="32"/>
          <w:szCs w:val="32"/>
        </w:rPr>
        <w:t>其中通用设备</w:t>
      </w:r>
      <w:r>
        <w:rPr>
          <w:rFonts w:hint="eastAsia" w:ascii="仿宋" w:hAnsi="仿宋" w:eastAsia="仿宋"/>
          <w:sz w:val="32"/>
          <w:szCs w:val="32"/>
          <w:lang w:val="en-US" w:eastAsia="zh-CN"/>
        </w:rPr>
        <w:t>258.02</w:t>
      </w:r>
      <w:r>
        <w:rPr>
          <w:rFonts w:hint="eastAsia" w:ascii="仿宋" w:hAnsi="仿宋" w:eastAsia="仿宋"/>
          <w:sz w:val="32"/>
          <w:szCs w:val="32"/>
        </w:rPr>
        <w:t>万元，公务用车</w:t>
      </w:r>
      <w:r>
        <w:rPr>
          <w:rFonts w:hint="eastAsia" w:ascii="仿宋" w:hAnsi="仿宋" w:eastAsia="仿宋"/>
          <w:sz w:val="32"/>
          <w:szCs w:val="32"/>
          <w:lang w:val="en-US" w:eastAsia="zh-CN"/>
        </w:rPr>
        <w:t>2</w:t>
      </w:r>
      <w:r>
        <w:rPr>
          <w:rFonts w:hint="eastAsia" w:ascii="仿宋" w:hAnsi="仿宋" w:eastAsia="仿宋"/>
          <w:sz w:val="32"/>
          <w:szCs w:val="32"/>
        </w:rPr>
        <w:t>辆，</w:t>
      </w:r>
      <w:r>
        <w:rPr>
          <w:rFonts w:hint="eastAsia" w:ascii="仿宋" w:hAnsi="仿宋" w:eastAsia="仿宋"/>
          <w:sz w:val="32"/>
          <w:szCs w:val="32"/>
          <w:lang w:val="en-US" w:eastAsia="zh-CN"/>
        </w:rPr>
        <w:t>48.59</w:t>
      </w:r>
      <w:r>
        <w:rPr>
          <w:rFonts w:hint="eastAsia" w:ascii="仿宋" w:hAnsi="仿宋" w:eastAsia="仿宋"/>
          <w:sz w:val="32"/>
          <w:szCs w:val="32"/>
        </w:rPr>
        <w:t>万元，家具、用具</w:t>
      </w:r>
      <w:r>
        <w:rPr>
          <w:rFonts w:hint="eastAsia" w:ascii="仿宋" w:hAnsi="仿宋" w:eastAsia="仿宋"/>
          <w:sz w:val="32"/>
          <w:szCs w:val="32"/>
          <w:lang w:val="en-US" w:eastAsia="zh-CN"/>
        </w:rPr>
        <w:t>10.43</w:t>
      </w:r>
      <w:r>
        <w:rPr>
          <w:rFonts w:hint="eastAsia" w:ascii="仿宋" w:hAnsi="仿宋" w:eastAsia="仿宋"/>
          <w:sz w:val="32"/>
          <w:szCs w:val="32"/>
        </w:rPr>
        <w:t>万元。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 w:hAnsi="仿宋" w:eastAsia="仿宋"/>
          <w:sz w:val="32"/>
          <w:szCs w:val="32"/>
        </w:rPr>
      </w:pPr>
      <w:r>
        <w:rPr>
          <w:rFonts w:ascii="仿宋" w:hAnsi="仿宋" w:eastAsia="仿宋"/>
          <w:sz w:val="32"/>
          <w:szCs w:val="32"/>
        </w:rPr>
        <w:t>比20</w:t>
      </w:r>
      <w:r>
        <w:rPr>
          <w:rFonts w:hint="eastAsia" w:ascii="仿宋" w:hAnsi="仿宋" w:eastAsia="仿宋"/>
          <w:sz w:val="32"/>
          <w:szCs w:val="32"/>
          <w:lang w:val="en-US" w:eastAsia="zh-CN"/>
        </w:rPr>
        <w:t>19</w:t>
      </w:r>
      <w:r>
        <w:rPr>
          <w:rFonts w:ascii="仿宋" w:hAnsi="仿宋" w:eastAsia="仿宋"/>
          <w:sz w:val="32"/>
          <w:szCs w:val="32"/>
        </w:rPr>
        <w:t>年资产原值</w:t>
      </w:r>
      <w:r>
        <w:rPr>
          <w:rFonts w:hint="eastAsia" w:ascii="仿宋" w:hAnsi="仿宋" w:eastAsia="仿宋"/>
          <w:sz w:val="32"/>
          <w:szCs w:val="32"/>
          <w:lang w:val="en-US" w:eastAsia="zh-CN"/>
        </w:rPr>
        <w:t>278.44</w:t>
      </w:r>
      <w:r>
        <w:rPr>
          <w:rFonts w:ascii="仿宋" w:hAnsi="仿宋" w:eastAsia="仿宋"/>
          <w:sz w:val="32"/>
          <w:szCs w:val="32"/>
        </w:rPr>
        <w:t>万元，</w:t>
      </w:r>
      <w:r>
        <w:rPr>
          <w:rFonts w:hint="eastAsia" w:ascii="仿宋" w:hAnsi="仿宋" w:eastAsia="仿宋"/>
          <w:sz w:val="32"/>
          <w:szCs w:val="32"/>
          <w:lang w:eastAsia="zh-CN"/>
        </w:rPr>
        <w:t>减少</w:t>
      </w:r>
      <w:r>
        <w:rPr>
          <w:rFonts w:ascii="仿宋" w:hAnsi="仿宋" w:eastAsia="仿宋"/>
          <w:sz w:val="32"/>
          <w:szCs w:val="32"/>
        </w:rPr>
        <w:t>了</w:t>
      </w:r>
      <w:r>
        <w:rPr>
          <w:rFonts w:hint="eastAsia" w:ascii="仿宋" w:hAnsi="仿宋" w:eastAsia="仿宋"/>
          <w:sz w:val="32"/>
          <w:szCs w:val="32"/>
          <w:lang w:val="en-US" w:eastAsia="zh-CN"/>
        </w:rPr>
        <w:t>9.98</w:t>
      </w:r>
      <w:r>
        <w:rPr>
          <w:rFonts w:hint="eastAsia" w:ascii="仿宋" w:hAnsi="仿宋" w:eastAsia="仿宋"/>
          <w:sz w:val="32"/>
          <w:szCs w:val="32"/>
        </w:rPr>
        <w:t>万</w:t>
      </w:r>
      <w:r>
        <w:rPr>
          <w:rFonts w:ascii="仿宋" w:hAnsi="仿宋" w:eastAsia="仿宋"/>
          <w:sz w:val="32"/>
          <w:szCs w:val="32"/>
        </w:rPr>
        <w:t>元，主要</w:t>
      </w:r>
      <w:r>
        <w:rPr>
          <w:rFonts w:hint="eastAsia" w:ascii="仿宋" w:hAnsi="仿宋" w:eastAsia="仿宋"/>
          <w:sz w:val="32"/>
          <w:szCs w:val="32"/>
        </w:rPr>
        <w:t>原因</w:t>
      </w:r>
      <w:r>
        <w:rPr>
          <w:rFonts w:ascii="仿宋" w:hAnsi="仿宋" w:eastAsia="仿宋"/>
          <w:sz w:val="32"/>
          <w:szCs w:val="32"/>
        </w:rPr>
        <w:t>是</w:t>
      </w:r>
      <w:r>
        <w:rPr>
          <w:rFonts w:hint="eastAsia" w:ascii="仿宋" w:hAnsi="仿宋" w:eastAsia="仿宋"/>
          <w:sz w:val="32"/>
          <w:szCs w:val="32"/>
          <w:lang w:eastAsia="zh-CN"/>
        </w:rPr>
        <w:t>对部分老旧设备按规定进行了资产处置，对部分设备进行了资产划拨</w:t>
      </w:r>
      <w:r>
        <w:rPr>
          <w:rFonts w:ascii="仿宋" w:hAnsi="仿宋" w:eastAsia="仿宋"/>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本年度无拟购置资产。</w:t>
      </w:r>
    </w:p>
    <w:p>
      <w:pPr>
        <w:snapToGrid w:val="0"/>
        <w:spacing w:line="588" w:lineRule="exact"/>
        <w:ind w:firstLine="480" w:firstLineChars="150"/>
        <w:jc w:val="center"/>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部门固定资产占用情况表</w:t>
      </w:r>
    </w:p>
    <w:p>
      <w:pPr>
        <w:keepNext w:val="0"/>
        <w:keepLines w:val="0"/>
        <w:pageBreakBefore w:val="0"/>
        <w:widowControl w:val="0"/>
        <w:kinsoku/>
        <w:wordWrap/>
        <w:overflowPunct/>
        <w:topLinePunct w:val="0"/>
        <w:autoSpaceDE/>
        <w:autoSpaceDN/>
        <w:bidi w:val="0"/>
        <w:adjustRightInd/>
        <w:snapToGrid w:val="0"/>
        <w:spacing w:line="588" w:lineRule="exact"/>
        <w:ind w:firstLine="0" w:firstLineChars="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编制部门：中共唐山市丰润区委组织部        截止时间：2020年12月31日</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1"/>
        <w:gridCol w:w="1500"/>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1"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lang w:val="en-US" w:eastAsia="zh-CN"/>
              </w:rPr>
              <w:t>项目</w:t>
            </w:r>
          </w:p>
        </w:tc>
        <w:tc>
          <w:tcPr>
            <w:tcW w:w="1500"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数量</w:t>
            </w:r>
          </w:p>
        </w:tc>
        <w:tc>
          <w:tcPr>
            <w:tcW w:w="3491"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价值（金额单位：万元）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1"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资产总额</w:t>
            </w:r>
          </w:p>
        </w:tc>
        <w:tc>
          <w:tcPr>
            <w:tcW w:w="1500" w:type="dxa"/>
          </w:tcPr>
          <w:p>
            <w:pPr>
              <w:snapToGrid w:val="0"/>
              <w:spacing w:line="588" w:lineRule="exact"/>
              <w:jc w:val="center"/>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w:t>
            </w:r>
          </w:p>
        </w:tc>
        <w:tc>
          <w:tcPr>
            <w:tcW w:w="3491" w:type="dxa"/>
          </w:tcPr>
          <w:p>
            <w:pPr>
              <w:snapToGrid w:val="0"/>
              <w:spacing w:line="588" w:lineRule="exact"/>
              <w:jc w:val="center"/>
              <w:rPr>
                <w:rFonts w:hint="default"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268.46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1"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1、车辆（台、辆）</w:t>
            </w:r>
          </w:p>
        </w:tc>
        <w:tc>
          <w:tcPr>
            <w:tcW w:w="1500" w:type="dxa"/>
          </w:tcPr>
          <w:p>
            <w:pPr>
              <w:snapToGrid w:val="0"/>
              <w:spacing w:line="588" w:lineRule="exact"/>
              <w:jc w:val="center"/>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5</w:t>
            </w:r>
          </w:p>
        </w:tc>
        <w:tc>
          <w:tcPr>
            <w:tcW w:w="3491" w:type="dxa"/>
          </w:tcPr>
          <w:p>
            <w:pPr>
              <w:snapToGrid w:val="0"/>
              <w:spacing w:line="588" w:lineRule="exact"/>
              <w:jc w:val="center"/>
              <w:rPr>
                <w:rFonts w:hint="default"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48.59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1"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2、单价在20万元以上设备</w:t>
            </w:r>
          </w:p>
        </w:tc>
        <w:tc>
          <w:tcPr>
            <w:tcW w:w="1500" w:type="dxa"/>
          </w:tcPr>
          <w:p>
            <w:pPr>
              <w:snapToGrid w:val="0"/>
              <w:spacing w:line="588" w:lineRule="exact"/>
              <w:jc w:val="center"/>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w:t>
            </w:r>
          </w:p>
        </w:tc>
        <w:tc>
          <w:tcPr>
            <w:tcW w:w="3491" w:type="dxa"/>
          </w:tcPr>
          <w:p>
            <w:pPr>
              <w:snapToGrid w:val="0"/>
              <w:spacing w:line="588" w:lineRule="exact"/>
              <w:jc w:val="center"/>
              <w:rPr>
                <w:rFonts w:hint="eastAsia" w:ascii="仿宋" w:hAnsi="仿宋" w:eastAsia="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1" w:type="dxa"/>
          </w:tcPr>
          <w:p>
            <w:pPr>
              <w:snapToGrid w:val="0"/>
              <w:spacing w:line="588" w:lineRule="exact"/>
              <w:rPr>
                <w:rFonts w:hint="eastAsia"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3、其他固定资产</w:t>
            </w:r>
          </w:p>
        </w:tc>
        <w:tc>
          <w:tcPr>
            <w:tcW w:w="1500" w:type="dxa"/>
          </w:tcPr>
          <w:p>
            <w:pPr>
              <w:snapToGrid w:val="0"/>
              <w:spacing w:line="588" w:lineRule="exact"/>
              <w:jc w:val="center"/>
              <w:rPr>
                <w:rFonts w:hint="eastAsia" w:ascii="仿宋" w:hAnsi="仿宋" w:eastAsia="仿宋"/>
                <w:sz w:val="28"/>
                <w:szCs w:val="28"/>
                <w:vertAlign w:val="baseline"/>
                <w:lang w:val="en-US" w:eastAsia="zh-CN"/>
              </w:rPr>
            </w:pPr>
          </w:p>
        </w:tc>
        <w:tc>
          <w:tcPr>
            <w:tcW w:w="3491" w:type="dxa"/>
          </w:tcPr>
          <w:p>
            <w:pPr>
              <w:snapToGrid w:val="0"/>
              <w:spacing w:line="588" w:lineRule="exact"/>
              <w:jc w:val="center"/>
              <w:rPr>
                <w:rFonts w:hint="default" w:ascii="仿宋" w:hAnsi="仿宋" w:eastAsia="仿宋"/>
                <w:sz w:val="28"/>
                <w:szCs w:val="28"/>
                <w:vertAlign w:val="baseline"/>
                <w:lang w:val="en-US" w:eastAsia="zh-CN"/>
              </w:rPr>
            </w:pPr>
            <w:r>
              <w:rPr>
                <w:rFonts w:hint="eastAsia" w:ascii="仿宋" w:hAnsi="仿宋" w:eastAsia="仿宋"/>
                <w:sz w:val="28"/>
                <w:szCs w:val="28"/>
                <w:vertAlign w:val="baseline"/>
                <w:lang w:val="en-US" w:eastAsia="zh-CN"/>
              </w:rPr>
              <w:t>219.87</w:t>
            </w:r>
          </w:p>
        </w:tc>
      </w:tr>
    </w:tbl>
    <w:p>
      <w:pPr>
        <w:snapToGrid w:val="0"/>
        <w:spacing w:line="588" w:lineRule="exact"/>
        <w:rPr>
          <w:rFonts w:hint="eastAsia" w:ascii="仿宋" w:hAnsi="仿宋" w:eastAsia="仿宋"/>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588" w:lineRule="exact"/>
        <w:ind w:firstLine="643" w:firstLineChars="200"/>
        <w:textAlignment w:val="auto"/>
        <w:rPr>
          <w:rFonts w:ascii="仿宋" w:hAnsi="仿宋" w:eastAsia="仿宋"/>
          <w:b/>
          <w:sz w:val="32"/>
          <w:szCs w:val="32"/>
        </w:rPr>
      </w:pPr>
      <w:r>
        <w:rPr>
          <w:rFonts w:hint="eastAsia" w:ascii="仿宋" w:hAnsi="仿宋" w:eastAsia="仿宋"/>
          <w:b/>
          <w:sz w:val="32"/>
          <w:szCs w:val="32"/>
        </w:rPr>
        <w:t>八、专业名词解释</w:t>
      </w:r>
    </w:p>
    <w:p>
      <w:pPr>
        <w:snapToGrid w:val="0"/>
        <w:spacing w:line="588" w:lineRule="exact"/>
        <w:ind w:firstLine="480" w:firstLineChars="150"/>
        <w:rPr>
          <w:rFonts w:ascii="仿宋" w:hAnsi="仿宋" w:eastAsia="仿宋"/>
          <w:b/>
          <w:sz w:val="32"/>
          <w:szCs w:val="32"/>
        </w:rPr>
      </w:pPr>
      <w:r>
        <w:rPr>
          <w:rFonts w:hint="eastAsia" w:ascii="仿宋" w:hAnsi="仿宋" w:eastAsia="仿宋"/>
          <w:sz w:val="32"/>
          <w:szCs w:val="32"/>
        </w:rPr>
        <w:t>（1）财政拨款收入：指中央或区财政当年拨付的资金，包含一般公共预算财政拨款和政府性基金预算财政拨款。</w:t>
      </w:r>
    </w:p>
    <w:p>
      <w:pPr>
        <w:snapToGrid w:val="0"/>
        <w:spacing w:line="588" w:lineRule="exact"/>
        <w:ind w:firstLine="480" w:firstLineChars="150"/>
        <w:rPr>
          <w:rFonts w:ascii="仿宋" w:hAnsi="仿宋" w:eastAsia="仿宋"/>
          <w:b/>
          <w:sz w:val="32"/>
          <w:szCs w:val="32"/>
        </w:rPr>
      </w:pPr>
      <w:r>
        <w:rPr>
          <w:rFonts w:hint="eastAsia" w:ascii="仿宋" w:hAnsi="仿宋" w:eastAsia="仿宋"/>
          <w:sz w:val="32"/>
          <w:szCs w:val="32"/>
        </w:rPr>
        <w:t>（2）基本支出：指为保障机构正常运转、完成日常工作任务而发生的人员支出和公用支出。</w:t>
      </w:r>
    </w:p>
    <w:p>
      <w:pPr>
        <w:snapToGrid w:val="0"/>
        <w:spacing w:line="588" w:lineRule="exact"/>
        <w:ind w:firstLine="480" w:firstLineChars="150"/>
        <w:rPr>
          <w:rFonts w:ascii="仿宋" w:hAnsi="仿宋" w:eastAsia="仿宋"/>
          <w:b/>
          <w:sz w:val="32"/>
          <w:szCs w:val="32"/>
        </w:rPr>
      </w:pPr>
      <w:r>
        <w:rPr>
          <w:rFonts w:hint="eastAsia" w:ascii="仿宋" w:hAnsi="仿宋" w:eastAsia="仿宋"/>
          <w:sz w:val="32"/>
          <w:szCs w:val="32"/>
        </w:rPr>
        <w:t>（3）项目支出：指在基本支出之外为完成特定行政任务和事业发展目标所发生的支出。</w:t>
      </w:r>
    </w:p>
    <w:p>
      <w:pPr>
        <w:snapToGrid w:val="0"/>
        <w:spacing w:line="588" w:lineRule="exact"/>
        <w:ind w:firstLine="482" w:firstLineChars="150"/>
        <w:rPr>
          <w:rFonts w:hint="eastAsia" w:ascii="仿宋" w:hAnsi="仿宋" w:eastAsia="仿宋"/>
          <w:b/>
          <w:sz w:val="32"/>
          <w:szCs w:val="32"/>
          <w:lang w:eastAsia="zh-CN"/>
        </w:rPr>
      </w:pPr>
      <w:r>
        <w:rPr>
          <w:rFonts w:hint="eastAsia" w:ascii="仿宋" w:hAnsi="仿宋" w:eastAsia="仿宋"/>
          <w:b/>
          <w:sz w:val="32"/>
          <w:szCs w:val="32"/>
        </w:rPr>
        <w:t>九、其他</w:t>
      </w:r>
      <w:r>
        <w:rPr>
          <w:rFonts w:hint="eastAsia" w:ascii="仿宋" w:hAnsi="仿宋" w:eastAsia="仿宋"/>
          <w:b/>
          <w:sz w:val="32"/>
          <w:szCs w:val="32"/>
          <w:lang w:eastAsia="zh-CN"/>
        </w:rPr>
        <w:t>需说明的事项</w:t>
      </w:r>
    </w:p>
    <w:p>
      <w:pPr>
        <w:snapToGrid w:val="0"/>
        <w:spacing w:line="588" w:lineRule="exact"/>
        <w:ind w:firstLine="480" w:firstLineChars="150"/>
        <w:rPr>
          <w:rFonts w:ascii="仿宋" w:hAnsi="仿宋" w:eastAsia="仿宋"/>
          <w:b/>
          <w:sz w:val="32"/>
          <w:szCs w:val="32"/>
        </w:rPr>
      </w:pPr>
      <w:r>
        <w:rPr>
          <w:rFonts w:hint="eastAsia" w:ascii="仿宋" w:hAnsi="仿宋" w:eastAsia="仿宋"/>
          <w:sz w:val="32"/>
          <w:szCs w:val="32"/>
        </w:rPr>
        <w:t>政府性性基金支出和国有资本经营支出：无</w:t>
      </w:r>
    </w:p>
    <w:p>
      <w:pPr>
        <w:snapToGrid w:val="0"/>
        <w:spacing w:line="588" w:lineRule="exact"/>
        <w:rPr>
          <w:rFonts w:hint="eastAsia" w:ascii="宋体" w:hAnsi="宋体" w:eastAsia="宋体"/>
          <w:sz w:val="32"/>
          <w:szCs w:val="32"/>
          <w:lang w:val="en-US" w:eastAsia="zh-CN"/>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77A8DB-6BC7-43B9-92F7-9338B4FB56C3}"/>
  </w:font>
  <w:font w:name="Arial">
    <w:panose1 w:val="020B0604020202020204"/>
    <w:charset w:val="01"/>
    <w:family w:val="swiss"/>
    <w:pitch w:val="default"/>
    <w:sig w:usb0="E0002AFF" w:usb1="C0007843" w:usb2="00000009" w:usb3="00000000" w:csb0="400001FF" w:csb1="FFFF0000"/>
    <w:embedRegular r:id="rId2" w:fontKey="{C886CD64-BCA4-4C59-B096-FE39E41AB08E}"/>
  </w:font>
  <w:font w:name="黑体">
    <w:panose1 w:val="02010609060101010101"/>
    <w:charset w:val="86"/>
    <w:family w:val="auto"/>
    <w:pitch w:val="default"/>
    <w:sig w:usb0="800002BF" w:usb1="38CF7CFA" w:usb2="00000016" w:usb3="00000000" w:csb0="00040001" w:csb1="00000000"/>
    <w:embedRegular r:id="rId3" w:fontKey="{1CFFD518-A9CA-470B-87F3-ADD827A9BA9F}"/>
  </w:font>
  <w:font w:name="Courier New">
    <w:panose1 w:val="02070309020205020404"/>
    <w:charset w:val="01"/>
    <w:family w:val="modern"/>
    <w:pitch w:val="default"/>
    <w:sig w:usb0="E0002AFF" w:usb1="C0007843" w:usb2="00000009" w:usb3="00000000" w:csb0="400001FF" w:csb1="FFFF0000"/>
    <w:embedRegular r:id="rId4" w:fontKey="{BD84CB07-CC57-4F3C-9914-498FD8663189}"/>
  </w:font>
  <w:font w:name="Symbol">
    <w:panose1 w:val="05050102010706020507"/>
    <w:charset w:val="02"/>
    <w:family w:val="roman"/>
    <w:pitch w:val="default"/>
    <w:sig w:usb0="00000000" w:usb1="00000000" w:usb2="00000000" w:usb3="00000000" w:csb0="80000000" w:csb1="00000000"/>
    <w:embedRegular r:id="rId5" w:fontKey="{01FE130B-4352-46E8-B246-C63A90513B23}"/>
  </w:font>
  <w:font w:name="Calibri">
    <w:panose1 w:val="020F0502020204030204"/>
    <w:charset w:val="00"/>
    <w:family w:val="swiss"/>
    <w:pitch w:val="default"/>
    <w:sig w:usb0="E00002FF" w:usb1="4000ACFF" w:usb2="00000001" w:usb3="00000000" w:csb0="2000019F" w:csb1="00000000"/>
    <w:embedRegular r:id="rId6" w:fontKey="{6B025CC3-9BF5-48D3-9A24-203E329879BA}"/>
  </w:font>
  <w:font w:name="方正仿宋简体">
    <w:panose1 w:val="02000000000000000000"/>
    <w:charset w:val="86"/>
    <w:family w:val="script"/>
    <w:pitch w:val="default"/>
    <w:sig w:usb0="A00002BF" w:usb1="184F6CFA" w:usb2="00000012" w:usb3="00000000" w:csb0="00040001" w:csb1="00000000"/>
    <w:embedRegular r:id="rId7" w:fontKey="{57CA7BAF-52BA-4DFC-9012-3E3C40927093}"/>
  </w:font>
  <w:font w:name="方正楷体_GBK">
    <w:altName w:val="宋体"/>
    <w:panose1 w:val="00000000000000000000"/>
    <w:charset w:val="86"/>
    <w:family w:val="roman"/>
    <w:pitch w:val="default"/>
    <w:sig w:usb0="00000000" w:usb1="00000000" w:usb2="00000000" w:usb3="00000000" w:csb0="00040001" w:csb1="00000000"/>
    <w:embedRegular r:id="rId8" w:fontKey="{4AD61940-0587-4E6B-B9D2-C5490CD7DB0E}"/>
  </w:font>
  <w:font w:name="仿宋">
    <w:panose1 w:val="02010609060101010101"/>
    <w:charset w:val="86"/>
    <w:family w:val="modern"/>
    <w:pitch w:val="default"/>
    <w:sig w:usb0="800002BF" w:usb1="38CF7CFA" w:usb2="00000016" w:usb3="00000000" w:csb0="00040001" w:csb1="00000000"/>
    <w:embedRegular r:id="rId9" w:fontKey="{B5D8486D-3862-4B82-A50E-DA73392113CB}"/>
  </w:font>
  <w:font w:name="方正黑体简体">
    <w:panose1 w:val="02000000000000000000"/>
    <w:charset w:val="86"/>
    <w:family w:val="auto"/>
    <w:pitch w:val="default"/>
    <w:sig w:usb0="A00002BF" w:usb1="184F6CFA" w:usb2="00000012" w:usb3="00000000" w:csb0="00040001" w:csb1="00000000"/>
    <w:embedRegular r:id="rId10" w:fontKey="{9E8A74C3-D15D-46CF-8CC1-B262B8E26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6</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DC232D"/>
    <w:multiLevelType w:val="singleLevel"/>
    <w:tmpl w:val="14DC232D"/>
    <w:lvl w:ilvl="0" w:tentative="0">
      <w:start w:val="5"/>
      <w:numFmt w:val="chineseCounting"/>
      <w:suff w:val="nothing"/>
      <w:lvlText w:val="%1、"/>
      <w:lvlJc w:val="left"/>
      <w:rPr>
        <w:rFonts w:hint="eastAsia"/>
      </w:rPr>
    </w:lvl>
  </w:abstractNum>
  <w:abstractNum w:abstractNumId="1">
    <w:nsid w:val="48000581"/>
    <w:multiLevelType w:val="singleLevel"/>
    <w:tmpl w:val="4800058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gutterAtTop/>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docVars>
    <w:docVar w:name="commondata" w:val="eyJoZGlkIjoiNThhNTNhNDI2MTE1OTc4Y2Y4MTljYTBiMDEyYWFmYzAifQ=="/>
  </w:docVars>
  <w:rsids>
    <w:rsidRoot w:val="00951D86"/>
    <w:rsid w:val="00010B79"/>
    <w:rsid w:val="000201FB"/>
    <w:rsid w:val="00032EF5"/>
    <w:rsid w:val="00036C9A"/>
    <w:rsid w:val="00054D9D"/>
    <w:rsid w:val="000651CB"/>
    <w:rsid w:val="00067572"/>
    <w:rsid w:val="000A3082"/>
    <w:rsid w:val="000A5115"/>
    <w:rsid w:val="000B3632"/>
    <w:rsid w:val="000C3937"/>
    <w:rsid w:val="000C399B"/>
    <w:rsid w:val="000C6439"/>
    <w:rsid w:val="000E16F6"/>
    <w:rsid w:val="00105A43"/>
    <w:rsid w:val="00111A7C"/>
    <w:rsid w:val="00117C60"/>
    <w:rsid w:val="0016044C"/>
    <w:rsid w:val="00171786"/>
    <w:rsid w:val="001931ED"/>
    <w:rsid w:val="00193E43"/>
    <w:rsid w:val="001A7F8D"/>
    <w:rsid w:val="001B0841"/>
    <w:rsid w:val="001B197E"/>
    <w:rsid w:val="001B1BFC"/>
    <w:rsid w:val="001C607F"/>
    <w:rsid w:val="001F780E"/>
    <w:rsid w:val="0021277D"/>
    <w:rsid w:val="002132D8"/>
    <w:rsid w:val="00223352"/>
    <w:rsid w:val="00225045"/>
    <w:rsid w:val="00240EFA"/>
    <w:rsid w:val="002457CE"/>
    <w:rsid w:val="002622DC"/>
    <w:rsid w:val="00290426"/>
    <w:rsid w:val="002D25A4"/>
    <w:rsid w:val="003022C9"/>
    <w:rsid w:val="00324790"/>
    <w:rsid w:val="003303C1"/>
    <w:rsid w:val="0037584B"/>
    <w:rsid w:val="00375DA3"/>
    <w:rsid w:val="003A5D63"/>
    <w:rsid w:val="003D334A"/>
    <w:rsid w:val="00414987"/>
    <w:rsid w:val="00430792"/>
    <w:rsid w:val="00433B10"/>
    <w:rsid w:val="00435014"/>
    <w:rsid w:val="00437CC4"/>
    <w:rsid w:val="00453D5B"/>
    <w:rsid w:val="004555D5"/>
    <w:rsid w:val="00466333"/>
    <w:rsid w:val="0047635F"/>
    <w:rsid w:val="00476513"/>
    <w:rsid w:val="004D03CA"/>
    <w:rsid w:val="004F20AD"/>
    <w:rsid w:val="00505055"/>
    <w:rsid w:val="00506AB0"/>
    <w:rsid w:val="00524D74"/>
    <w:rsid w:val="00536215"/>
    <w:rsid w:val="0055316A"/>
    <w:rsid w:val="00557E9B"/>
    <w:rsid w:val="0056353C"/>
    <w:rsid w:val="00580FDE"/>
    <w:rsid w:val="00582938"/>
    <w:rsid w:val="005911FB"/>
    <w:rsid w:val="00596AB2"/>
    <w:rsid w:val="005A71B7"/>
    <w:rsid w:val="005A7562"/>
    <w:rsid w:val="005C285B"/>
    <w:rsid w:val="005D723E"/>
    <w:rsid w:val="005E333B"/>
    <w:rsid w:val="00603515"/>
    <w:rsid w:val="00612F40"/>
    <w:rsid w:val="00613E15"/>
    <w:rsid w:val="0064020E"/>
    <w:rsid w:val="00685E4A"/>
    <w:rsid w:val="006A62D1"/>
    <w:rsid w:val="006E4611"/>
    <w:rsid w:val="00717702"/>
    <w:rsid w:val="00717C2E"/>
    <w:rsid w:val="00720416"/>
    <w:rsid w:val="00724AF1"/>
    <w:rsid w:val="007378C6"/>
    <w:rsid w:val="007430AE"/>
    <w:rsid w:val="00772A66"/>
    <w:rsid w:val="007738D7"/>
    <w:rsid w:val="007A53A8"/>
    <w:rsid w:val="007B1F7D"/>
    <w:rsid w:val="007C5053"/>
    <w:rsid w:val="007C7494"/>
    <w:rsid w:val="007D291E"/>
    <w:rsid w:val="007D436A"/>
    <w:rsid w:val="007E1F0B"/>
    <w:rsid w:val="007F1A99"/>
    <w:rsid w:val="0081119C"/>
    <w:rsid w:val="008177FA"/>
    <w:rsid w:val="008240AE"/>
    <w:rsid w:val="00834319"/>
    <w:rsid w:val="00842080"/>
    <w:rsid w:val="00845E48"/>
    <w:rsid w:val="00867981"/>
    <w:rsid w:val="00867F04"/>
    <w:rsid w:val="008A50C0"/>
    <w:rsid w:val="008D02FE"/>
    <w:rsid w:val="008F31BB"/>
    <w:rsid w:val="00904CD9"/>
    <w:rsid w:val="00911808"/>
    <w:rsid w:val="00951D86"/>
    <w:rsid w:val="009618AE"/>
    <w:rsid w:val="009A4997"/>
    <w:rsid w:val="009C5DA3"/>
    <w:rsid w:val="009E14C2"/>
    <w:rsid w:val="009F44C6"/>
    <w:rsid w:val="00A32844"/>
    <w:rsid w:val="00A34504"/>
    <w:rsid w:val="00A473A5"/>
    <w:rsid w:val="00AB327C"/>
    <w:rsid w:val="00AC0076"/>
    <w:rsid w:val="00AD0E79"/>
    <w:rsid w:val="00AF21C3"/>
    <w:rsid w:val="00B723F1"/>
    <w:rsid w:val="00B80A4B"/>
    <w:rsid w:val="00B955D1"/>
    <w:rsid w:val="00BB65C0"/>
    <w:rsid w:val="00BC3A3C"/>
    <w:rsid w:val="00C97316"/>
    <w:rsid w:val="00CB60A5"/>
    <w:rsid w:val="00CB62DE"/>
    <w:rsid w:val="00D05755"/>
    <w:rsid w:val="00D11F51"/>
    <w:rsid w:val="00D14DAC"/>
    <w:rsid w:val="00D21A55"/>
    <w:rsid w:val="00D24C19"/>
    <w:rsid w:val="00D27C93"/>
    <w:rsid w:val="00D440A7"/>
    <w:rsid w:val="00D46D37"/>
    <w:rsid w:val="00D728E3"/>
    <w:rsid w:val="00D808DD"/>
    <w:rsid w:val="00D90C1F"/>
    <w:rsid w:val="00DA190B"/>
    <w:rsid w:val="00DB4539"/>
    <w:rsid w:val="00DC0F21"/>
    <w:rsid w:val="00DC251F"/>
    <w:rsid w:val="00DF013A"/>
    <w:rsid w:val="00DF2550"/>
    <w:rsid w:val="00E00EE7"/>
    <w:rsid w:val="00E22538"/>
    <w:rsid w:val="00E31DAB"/>
    <w:rsid w:val="00E376FA"/>
    <w:rsid w:val="00E46D06"/>
    <w:rsid w:val="00E758C9"/>
    <w:rsid w:val="00E76E6C"/>
    <w:rsid w:val="00E776E0"/>
    <w:rsid w:val="00E87706"/>
    <w:rsid w:val="00EA43FC"/>
    <w:rsid w:val="00EA686F"/>
    <w:rsid w:val="00EA7AF5"/>
    <w:rsid w:val="00EB277D"/>
    <w:rsid w:val="00EB4213"/>
    <w:rsid w:val="00EE013A"/>
    <w:rsid w:val="00EF46AE"/>
    <w:rsid w:val="00F052F5"/>
    <w:rsid w:val="00F05460"/>
    <w:rsid w:val="00F06A83"/>
    <w:rsid w:val="00F06D0A"/>
    <w:rsid w:val="00F13A27"/>
    <w:rsid w:val="00F15950"/>
    <w:rsid w:val="00F30BE3"/>
    <w:rsid w:val="00F37500"/>
    <w:rsid w:val="00F4264F"/>
    <w:rsid w:val="00F5340A"/>
    <w:rsid w:val="00F56682"/>
    <w:rsid w:val="00F61E2C"/>
    <w:rsid w:val="05CC61ED"/>
    <w:rsid w:val="082158A1"/>
    <w:rsid w:val="098F6034"/>
    <w:rsid w:val="0D0915A1"/>
    <w:rsid w:val="1B4A6E57"/>
    <w:rsid w:val="206F747E"/>
    <w:rsid w:val="211E5BA8"/>
    <w:rsid w:val="226062CC"/>
    <w:rsid w:val="24FD68A9"/>
    <w:rsid w:val="25435260"/>
    <w:rsid w:val="2D406094"/>
    <w:rsid w:val="2F564E53"/>
    <w:rsid w:val="2F8F2644"/>
    <w:rsid w:val="30D04149"/>
    <w:rsid w:val="341E6551"/>
    <w:rsid w:val="34C625C6"/>
    <w:rsid w:val="38827901"/>
    <w:rsid w:val="397A1779"/>
    <w:rsid w:val="3F84396C"/>
    <w:rsid w:val="40540050"/>
    <w:rsid w:val="4455335D"/>
    <w:rsid w:val="456F04B9"/>
    <w:rsid w:val="4F18736F"/>
    <w:rsid w:val="505261DA"/>
    <w:rsid w:val="51E42643"/>
    <w:rsid w:val="54045ABB"/>
    <w:rsid w:val="575B048C"/>
    <w:rsid w:val="57EA1292"/>
    <w:rsid w:val="58C15A72"/>
    <w:rsid w:val="58CE23BE"/>
    <w:rsid w:val="5B7B3329"/>
    <w:rsid w:val="5D7316A2"/>
    <w:rsid w:val="65511AE6"/>
    <w:rsid w:val="69C061A4"/>
    <w:rsid w:val="6EEC3252"/>
    <w:rsid w:val="6F247D24"/>
    <w:rsid w:val="6F5F292A"/>
    <w:rsid w:val="7305495E"/>
    <w:rsid w:val="73E22C45"/>
    <w:rsid w:val="749720D5"/>
    <w:rsid w:val="757F1AED"/>
    <w:rsid w:val="787053B3"/>
    <w:rsid w:val="7D5C30F3"/>
    <w:rsid w:val="7F553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方正仿宋简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autoRedefine/>
    <w:semiHidden/>
    <w:qFormat/>
    <w:uiPriority w:val="0"/>
    <w:rPr>
      <w:sz w:val="18"/>
      <w:szCs w:val="18"/>
    </w:rPr>
  </w:style>
  <w:style w:type="paragraph" w:styleId="3">
    <w:name w:val="footer"/>
    <w:basedOn w:val="1"/>
    <w:link w:val="12"/>
    <w:autoRedefine/>
    <w:qFormat/>
    <w:uiPriority w:val="99"/>
    <w:pPr>
      <w:tabs>
        <w:tab w:val="center" w:pos="4153"/>
        <w:tab w:val="right" w:pos="8306"/>
      </w:tabs>
      <w:snapToGrid w:val="0"/>
      <w:jc w:val="left"/>
    </w:pPr>
    <w:rPr>
      <w:sz w:val="18"/>
      <w:szCs w:val="18"/>
    </w:rPr>
  </w:style>
  <w:style w:type="paragraph" w:styleId="4">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footnote text"/>
    <w:basedOn w:val="1"/>
    <w:semiHidden/>
    <w:qFormat/>
    <w:uiPriority w:val="0"/>
    <w:pPr>
      <w:snapToGrid w:val="0"/>
      <w:jc w:val="left"/>
    </w:pPr>
    <w:rPr>
      <w:sz w:val="18"/>
      <w:szCs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autoRedefine/>
    <w:qFormat/>
    <w:uiPriority w:val="0"/>
  </w:style>
  <w:style w:type="character" w:styleId="10">
    <w:name w:val="Hyperlink"/>
    <w:basedOn w:val="8"/>
    <w:autoRedefine/>
    <w:qFormat/>
    <w:uiPriority w:val="0"/>
    <w:rPr>
      <w:color w:val="0000FF"/>
      <w:u w:val="single"/>
    </w:rPr>
  </w:style>
  <w:style w:type="character" w:styleId="11">
    <w:name w:val="footnote reference"/>
    <w:basedOn w:val="8"/>
    <w:semiHidden/>
    <w:qFormat/>
    <w:uiPriority w:val="0"/>
    <w:rPr>
      <w:vertAlign w:val="superscript"/>
    </w:rPr>
  </w:style>
  <w:style w:type="character" w:customStyle="1" w:styleId="12">
    <w:name w:val="页脚 Char"/>
    <w:basedOn w:val="8"/>
    <w:link w:val="3"/>
    <w:autoRedefine/>
    <w:qFormat/>
    <w:uiPriority w:val="99"/>
    <w:rPr>
      <w:kern w:val="2"/>
      <w:sz w:val="18"/>
      <w:szCs w:val="18"/>
    </w:rPr>
  </w:style>
  <w:style w:type="character" w:customStyle="1" w:styleId="13">
    <w:name w:val="页眉 Char"/>
    <w:basedOn w:val="8"/>
    <w:link w:val="4"/>
    <w:autoRedefine/>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6</Pages>
  <Words>2162</Words>
  <Characters>414</Characters>
  <Lines>3</Lines>
  <Paragraphs>5</Paragraphs>
  <TotalTime>7</TotalTime>
  <ScaleCrop>false</ScaleCrop>
  <LinksUpToDate>false</LinksUpToDate>
  <CharactersWithSpaces>2571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2017-03-13T08:14:00Z</dcterms:created>
  <dc:creator>Administrator</dc:creator>
  <cp:lastModifiedBy>Administrator</cp:lastModifiedBy>
  <cp:lastPrinted>2020-02-12T08:53:00Z</cp:lastPrinted>
  <dcterms:modified xsi:type="dcterms:W3CDTF">2024-03-19T02:25:26Z</dcterms:modified>
  <dc:title>职责分类绩效目标：</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SaveFontToCloudKey">
    <vt:lpwstr>0_embed</vt:lpwstr>
  </property>
  <property fmtid="{D5CDD505-2E9C-101B-9397-08002B2CF9AE}" pid="4" name="ICV">
    <vt:lpwstr>C94A3926EE6A4DA692020C2A44359806</vt:lpwstr>
  </property>
</Properties>
</file>