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一、唐山市自然资源和规划局丰润区分局本级收支预算</w:t>
      </w:r>
      <w:r>
        <w:tab/>
      </w:r>
      <w:r>
        <w:fldChar w:fldCharType="begin"/>
      </w:r>
      <w:r>
        <w:instrText xml:space="preserve">PAGEREF _Toc_4_4_0000000019 \h</w:instrText>
      </w:r>
      <w:r>
        <w:fldChar w:fldCharType="separate"/>
      </w:r>
      <w:r>
        <w:t>42</w:t>
      </w:r>
      <w:r>
        <w:fldChar w:fldCharType="end"/>
      </w:r>
      <w:r>
        <w:fldChar w:fldCharType="end"/>
      </w:r>
    </w:p>
    <w:p>
      <w:pPr>
        <w:pStyle w:val="36"/>
        <w:tabs>
          <w:tab w:val="right" w:leader="dot" w:pos="14562"/>
        </w:tabs>
      </w:pPr>
      <w:r>
        <w:fldChar w:fldCharType="begin"/>
      </w:r>
      <w:r>
        <w:instrText xml:space="preserve"> HYPERLINK \l "_Toc_4_4_0000000020" </w:instrText>
      </w:r>
      <w:r>
        <w:fldChar w:fldCharType="separate"/>
      </w:r>
      <w:r>
        <w:t>二、唐山市丰润区土地储备开发中心收支预算</w:t>
      </w:r>
      <w:r>
        <w:tab/>
      </w:r>
      <w:r>
        <w:fldChar w:fldCharType="begin"/>
      </w:r>
      <w:r>
        <w:instrText xml:space="preserve">PAGEREF _Toc_4_4_0000000020 \h</w:instrText>
      </w:r>
      <w:r>
        <w:fldChar w:fldCharType="separate"/>
      </w:r>
      <w:r>
        <w:t>74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716.45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4611.33</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676.43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5327.78</w:t>
            </w:r>
          </w:p>
        </w:tc>
        <w:tc>
          <w:tcPr>
            <w:tcW w:w="4535" w:type="dxa"/>
            <w:vAlign w:val="center"/>
          </w:tcPr>
          <w:p>
            <w:pPr>
              <w:pStyle w:val="14"/>
            </w:pPr>
            <w:r>
              <w:t>本年支出合计</w:t>
            </w:r>
          </w:p>
        </w:tc>
        <w:tc>
          <w:tcPr>
            <w:tcW w:w="2126" w:type="dxa"/>
            <w:vAlign w:val="center"/>
          </w:tcPr>
          <w:p>
            <w:pPr>
              <w:pStyle w:val="15"/>
            </w:pPr>
            <w:r>
              <w:t>5327.78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5327.78</w:t>
            </w:r>
          </w:p>
        </w:tc>
        <w:tc>
          <w:tcPr>
            <w:tcW w:w="4535" w:type="dxa"/>
            <w:vAlign w:val="center"/>
          </w:tcPr>
          <w:p>
            <w:pPr>
              <w:pStyle w:val="14"/>
            </w:pPr>
            <w:r>
              <w:t>支出总计</w:t>
            </w:r>
          </w:p>
        </w:tc>
        <w:tc>
          <w:tcPr>
            <w:tcW w:w="2126" w:type="dxa"/>
            <w:vAlign w:val="center"/>
          </w:tcPr>
          <w:p>
            <w:pPr>
              <w:pStyle w:val="15"/>
            </w:pPr>
            <w:r>
              <w:t>5327.78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5327.78</w:t>
            </w:r>
          </w:p>
        </w:tc>
        <w:tc>
          <w:tcPr>
            <w:tcW w:w="1134" w:type="dxa"/>
            <w:vAlign w:val="center"/>
          </w:tcPr>
          <w:p>
            <w:pPr>
              <w:pStyle w:val="15"/>
            </w:pPr>
            <w:r>
              <w:t>5327.78</w:t>
            </w:r>
          </w:p>
        </w:tc>
        <w:tc>
          <w:tcPr>
            <w:tcW w:w="1134" w:type="dxa"/>
            <w:vAlign w:val="center"/>
          </w:tcPr>
          <w:p>
            <w:pPr>
              <w:pStyle w:val="15"/>
            </w:pPr>
            <w:r>
              <w:t>5327.78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2120802</w:t>
            </w:r>
          </w:p>
        </w:tc>
        <w:tc>
          <w:tcPr>
            <w:tcW w:w="1559" w:type="dxa"/>
            <w:vAlign w:val="center"/>
          </w:tcPr>
          <w:p>
            <w:pPr>
              <w:pStyle w:val="12"/>
            </w:pPr>
            <w:r>
              <w:t>土地开发支出</w:t>
            </w:r>
          </w:p>
        </w:tc>
        <w:tc>
          <w:tcPr>
            <w:tcW w:w="1134" w:type="dxa"/>
            <w:vAlign w:val="center"/>
          </w:tcPr>
          <w:p>
            <w:pPr>
              <w:pStyle w:val="11"/>
            </w:pPr>
            <w:r>
              <w:t>1666.92</w:t>
            </w:r>
          </w:p>
        </w:tc>
        <w:tc>
          <w:tcPr>
            <w:tcW w:w="1134" w:type="dxa"/>
            <w:vAlign w:val="center"/>
          </w:tcPr>
          <w:p>
            <w:pPr>
              <w:pStyle w:val="11"/>
            </w:pPr>
            <w:r>
              <w:t>1666.92</w:t>
            </w:r>
          </w:p>
        </w:tc>
        <w:tc>
          <w:tcPr>
            <w:tcW w:w="1134" w:type="dxa"/>
            <w:vAlign w:val="center"/>
          </w:tcPr>
          <w:p>
            <w:pPr>
              <w:pStyle w:val="11"/>
            </w:pPr>
            <w:r>
              <w:t>1666.92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2120806</w:t>
            </w:r>
          </w:p>
        </w:tc>
        <w:tc>
          <w:tcPr>
            <w:tcW w:w="1559" w:type="dxa"/>
            <w:vAlign w:val="center"/>
          </w:tcPr>
          <w:p>
            <w:pPr>
              <w:pStyle w:val="12"/>
            </w:pPr>
            <w:r>
              <w:t>土地出让业务支出</w:t>
            </w:r>
          </w:p>
        </w:tc>
        <w:tc>
          <w:tcPr>
            <w:tcW w:w="1134" w:type="dxa"/>
            <w:vAlign w:val="center"/>
          </w:tcPr>
          <w:p>
            <w:pPr>
              <w:pStyle w:val="11"/>
            </w:pPr>
            <w:r>
              <w:t>651.00</w:t>
            </w:r>
          </w:p>
        </w:tc>
        <w:tc>
          <w:tcPr>
            <w:tcW w:w="1134" w:type="dxa"/>
            <w:vAlign w:val="center"/>
          </w:tcPr>
          <w:p>
            <w:pPr>
              <w:pStyle w:val="11"/>
            </w:pPr>
            <w:r>
              <w:t>651.00</w:t>
            </w:r>
          </w:p>
        </w:tc>
        <w:tc>
          <w:tcPr>
            <w:tcW w:w="1134" w:type="dxa"/>
            <w:vAlign w:val="center"/>
          </w:tcPr>
          <w:p>
            <w:pPr>
              <w:pStyle w:val="11"/>
            </w:pPr>
            <w:r>
              <w:t>651.00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2120814</w:t>
            </w:r>
          </w:p>
        </w:tc>
        <w:tc>
          <w:tcPr>
            <w:tcW w:w="1559" w:type="dxa"/>
            <w:vAlign w:val="center"/>
          </w:tcPr>
          <w:p>
            <w:pPr>
              <w:pStyle w:val="12"/>
            </w:pPr>
            <w:r>
              <w:t>农业生产发展支出</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129.86</w:t>
            </w:r>
          </w:p>
        </w:tc>
        <w:tc>
          <w:tcPr>
            <w:tcW w:w="1134" w:type="dxa"/>
            <w:vAlign w:val="center"/>
          </w:tcPr>
          <w:p>
            <w:pPr>
              <w:pStyle w:val="11"/>
            </w:pPr>
            <w:r>
              <w:t>129.86</w:t>
            </w:r>
          </w:p>
        </w:tc>
        <w:tc>
          <w:tcPr>
            <w:tcW w:w="1134" w:type="dxa"/>
            <w:vAlign w:val="center"/>
          </w:tcPr>
          <w:p>
            <w:pPr>
              <w:pStyle w:val="11"/>
            </w:pPr>
            <w:r>
              <w:t>129.86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2093.01</w:t>
            </w:r>
          </w:p>
        </w:tc>
        <w:tc>
          <w:tcPr>
            <w:tcW w:w="1134" w:type="dxa"/>
            <w:vAlign w:val="center"/>
          </w:tcPr>
          <w:p>
            <w:pPr>
              <w:pStyle w:val="11"/>
            </w:pPr>
            <w:r>
              <w:t>2093.01</w:t>
            </w:r>
          </w:p>
        </w:tc>
        <w:tc>
          <w:tcPr>
            <w:tcW w:w="1134" w:type="dxa"/>
            <w:vAlign w:val="center"/>
          </w:tcPr>
          <w:p>
            <w:pPr>
              <w:pStyle w:val="11"/>
            </w:pPr>
            <w:r>
              <w:t>2093.01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596.31</w:t>
            </w:r>
          </w:p>
        </w:tc>
        <w:tc>
          <w:tcPr>
            <w:tcW w:w="1134" w:type="dxa"/>
            <w:vAlign w:val="center"/>
          </w:tcPr>
          <w:p>
            <w:pPr>
              <w:pStyle w:val="11"/>
            </w:pPr>
            <w:r>
              <w:t>596.31</w:t>
            </w:r>
          </w:p>
        </w:tc>
        <w:tc>
          <w:tcPr>
            <w:tcW w:w="1134" w:type="dxa"/>
            <w:vAlign w:val="center"/>
          </w:tcPr>
          <w:p>
            <w:pPr>
              <w:pStyle w:val="11"/>
            </w:pPr>
            <w:r>
              <w:t>596.31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2200109</w:t>
            </w:r>
          </w:p>
        </w:tc>
        <w:tc>
          <w:tcPr>
            <w:tcW w:w="1559" w:type="dxa"/>
            <w:vAlign w:val="center"/>
          </w:tcPr>
          <w:p>
            <w:pPr>
              <w:pStyle w:val="12"/>
            </w:pPr>
            <w:r>
              <w:t>自然资源调查与确权登记</w:t>
            </w:r>
          </w:p>
        </w:tc>
        <w:tc>
          <w:tcPr>
            <w:tcW w:w="1134" w:type="dxa"/>
            <w:vAlign w:val="center"/>
          </w:tcPr>
          <w:p>
            <w:pPr>
              <w:pStyle w:val="11"/>
            </w:pPr>
            <w:r>
              <w:t>50.12</w:t>
            </w:r>
          </w:p>
        </w:tc>
        <w:tc>
          <w:tcPr>
            <w:tcW w:w="1134" w:type="dxa"/>
            <w:vAlign w:val="center"/>
          </w:tcPr>
          <w:p>
            <w:pPr>
              <w:pStyle w:val="11"/>
            </w:pPr>
            <w:r>
              <w:t>50.12</w:t>
            </w:r>
          </w:p>
        </w:tc>
        <w:tc>
          <w:tcPr>
            <w:tcW w:w="1134" w:type="dxa"/>
            <w:vAlign w:val="center"/>
          </w:tcPr>
          <w:p>
            <w:pPr>
              <w:pStyle w:val="11"/>
            </w:pPr>
            <w:r>
              <w:t>50.12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5327.78</w:t>
            </w:r>
          </w:p>
        </w:tc>
        <w:tc>
          <w:tcPr>
            <w:tcW w:w="1361" w:type="dxa"/>
            <w:vAlign w:val="center"/>
          </w:tcPr>
          <w:p>
            <w:pPr>
              <w:pStyle w:val="15"/>
            </w:pPr>
            <w:r>
              <w:t>636.33</w:t>
            </w:r>
          </w:p>
        </w:tc>
        <w:tc>
          <w:tcPr>
            <w:tcW w:w="1361" w:type="dxa"/>
            <w:vAlign w:val="center"/>
          </w:tcPr>
          <w:p>
            <w:pPr>
              <w:pStyle w:val="15"/>
            </w:pPr>
            <w:r>
              <w:t>4691.45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15.75</w:t>
            </w:r>
          </w:p>
        </w:tc>
        <w:tc>
          <w:tcPr>
            <w:tcW w:w="1361" w:type="dxa"/>
            <w:vAlign w:val="center"/>
          </w:tcPr>
          <w:p>
            <w:pPr>
              <w:pStyle w:val="11"/>
            </w:pPr>
            <w:r>
              <w:t>15.75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15.75</w:t>
            </w:r>
          </w:p>
        </w:tc>
        <w:tc>
          <w:tcPr>
            <w:tcW w:w="1361" w:type="dxa"/>
            <w:vAlign w:val="center"/>
          </w:tcPr>
          <w:p>
            <w:pPr>
              <w:pStyle w:val="11"/>
            </w:pPr>
            <w:r>
              <w:t>15.75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7.49</w:t>
            </w:r>
          </w:p>
        </w:tc>
        <w:tc>
          <w:tcPr>
            <w:tcW w:w="1361" w:type="dxa"/>
            <w:vAlign w:val="center"/>
          </w:tcPr>
          <w:p>
            <w:pPr>
              <w:pStyle w:val="11"/>
            </w:pPr>
            <w:r>
              <w:t>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8.26</w:t>
            </w:r>
          </w:p>
        </w:tc>
        <w:tc>
          <w:tcPr>
            <w:tcW w:w="1361" w:type="dxa"/>
            <w:vAlign w:val="center"/>
          </w:tcPr>
          <w:p>
            <w:pPr>
              <w:pStyle w:val="11"/>
            </w:pPr>
            <w:r>
              <w:t>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2120802</w:t>
            </w:r>
          </w:p>
        </w:tc>
        <w:tc>
          <w:tcPr>
            <w:tcW w:w="4535" w:type="dxa"/>
            <w:vAlign w:val="center"/>
          </w:tcPr>
          <w:p>
            <w:pPr>
              <w:pStyle w:val="12"/>
            </w:pPr>
            <w:r>
              <w:t>土地开发支出</w:t>
            </w:r>
          </w:p>
        </w:tc>
        <w:tc>
          <w:tcPr>
            <w:tcW w:w="1361" w:type="dxa"/>
            <w:vAlign w:val="center"/>
          </w:tcPr>
          <w:p>
            <w:pPr>
              <w:pStyle w:val="11"/>
            </w:pPr>
            <w:r>
              <w:t>1666.92</w:t>
            </w:r>
          </w:p>
        </w:tc>
        <w:tc>
          <w:tcPr>
            <w:tcW w:w="1361" w:type="dxa"/>
            <w:vAlign w:val="center"/>
          </w:tcPr>
          <w:p>
            <w:pPr>
              <w:pStyle w:val="11"/>
            </w:pPr>
          </w:p>
        </w:tc>
        <w:tc>
          <w:tcPr>
            <w:tcW w:w="1361" w:type="dxa"/>
            <w:vAlign w:val="center"/>
          </w:tcPr>
          <w:p>
            <w:pPr>
              <w:pStyle w:val="11"/>
            </w:pPr>
            <w:r>
              <w:t>1666.92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2120806</w:t>
            </w:r>
          </w:p>
        </w:tc>
        <w:tc>
          <w:tcPr>
            <w:tcW w:w="4535" w:type="dxa"/>
            <w:vAlign w:val="center"/>
          </w:tcPr>
          <w:p>
            <w:pPr>
              <w:pStyle w:val="12"/>
            </w:pPr>
            <w:r>
              <w:t>土地出让业务支出</w:t>
            </w:r>
          </w:p>
        </w:tc>
        <w:tc>
          <w:tcPr>
            <w:tcW w:w="1361" w:type="dxa"/>
            <w:vAlign w:val="center"/>
          </w:tcPr>
          <w:p>
            <w:pPr>
              <w:pStyle w:val="11"/>
            </w:pPr>
            <w:r>
              <w:t>651.00</w:t>
            </w:r>
          </w:p>
        </w:tc>
        <w:tc>
          <w:tcPr>
            <w:tcW w:w="1361" w:type="dxa"/>
            <w:vAlign w:val="center"/>
          </w:tcPr>
          <w:p>
            <w:pPr>
              <w:pStyle w:val="11"/>
            </w:pPr>
          </w:p>
        </w:tc>
        <w:tc>
          <w:tcPr>
            <w:tcW w:w="1361" w:type="dxa"/>
            <w:vAlign w:val="center"/>
          </w:tcPr>
          <w:p>
            <w:pPr>
              <w:pStyle w:val="11"/>
            </w:pPr>
            <w:r>
              <w:t>651.00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2120814</w:t>
            </w:r>
          </w:p>
        </w:tc>
        <w:tc>
          <w:tcPr>
            <w:tcW w:w="4535" w:type="dxa"/>
            <w:vAlign w:val="center"/>
          </w:tcPr>
          <w:p>
            <w:pPr>
              <w:pStyle w:val="12"/>
            </w:pPr>
            <w:r>
              <w:t>农业生产发展支出</w:t>
            </w:r>
          </w:p>
        </w:tc>
        <w:tc>
          <w:tcPr>
            <w:tcW w:w="1361" w:type="dxa"/>
            <w:vAlign w:val="center"/>
          </w:tcPr>
          <w:p>
            <w:pPr>
              <w:pStyle w:val="11"/>
            </w:pPr>
            <w:r>
              <w:t>70.54</w:t>
            </w:r>
          </w:p>
        </w:tc>
        <w:tc>
          <w:tcPr>
            <w:tcW w:w="1361" w:type="dxa"/>
            <w:vAlign w:val="center"/>
          </w:tcPr>
          <w:p>
            <w:pPr>
              <w:pStyle w:val="11"/>
            </w:pPr>
          </w:p>
        </w:tc>
        <w:tc>
          <w:tcPr>
            <w:tcW w:w="1361" w:type="dxa"/>
            <w:vAlign w:val="center"/>
          </w:tcPr>
          <w:p>
            <w:pPr>
              <w:pStyle w:val="11"/>
            </w:pPr>
            <w:r>
              <w:t>70.54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129.86</w:t>
            </w:r>
          </w:p>
        </w:tc>
        <w:tc>
          <w:tcPr>
            <w:tcW w:w="1361" w:type="dxa"/>
            <w:vAlign w:val="center"/>
          </w:tcPr>
          <w:p>
            <w:pPr>
              <w:pStyle w:val="11"/>
            </w:pPr>
          </w:p>
        </w:tc>
        <w:tc>
          <w:tcPr>
            <w:tcW w:w="1361" w:type="dxa"/>
            <w:vAlign w:val="center"/>
          </w:tcPr>
          <w:p>
            <w:pPr>
              <w:pStyle w:val="11"/>
            </w:pPr>
            <w:r>
              <w:t>129.86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2093.01</w:t>
            </w:r>
          </w:p>
        </w:tc>
        <w:tc>
          <w:tcPr>
            <w:tcW w:w="1361" w:type="dxa"/>
            <w:vAlign w:val="center"/>
          </w:tcPr>
          <w:p>
            <w:pPr>
              <w:pStyle w:val="11"/>
            </w:pPr>
          </w:p>
        </w:tc>
        <w:tc>
          <w:tcPr>
            <w:tcW w:w="1361" w:type="dxa"/>
            <w:vAlign w:val="center"/>
          </w:tcPr>
          <w:p>
            <w:pPr>
              <w:pStyle w:val="11"/>
            </w:pPr>
            <w:r>
              <w:t>2093.01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676.43</w:t>
            </w:r>
          </w:p>
        </w:tc>
        <w:tc>
          <w:tcPr>
            <w:tcW w:w="1361" w:type="dxa"/>
            <w:vAlign w:val="center"/>
          </w:tcPr>
          <w:p>
            <w:pPr>
              <w:pStyle w:val="11"/>
            </w:pPr>
            <w:r>
              <w:t>596.31</w:t>
            </w:r>
          </w:p>
        </w:tc>
        <w:tc>
          <w:tcPr>
            <w:tcW w:w="1361" w:type="dxa"/>
            <w:vAlign w:val="center"/>
          </w:tcPr>
          <w:p>
            <w:pPr>
              <w:pStyle w:val="11"/>
            </w:pPr>
            <w:r>
              <w:t>80.12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676.43</w:t>
            </w:r>
          </w:p>
        </w:tc>
        <w:tc>
          <w:tcPr>
            <w:tcW w:w="1361" w:type="dxa"/>
            <w:vAlign w:val="center"/>
          </w:tcPr>
          <w:p>
            <w:pPr>
              <w:pStyle w:val="11"/>
            </w:pPr>
            <w:r>
              <w:t>596.31</w:t>
            </w:r>
          </w:p>
        </w:tc>
        <w:tc>
          <w:tcPr>
            <w:tcW w:w="1361" w:type="dxa"/>
            <w:vAlign w:val="center"/>
          </w:tcPr>
          <w:p>
            <w:pPr>
              <w:pStyle w:val="11"/>
            </w:pPr>
            <w:r>
              <w:t>80.12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596.31</w:t>
            </w:r>
          </w:p>
        </w:tc>
        <w:tc>
          <w:tcPr>
            <w:tcW w:w="1361" w:type="dxa"/>
            <w:vAlign w:val="center"/>
          </w:tcPr>
          <w:p>
            <w:pPr>
              <w:pStyle w:val="11"/>
            </w:pPr>
            <w:r>
              <w:t>596.31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2200109</w:t>
            </w:r>
          </w:p>
        </w:tc>
        <w:tc>
          <w:tcPr>
            <w:tcW w:w="4535" w:type="dxa"/>
            <w:vAlign w:val="center"/>
          </w:tcPr>
          <w:p>
            <w:pPr>
              <w:pStyle w:val="12"/>
            </w:pPr>
            <w:r>
              <w:t>自然资源调查与确权登记</w:t>
            </w:r>
          </w:p>
        </w:tc>
        <w:tc>
          <w:tcPr>
            <w:tcW w:w="1361" w:type="dxa"/>
            <w:vAlign w:val="center"/>
          </w:tcPr>
          <w:p>
            <w:pPr>
              <w:pStyle w:val="11"/>
            </w:pPr>
            <w:r>
              <w:t>50.12</w:t>
            </w:r>
          </w:p>
        </w:tc>
        <w:tc>
          <w:tcPr>
            <w:tcW w:w="1361" w:type="dxa"/>
            <w:vAlign w:val="center"/>
          </w:tcPr>
          <w:p>
            <w:pPr>
              <w:pStyle w:val="11"/>
            </w:pPr>
          </w:p>
        </w:tc>
        <w:tc>
          <w:tcPr>
            <w:tcW w:w="1361" w:type="dxa"/>
            <w:vAlign w:val="center"/>
          </w:tcPr>
          <w:p>
            <w:pPr>
              <w:pStyle w:val="11"/>
            </w:pPr>
            <w:r>
              <w:t>50.12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716.45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4611.33</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13.87</w:t>
            </w:r>
          </w:p>
        </w:tc>
        <w:tc>
          <w:tcPr>
            <w:tcW w:w="1474" w:type="dxa"/>
            <w:vAlign w:val="center"/>
          </w:tcPr>
          <w:p>
            <w:pPr>
              <w:pStyle w:val="11"/>
            </w:pPr>
            <w:r>
              <w:t>13.87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15.75</w:t>
            </w:r>
          </w:p>
        </w:tc>
        <w:tc>
          <w:tcPr>
            <w:tcW w:w="1474" w:type="dxa"/>
            <w:vAlign w:val="center"/>
          </w:tcPr>
          <w:p>
            <w:pPr>
              <w:pStyle w:val="11"/>
            </w:pPr>
            <w:r>
              <w:t>15.75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4611.33</w:t>
            </w:r>
          </w:p>
        </w:tc>
        <w:tc>
          <w:tcPr>
            <w:tcW w:w="1474" w:type="dxa"/>
            <w:vAlign w:val="center"/>
          </w:tcPr>
          <w:p>
            <w:pPr>
              <w:pStyle w:val="11"/>
            </w:pPr>
          </w:p>
        </w:tc>
        <w:tc>
          <w:tcPr>
            <w:tcW w:w="1474" w:type="dxa"/>
            <w:vAlign w:val="center"/>
          </w:tcPr>
          <w:p>
            <w:pPr>
              <w:pStyle w:val="11"/>
            </w:pPr>
            <w:r>
              <w:t>4611.33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676.43</w:t>
            </w:r>
          </w:p>
        </w:tc>
        <w:tc>
          <w:tcPr>
            <w:tcW w:w="1474" w:type="dxa"/>
            <w:vAlign w:val="center"/>
          </w:tcPr>
          <w:p>
            <w:pPr>
              <w:pStyle w:val="11"/>
            </w:pPr>
            <w:r>
              <w:t>676.43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10.40</w:t>
            </w:r>
          </w:p>
        </w:tc>
        <w:tc>
          <w:tcPr>
            <w:tcW w:w="1474" w:type="dxa"/>
            <w:vAlign w:val="center"/>
          </w:tcPr>
          <w:p>
            <w:pPr>
              <w:pStyle w:val="11"/>
            </w:pPr>
            <w:r>
              <w:t>10.40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5327.78</w:t>
            </w:r>
          </w:p>
        </w:tc>
        <w:tc>
          <w:tcPr>
            <w:tcW w:w="3402" w:type="dxa"/>
            <w:vAlign w:val="center"/>
          </w:tcPr>
          <w:p>
            <w:pPr>
              <w:pStyle w:val="14"/>
            </w:pPr>
            <w:r>
              <w:t>本年支出合计</w:t>
            </w:r>
          </w:p>
        </w:tc>
        <w:tc>
          <w:tcPr>
            <w:tcW w:w="1474" w:type="dxa"/>
            <w:vAlign w:val="center"/>
          </w:tcPr>
          <w:p>
            <w:pPr>
              <w:pStyle w:val="15"/>
            </w:pPr>
            <w:r>
              <w:t>5327.78</w:t>
            </w:r>
          </w:p>
        </w:tc>
        <w:tc>
          <w:tcPr>
            <w:tcW w:w="1474" w:type="dxa"/>
            <w:vAlign w:val="center"/>
          </w:tcPr>
          <w:p>
            <w:pPr>
              <w:pStyle w:val="15"/>
            </w:pPr>
            <w:r>
              <w:t>716.45</w:t>
            </w:r>
          </w:p>
        </w:tc>
        <w:tc>
          <w:tcPr>
            <w:tcW w:w="1474" w:type="dxa"/>
            <w:vAlign w:val="center"/>
          </w:tcPr>
          <w:p>
            <w:pPr>
              <w:pStyle w:val="15"/>
            </w:pPr>
            <w:r>
              <w:t>4611.33</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5327.78</w:t>
            </w:r>
          </w:p>
        </w:tc>
        <w:tc>
          <w:tcPr>
            <w:tcW w:w="3402" w:type="dxa"/>
            <w:vAlign w:val="center"/>
          </w:tcPr>
          <w:p>
            <w:pPr>
              <w:pStyle w:val="14"/>
            </w:pPr>
            <w:r>
              <w:t>支出总计</w:t>
            </w:r>
          </w:p>
        </w:tc>
        <w:tc>
          <w:tcPr>
            <w:tcW w:w="1474" w:type="dxa"/>
            <w:vAlign w:val="center"/>
          </w:tcPr>
          <w:p>
            <w:pPr>
              <w:pStyle w:val="15"/>
            </w:pPr>
            <w:r>
              <w:t>5327.78</w:t>
            </w:r>
          </w:p>
        </w:tc>
        <w:tc>
          <w:tcPr>
            <w:tcW w:w="1474" w:type="dxa"/>
            <w:vAlign w:val="center"/>
          </w:tcPr>
          <w:p>
            <w:pPr>
              <w:pStyle w:val="15"/>
            </w:pPr>
            <w:r>
              <w:t>716.45</w:t>
            </w:r>
          </w:p>
        </w:tc>
        <w:tc>
          <w:tcPr>
            <w:tcW w:w="1474" w:type="dxa"/>
            <w:vAlign w:val="center"/>
          </w:tcPr>
          <w:p>
            <w:pPr>
              <w:pStyle w:val="15"/>
            </w:pPr>
            <w:r>
              <w:t>4611.33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716.45</w:t>
            </w:r>
          </w:p>
        </w:tc>
        <w:tc>
          <w:tcPr>
            <w:tcW w:w="2551" w:type="dxa"/>
            <w:vAlign w:val="center"/>
          </w:tcPr>
          <w:p>
            <w:pPr>
              <w:pStyle w:val="15"/>
            </w:pPr>
            <w:r>
              <w:t>636.33</w:t>
            </w:r>
          </w:p>
        </w:tc>
        <w:tc>
          <w:tcPr>
            <w:tcW w:w="2551" w:type="dxa"/>
            <w:vAlign w:val="center"/>
          </w:tcPr>
          <w:p>
            <w:pPr>
              <w:pStyle w:val="15"/>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676.43</w:t>
            </w:r>
          </w:p>
        </w:tc>
        <w:tc>
          <w:tcPr>
            <w:tcW w:w="2551" w:type="dxa"/>
            <w:vAlign w:val="center"/>
          </w:tcPr>
          <w:p>
            <w:pPr>
              <w:pStyle w:val="11"/>
            </w:pPr>
            <w:r>
              <w:t>596.31</w:t>
            </w:r>
          </w:p>
        </w:tc>
        <w:tc>
          <w:tcPr>
            <w:tcW w:w="2551" w:type="dxa"/>
            <w:vAlign w:val="center"/>
          </w:tcPr>
          <w:p>
            <w:pPr>
              <w:pStyle w:val="11"/>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676.43</w:t>
            </w:r>
          </w:p>
        </w:tc>
        <w:tc>
          <w:tcPr>
            <w:tcW w:w="2551" w:type="dxa"/>
            <w:vAlign w:val="center"/>
          </w:tcPr>
          <w:p>
            <w:pPr>
              <w:pStyle w:val="11"/>
            </w:pPr>
            <w:r>
              <w:t>596.31</w:t>
            </w:r>
          </w:p>
        </w:tc>
        <w:tc>
          <w:tcPr>
            <w:tcW w:w="2551" w:type="dxa"/>
            <w:vAlign w:val="center"/>
          </w:tcPr>
          <w:p>
            <w:pPr>
              <w:pStyle w:val="11"/>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596.31</w:t>
            </w:r>
          </w:p>
        </w:tc>
        <w:tc>
          <w:tcPr>
            <w:tcW w:w="2551" w:type="dxa"/>
            <w:vAlign w:val="center"/>
          </w:tcPr>
          <w:p>
            <w:pPr>
              <w:pStyle w:val="11"/>
            </w:pPr>
            <w:r>
              <w:t>596.31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2200109</w:t>
            </w:r>
          </w:p>
        </w:tc>
        <w:tc>
          <w:tcPr>
            <w:tcW w:w="4535" w:type="dxa"/>
            <w:vAlign w:val="center"/>
          </w:tcPr>
          <w:p>
            <w:pPr>
              <w:pStyle w:val="12"/>
            </w:pPr>
            <w:r>
              <w:t>自然资源调查与确权登记</w:t>
            </w:r>
          </w:p>
        </w:tc>
        <w:tc>
          <w:tcPr>
            <w:tcW w:w="2551" w:type="dxa"/>
            <w:vAlign w:val="center"/>
          </w:tcPr>
          <w:p>
            <w:pPr>
              <w:pStyle w:val="11"/>
            </w:pPr>
            <w:r>
              <w:t>50.12</w:t>
            </w:r>
          </w:p>
        </w:tc>
        <w:tc>
          <w:tcPr>
            <w:tcW w:w="2551" w:type="dxa"/>
            <w:vAlign w:val="center"/>
          </w:tcPr>
          <w:p>
            <w:pPr>
              <w:pStyle w:val="11"/>
            </w:pPr>
          </w:p>
        </w:tc>
        <w:tc>
          <w:tcPr>
            <w:tcW w:w="2551" w:type="dxa"/>
            <w:vAlign w:val="center"/>
          </w:tcPr>
          <w:p>
            <w:pPr>
              <w:pStyle w:val="11"/>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636.33</w:t>
            </w:r>
          </w:p>
        </w:tc>
        <w:tc>
          <w:tcPr>
            <w:tcW w:w="2551" w:type="dxa"/>
            <w:vAlign w:val="center"/>
          </w:tcPr>
          <w:p>
            <w:pPr>
              <w:pStyle w:val="15"/>
            </w:pPr>
            <w:r>
              <w:t>501.92</w:t>
            </w:r>
          </w:p>
        </w:tc>
        <w:tc>
          <w:tcPr>
            <w:tcW w:w="2551" w:type="dxa"/>
            <w:vAlign w:val="center"/>
          </w:tcPr>
          <w:p>
            <w:pPr>
              <w:pStyle w:val="15"/>
            </w:pPr>
            <w:r>
              <w:t>134.41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499.39</w:t>
            </w:r>
          </w:p>
        </w:tc>
        <w:tc>
          <w:tcPr>
            <w:tcW w:w="2551" w:type="dxa"/>
            <w:vAlign w:val="center"/>
          </w:tcPr>
          <w:p>
            <w:pPr>
              <w:pStyle w:val="11"/>
            </w:pPr>
            <w:r>
              <w:t>499.39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40.24</w:t>
            </w:r>
          </w:p>
        </w:tc>
        <w:tc>
          <w:tcPr>
            <w:tcW w:w="2551" w:type="dxa"/>
            <w:vAlign w:val="center"/>
          </w:tcPr>
          <w:p>
            <w:pPr>
              <w:pStyle w:val="11"/>
            </w:pPr>
            <w:r>
              <w:t>40.24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46.41</w:t>
            </w:r>
          </w:p>
        </w:tc>
        <w:tc>
          <w:tcPr>
            <w:tcW w:w="2551" w:type="dxa"/>
            <w:vAlign w:val="center"/>
          </w:tcPr>
          <w:p>
            <w:pPr>
              <w:pStyle w:val="11"/>
            </w:pPr>
            <w:r>
              <w:t>46.41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346.99</w:t>
            </w:r>
          </w:p>
        </w:tc>
        <w:tc>
          <w:tcPr>
            <w:tcW w:w="2551" w:type="dxa"/>
            <w:vAlign w:val="center"/>
          </w:tcPr>
          <w:p>
            <w:pPr>
              <w:pStyle w:val="11"/>
            </w:pPr>
            <w:r>
              <w:t>346.99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134.41</w:t>
            </w:r>
          </w:p>
        </w:tc>
        <w:tc>
          <w:tcPr>
            <w:tcW w:w="2551" w:type="dxa"/>
            <w:vAlign w:val="center"/>
          </w:tcPr>
          <w:p>
            <w:pPr>
              <w:pStyle w:val="11"/>
            </w:pPr>
          </w:p>
        </w:tc>
        <w:tc>
          <w:tcPr>
            <w:tcW w:w="2551" w:type="dxa"/>
            <w:vAlign w:val="center"/>
          </w:tcPr>
          <w:p>
            <w:pPr>
              <w:pStyle w:val="11"/>
            </w:pPr>
            <w:r>
              <w:t>134.41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16.49</w:t>
            </w:r>
          </w:p>
        </w:tc>
        <w:tc>
          <w:tcPr>
            <w:tcW w:w="2551" w:type="dxa"/>
            <w:vAlign w:val="center"/>
          </w:tcPr>
          <w:p>
            <w:pPr>
              <w:pStyle w:val="11"/>
            </w:pPr>
          </w:p>
        </w:tc>
        <w:tc>
          <w:tcPr>
            <w:tcW w:w="2551" w:type="dxa"/>
            <w:vAlign w:val="center"/>
          </w:tcPr>
          <w:p>
            <w:pPr>
              <w:pStyle w:val="11"/>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12.56</w:t>
            </w:r>
          </w:p>
        </w:tc>
        <w:tc>
          <w:tcPr>
            <w:tcW w:w="2551" w:type="dxa"/>
            <w:vAlign w:val="center"/>
          </w:tcPr>
          <w:p>
            <w:pPr>
              <w:pStyle w:val="11"/>
            </w:pPr>
          </w:p>
        </w:tc>
        <w:tc>
          <w:tcPr>
            <w:tcW w:w="2551" w:type="dxa"/>
            <w:vAlign w:val="center"/>
          </w:tcPr>
          <w:p>
            <w:pPr>
              <w:pStyle w:val="11"/>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13.08</w:t>
            </w:r>
          </w:p>
        </w:tc>
        <w:tc>
          <w:tcPr>
            <w:tcW w:w="2551" w:type="dxa"/>
            <w:vAlign w:val="center"/>
          </w:tcPr>
          <w:p>
            <w:pPr>
              <w:pStyle w:val="11"/>
            </w:pPr>
          </w:p>
        </w:tc>
        <w:tc>
          <w:tcPr>
            <w:tcW w:w="2551" w:type="dxa"/>
            <w:vAlign w:val="center"/>
          </w:tcPr>
          <w:p>
            <w:pPr>
              <w:pStyle w:val="11"/>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7.85</w:t>
            </w:r>
          </w:p>
        </w:tc>
        <w:tc>
          <w:tcPr>
            <w:tcW w:w="2551" w:type="dxa"/>
            <w:vAlign w:val="center"/>
          </w:tcPr>
          <w:p>
            <w:pPr>
              <w:pStyle w:val="11"/>
            </w:pPr>
          </w:p>
        </w:tc>
        <w:tc>
          <w:tcPr>
            <w:tcW w:w="2551" w:type="dxa"/>
            <w:vAlign w:val="center"/>
          </w:tcPr>
          <w:p>
            <w:pPr>
              <w:pStyle w:val="11"/>
            </w:pPr>
            <w:r>
              <w:t>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2.36</w:t>
            </w:r>
          </w:p>
        </w:tc>
        <w:tc>
          <w:tcPr>
            <w:tcW w:w="2551" w:type="dxa"/>
            <w:vAlign w:val="center"/>
          </w:tcPr>
          <w:p>
            <w:pPr>
              <w:pStyle w:val="11"/>
            </w:pPr>
          </w:p>
        </w:tc>
        <w:tc>
          <w:tcPr>
            <w:tcW w:w="2551" w:type="dxa"/>
            <w:vAlign w:val="center"/>
          </w:tcPr>
          <w:p>
            <w:pPr>
              <w:pStyle w:val="11"/>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4.71</w:t>
            </w:r>
          </w:p>
        </w:tc>
        <w:tc>
          <w:tcPr>
            <w:tcW w:w="2551" w:type="dxa"/>
            <w:vAlign w:val="center"/>
          </w:tcPr>
          <w:p>
            <w:pPr>
              <w:pStyle w:val="11"/>
            </w:pPr>
          </w:p>
        </w:tc>
        <w:tc>
          <w:tcPr>
            <w:tcW w:w="2551" w:type="dxa"/>
            <w:vAlign w:val="center"/>
          </w:tcPr>
          <w:p>
            <w:pPr>
              <w:pStyle w:val="11"/>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64.20</w:t>
            </w:r>
          </w:p>
        </w:tc>
        <w:tc>
          <w:tcPr>
            <w:tcW w:w="2551" w:type="dxa"/>
            <w:vAlign w:val="center"/>
          </w:tcPr>
          <w:p>
            <w:pPr>
              <w:pStyle w:val="11"/>
            </w:pPr>
          </w:p>
        </w:tc>
        <w:tc>
          <w:tcPr>
            <w:tcW w:w="2551" w:type="dxa"/>
            <w:vAlign w:val="center"/>
          </w:tcPr>
          <w:p>
            <w:pPr>
              <w:pStyle w:val="11"/>
            </w:pPr>
            <w:r>
              <w:t>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2.53</w:t>
            </w:r>
          </w:p>
        </w:tc>
        <w:tc>
          <w:tcPr>
            <w:tcW w:w="2551" w:type="dxa"/>
            <w:vAlign w:val="center"/>
          </w:tcPr>
          <w:p>
            <w:pPr>
              <w:pStyle w:val="11"/>
            </w:pPr>
            <w:r>
              <w:t>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2.10</w:t>
            </w:r>
          </w:p>
        </w:tc>
        <w:tc>
          <w:tcPr>
            <w:tcW w:w="2551" w:type="dxa"/>
            <w:vAlign w:val="center"/>
          </w:tcPr>
          <w:p>
            <w:pPr>
              <w:pStyle w:val="11"/>
            </w:pPr>
            <w:r>
              <w:t>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4611.33</w:t>
            </w:r>
          </w:p>
        </w:tc>
        <w:tc>
          <w:tcPr>
            <w:tcW w:w="2551" w:type="dxa"/>
            <w:vAlign w:val="center"/>
          </w:tcPr>
          <w:p>
            <w:pPr>
              <w:pStyle w:val="15"/>
            </w:pPr>
          </w:p>
        </w:tc>
        <w:tc>
          <w:tcPr>
            <w:tcW w:w="2551" w:type="dxa"/>
            <w:vAlign w:val="center"/>
          </w:tcPr>
          <w:p>
            <w:pPr>
              <w:pStyle w:val="15"/>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4611.33</w:t>
            </w:r>
          </w:p>
        </w:tc>
        <w:tc>
          <w:tcPr>
            <w:tcW w:w="2551" w:type="dxa"/>
            <w:vAlign w:val="center"/>
          </w:tcPr>
          <w:p>
            <w:pPr>
              <w:pStyle w:val="11"/>
            </w:pPr>
          </w:p>
        </w:tc>
        <w:tc>
          <w:tcPr>
            <w:tcW w:w="2551"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4611.33</w:t>
            </w:r>
          </w:p>
        </w:tc>
        <w:tc>
          <w:tcPr>
            <w:tcW w:w="2551" w:type="dxa"/>
            <w:vAlign w:val="center"/>
          </w:tcPr>
          <w:p>
            <w:pPr>
              <w:pStyle w:val="11"/>
            </w:pPr>
          </w:p>
        </w:tc>
        <w:tc>
          <w:tcPr>
            <w:tcW w:w="2551"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2120802</w:t>
            </w:r>
          </w:p>
        </w:tc>
        <w:tc>
          <w:tcPr>
            <w:tcW w:w="4535" w:type="dxa"/>
            <w:vAlign w:val="center"/>
          </w:tcPr>
          <w:p>
            <w:pPr>
              <w:pStyle w:val="12"/>
            </w:pPr>
            <w:r>
              <w:t>土地开发支出</w:t>
            </w:r>
          </w:p>
        </w:tc>
        <w:tc>
          <w:tcPr>
            <w:tcW w:w="2551" w:type="dxa"/>
            <w:vAlign w:val="center"/>
          </w:tcPr>
          <w:p>
            <w:pPr>
              <w:pStyle w:val="11"/>
            </w:pPr>
            <w:r>
              <w:t>1666.92</w:t>
            </w:r>
          </w:p>
        </w:tc>
        <w:tc>
          <w:tcPr>
            <w:tcW w:w="2551" w:type="dxa"/>
            <w:vAlign w:val="center"/>
          </w:tcPr>
          <w:p>
            <w:pPr>
              <w:pStyle w:val="11"/>
            </w:pPr>
          </w:p>
        </w:tc>
        <w:tc>
          <w:tcPr>
            <w:tcW w:w="2551" w:type="dxa"/>
            <w:vAlign w:val="center"/>
          </w:tcPr>
          <w:p>
            <w:pPr>
              <w:pStyle w:val="11"/>
            </w:pPr>
            <w:r>
              <w:t>1666.92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2120806</w:t>
            </w:r>
          </w:p>
        </w:tc>
        <w:tc>
          <w:tcPr>
            <w:tcW w:w="4535" w:type="dxa"/>
            <w:vAlign w:val="center"/>
          </w:tcPr>
          <w:p>
            <w:pPr>
              <w:pStyle w:val="12"/>
            </w:pPr>
            <w:r>
              <w:t>土地出让业务支出</w:t>
            </w:r>
          </w:p>
        </w:tc>
        <w:tc>
          <w:tcPr>
            <w:tcW w:w="2551" w:type="dxa"/>
            <w:vAlign w:val="center"/>
          </w:tcPr>
          <w:p>
            <w:pPr>
              <w:pStyle w:val="11"/>
            </w:pPr>
            <w:r>
              <w:t>651.00</w:t>
            </w:r>
          </w:p>
        </w:tc>
        <w:tc>
          <w:tcPr>
            <w:tcW w:w="2551" w:type="dxa"/>
            <w:vAlign w:val="center"/>
          </w:tcPr>
          <w:p>
            <w:pPr>
              <w:pStyle w:val="11"/>
            </w:pPr>
          </w:p>
        </w:tc>
        <w:tc>
          <w:tcPr>
            <w:tcW w:w="2551" w:type="dxa"/>
            <w:vAlign w:val="center"/>
          </w:tcPr>
          <w:p>
            <w:pPr>
              <w:pStyle w:val="11"/>
            </w:pPr>
            <w:r>
              <w:t>651.00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70.54</w:t>
            </w:r>
          </w:p>
        </w:tc>
        <w:tc>
          <w:tcPr>
            <w:tcW w:w="2551" w:type="dxa"/>
            <w:vAlign w:val="center"/>
          </w:tcPr>
          <w:p>
            <w:pPr>
              <w:pStyle w:val="11"/>
            </w:pPr>
          </w:p>
        </w:tc>
        <w:tc>
          <w:tcPr>
            <w:tcW w:w="2551" w:type="dxa"/>
            <w:vAlign w:val="center"/>
          </w:tcPr>
          <w:p>
            <w:pPr>
              <w:pStyle w:val="11"/>
            </w:pPr>
            <w:r>
              <w:t>70.54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129.86</w:t>
            </w:r>
          </w:p>
        </w:tc>
        <w:tc>
          <w:tcPr>
            <w:tcW w:w="2551" w:type="dxa"/>
            <w:vAlign w:val="center"/>
          </w:tcPr>
          <w:p>
            <w:pPr>
              <w:pStyle w:val="11"/>
            </w:pPr>
          </w:p>
        </w:tc>
        <w:tc>
          <w:tcPr>
            <w:tcW w:w="2551" w:type="dxa"/>
            <w:vAlign w:val="center"/>
          </w:tcPr>
          <w:p>
            <w:pPr>
              <w:pStyle w:val="11"/>
            </w:pPr>
            <w:r>
              <w:t>129.86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2093.01</w:t>
            </w:r>
          </w:p>
        </w:tc>
        <w:tc>
          <w:tcPr>
            <w:tcW w:w="2551" w:type="dxa"/>
            <w:vAlign w:val="center"/>
          </w:tcPr>
          <w:p>
            <w:pPr>
              <w:pStyle w:val="11"/>
            </w:pPr>
          </w:p>
        </w:tc>
        <w:tc>
          <w:tcPr>
            <w:tcW w:w="2551" w:type="dxa"/>
            <w:vAlign w:val="center"/>
          </w:tcPr>
          <w:p>
            <w:pPr>
              <w:pStyle w:val="11"/>
            </w:pPr>
            <w:r>
              <w:t>2093.01</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唐山市自然资源和规划局丰润区分局2022年部门预算信息公开情况说明</w:t>
      </w:r>
    </w:p>
    <w:p>
      <w:pPr>
        <w:jc w:val="center"/>
      </w:pPr>
      <w:r>
        <w:rPr>
          <w:rFonts w:ascii="方正小标宋_GBK" w:hAnsi="方正小标宋_GBK" w:eastAsia="方正小标宋_GBK" w:cs="方正小标宋_GBK"/>
          <w:color w:val="000000"/>
          <w:sz w:val="44"/>
        </w:rPr>
        <w:t>唐山市自然资源和规划局丰润区分局2022年部门预算信息公开情况说明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预算法》、《地方预决算公开操作规程》和《关于进一步推进预算公开工作的实施意见》规定，现将唐山市自然资源和规划局丰润区分局2022年部门预算公开如下：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唐山市自然资源和规划局丰润区分局本级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唐山市丰润区土地储备开发中心</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按照预算管理有关规定，目前我省部门预算的编制实行综合预算管理，即全部收入和支出都反映在预算中。唐山市自然资源和规划局丰润区分局机关及所属事业单位的收支包含在部门预算中。</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唐山市自然资源和规划局丰润区分局为贯彻落实党中央和省委、市委关于自然资源和规划工作的方针政策和决策部署,坚持和加强党对自然资源和规划工作的集中统一领导。履行全民所有土地、矿产、湿地、水等自然资源资产所有者职责和所有国土空间用途管制职责。年度总体规划绩效目标是：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组织开展自然资源分等定级价格评估和自然资源利用评价,节约集约利用自然资源。组织落实自然资源管理涉及宏观调控、区域协调和城乡统筹的政策措施。建立健全辖区自然资源和不动产登记信息管理基础平台.完成唐山市自然资源和规划局及区委、区政府交办的其他任务。</w:t>
      </w:r>
    </w:p>
    <w:p>
      <w:pPr>
        <w:spacing w:line="500" w:lineRule="exact"/>
        <w:ind w:firstLine="560"/>
      </w:pPr>
      <w:r>
        <w:rPr>
          <w:rFonts w:eastAsia="方正仿宋_GBK"/>
          <w:color w:val="000000"/>
          <w:sz w:val="28"/>
        </w:rPr>
        <w:t>（二）分项绩效目标</w:t>
      </w:r>
    </w:p>
    <w:p>
      <w:pPr>
        <w:pStyle w:val="22"/>
      </w:pPr>
      <w:r>
        <w:t>（一）耕地保护监督管理</w:t>
      </w:r>
    </w:p>
    <w:p>
      <w:pPr>
        <w:pStyle w:val="22"/>
      </w:pPr>
      <w:r>
        <w:t>绩效目标：组织实施辖区耕地保护政策,组织实施耕地保护责任目标考核和永久基本农田特殊保护,负责辖区永久基本农田划定、占用和补划的监督管理承担耕地占补平衡管理工作。承担土地征收征用管理工作。承担报国务院、省政府、市政府审批的各类用地的审核、报批工作。负责耕地保护政策与林地、草地、湿地等土地资源保护政策的衔接。</w:t>
      </w:r>
    </w:p>
    <w:p>
      <w:pPr>
        <w:pStyle w:val="22"/>
      </w:pPr>
      <w:r>
        <w:t>绩效指标：自行开垦数量大于等于11个，自行开垦完成率大于等于80%，按15元/平方米缴纳耕地占用税，出让及收储宗地数量大于等于15宗，土地出让预计成本大于等于78万元/亩。</w:t>
      </w:r>
    </w:p>
    <w:p>
      <w:pPr>
        <w:pStyle w:val="22"/>
      </w:pPr>
      <w:r>
        <w:t>（二）自然资源确权登记管理</w:t>
      </w:r>
    </w:p>
    <w:p>
      <w:pPr>
        <w:pStyle w:val="22"/>
      </w:pPr>
      <w:r>
        <w:t>绩效目标：实施国家各类自然资源和不动产统一确权登记、权籍调查、不动产测绘、争议调处、成果应用的制度、标准、规范。受市局委托承担辖区自然资源和不动产确权登记工作。建立健全自然资源和不动产登记信息管理基础平台,管理登记资料。</w:t>
      </w:r>
    </w:p>
    <w:p>
      <w:pPr>
        <w:pStyle w:val="22"/>
      </w:pPr>
      <w:r>
        <w:t>绩效指标：确权登记完成率大于等于95%。</w:t>
      </w:r>
    </w:p>
    <w:p>
      <w:pPr>
        <w:pStyle w:val="22"/>
      </w:pPr>
      <w:r>
        <w:t>（三）自然资源开发利用管理</w:t>
      </w:r>
    </w:p>
    <w:p>
      <w:pPr>
        <w:pStyle w:val="22"/>
      </w:pPr>
      <w:r>
        <w:t>绩效目标：贯彻执行全民所有自然资源资产管理政策和统计制度，承担自然资源资产价值评估和资产核算工作。编制全民所有自然资源资产负债表，落实考核标准。参与拟订全民所有自然资源资产划拨、出让、租赁、作价出资和土地储备政策。依权限承担改制企业国有土地资产处置。负责审批项目的批后监管工作。协调组织区土地管理委员会日常工作。</w:t>
      </w:r>
    </w:p>
    <w:p>
      <w:pPr>
        <w:pStyle w:val="22"/>
      </w:pPr>
      <w:r>
        <w:t>绩效指标：自然资源资产清查种类大于等于6类，更新自然资源价格体系时间小于等于3年。</w:t>
      </w:r>
    </w:p>
    <w:p>
      <w:pPr>
        <w:pStyle w:val="22"/>
      </w:pPr>
      <w:r>
        <w:t>（四）矿产资源管理</w:t>
      </w:r>
    </w:p>
    <w:p>
      <w:pPr>
        <w:pStyle w:val="22"/>
      </w:pPr>
      <w:r>
        <w:t>绩效目标：拟订辖区矿业权管理政策并组织实施，负责金属、非金属矿产资源矿业权申请登记核查。统计分析并指导探矿权、采矿权审批登记，调处矿业权权属纠纷。组织实施矿产资源储量评审、备案、登记、统计和信息发布及压覆矿产资源审批管理、矿产地战略储备工作。实施矿山储量动态管理，负责矿产资源安全监测预警工作。</w:t>
      </w:r>
    </w:p>
    <w:p>
      <w:pPr>
        <w:pStyle w:val="22"/>
      </w:pPr>
      <w:r>
        <w:t>绩效指标：对全区28家持证矿山和6家盗采易发区开采现状进行勘测，勘测率达到100%。</w:t>
      </w:r>
    </w:p>
    <w:p>
      <w:pPr>
        <w:pStyle w:val="22"/>
      </w:pPr>
      <w:r>
        <w:t>（五）自然资源调查监测管理</w:t>
      </w:r>
    </w:p>
    <w:p>
      <w:pPr>
        <w:pStyle w:val="22"/>
      </w:pPr>
      <w:r>
        <w:t>绩效目标：定期组织实施辖区性自然资源基础调查、变更调查、动态监测和分析评价。组织开展土地、矿产、水、海洋、森林、草原、湿地和地理国情等专项调查监测评价工作。承担自然资源调查监测评价成果的汇交、管理、维护、发布、共享和利用监督。</w:t>
      </w:r>
    </w:p>
    <w:p>
      <w:pPr>
        <w:pStyle w:val="22"/>
      </w:pPr>
      <w:r>
        <w:t>绩效指标：调查全区范围内全部地类图斑，数据库正确率大于等于95%。</w:t>
      </w:r>
    </w:p>
    <w:p>
      <w:pPr>
        <w:pStyle w:val="22"/>
      </w:pPr>
      <w:r>
        <w:t>（六）执法监察管理</w:t>
      </w:r>
    </w:p>
    <w:p>
      <w:pPr>
        <w:pStyle w:val="22"/>
      </w:pPr>
      <w:r>
        <w:t>绩效目标：负责对辖区内执行和遵守自然资源和规划法律法规情况进行监督检查;参与拟订辖区自然资源和国土空间规划执法监督和违法案件查处规定;组织开展对辖区国土空间规划和自然资源开发利用工作的监督检查;负责辖区国土空间规划和自然资源违法案件调查工作并依权限进行处理。负责查处辖区违反城乡规划法律、法规、规章的行为(城市管理综合行政执法部门负责的有关城乡规划执法除外)。负责组织开展辖区内自然资源利用和管理形势分析研判。组织开展法治宣传教育。受市局委托承担行政复议、行政诉讼的答复、行政应诉工作。</w:t>
      </w:r>
    </w:p>
    <w:p>
      <w:pPr>
        <w:pStyle w:val="22"/>
      </w:pPr>
      <w:r>
        <w:t>绩效指标：视频维护数量大于等于32个，违法图斑整改率大于等于85%，对违法开采、非法占地处罚标准大于100元/平方米。</w:t>
      </w:r>
    </w:p>
    <w:p>
      <w:pPr>
        <w:pStyle w:val="22"/>
      </w:pPr>
      <w:r>
        <w:t>（七）国土空间规划管理</w:t>
      </w:r>
    </w:p>
    <w:p>
      <w:pPr>
        <w:pStyle w:val="22"/>
      </w:pPr>
      <w:r>
        <w:t>绩效目标：建立空间规划体系工作并监督实施。组织编制全区国土空间规划和相关专项规划。开展国土空间开发适宜性评价，建立国土空间规划实施监测、评估和预警体系。制定本区“五级两规一导则”,组织编制辖区多规合一、国土空间规划、近期建设规划。负责组织协调编制基础设施、公共设施等专项规划。组织开展城市规划建设问题的调查研究。负责组织编制控制性详细规划。负责组织各类规划方案征集、评审、论证工作。参与拟订耕地、林地、草地、湿地等国土空间用途转用政策并组织实施。</w:t>
      </w:r>
    </w:p>
    <w:p>
      <w:pPr>
        <w:pStyle w:val="22"/>
      </w:pPr>
      <w:r>
        <w:t>绩效指标：城区、村庄控制性详细规划类别大于等于5类，规划质量评定达到良，区规划土地利用率大于等于90%。</w:t>
      </w:r>
    </w:p>
    <w:p>
      <w:pPr>
        <w:pStyle w:val="22"/>
      </w:pPr>
      <w:r>
        <w:t>(八)国土空间生态修复管理</w:t>
      </w:r>
    </w:p>
    <w:p>
      <w:pPr>
        <w:pStyle w:val="22"/>
      </w:pPr>
      <w:r>
        <w:t>绩效目标：承担全区国土空间生态修复政策研究工作，拟订国土空间生态修复规划并组织实施。承担国土空间综合整治、土地整理复垦、工矿废弃地复垦利用、矿山地质环境恢复治理工作。承担生态保护补偿相关工作。负责辖区内国土空间生态修复工作。</w:t>
      </w:r>
    </w:p>
    <w:p>
      <w:pPr>
        <w:pStyle w:val="22"/>
      </w:pPr>
      <w:r>
        <w:t>绩效指标：核查用地面积大于等于202.3762公顷，用地面积核查率大于等于95%，矿山图斑核查数量大于等于358处，信息填报率大于等于95%。</w:t>
      </w:r>
    </w:p>
    <w:p>
      <w:pPr>
        <w:pStyle w:val="22"/>
      </w:pPr>
      <w:r>
        <w:t>(九) 城市管理</w:t>
      </w:r>
    </w:p>
    <w:p>
      <w:pPr>
        <w:pStyle w:val="22"/>
      </w:pPr>
      <w:r>
        <w:t>绩效目标：负责组织编制辖区内总体城市设计，编制区域及重点地块的城市设计，负责编制地块修建性详细规划。负责辖区内城市建设用地规划管理，提出城市建设用地范围内建设项目选址意见，核发选址意见书(含市政)负责核定划拨地块的位置、面积、允许建设的范围，提出出让地块规划条件，核发建设用地规划许可证(含市政)负责审定建设工程设计方案，核办建设工程规划许可(含市政)临时建设工程规划许可。负责乡村规划许可。负责雕塑、绿化等城市景观、环境建设的规划管理工作。负责涉及外立面的房屋改造类项目(老旧小区改造)出具审核意见。负责建设工程的批后管理和规划核实工作(含市政)负责辖区内建设工程设计方案的批前公示、意见收集及批后公布协调组织区城乡规划委员会日常工作。</w:t>
      </w:r>
    </w:p>
    <w:p>
      <w:pPr>
        <w:pStyle w:val="22"/>
      </w:pPr>
      <w:r>
        <w:t>绩效指标：编制全区范围城市风貌管控规划编制，编制质量评定达到良。</w:t>
      </w:r>
    </w:p>
    <w:p>
      <w:pPr>
        <w:pStyle w:val="22"/>
      </w:pPr>
      <w:r>
        <w:t>(十) 村镇管理</w:t>
      </w:r>
    </w:p>
    <w:p>
      <w:pPr>
        <w:pStyle w:val="22"/>
      </w:pPr>
      <w:r>
        <w:t>绩效目标：负责“五级两规一导则”有关工作。负责城市规划建设用地外各建制镇、乡和村庄的规划编制和实施工作，核发选址意见书(含市政)负责核定划拨地块的位置、面积、允许建设范围，提出出让地块规划条件，核发建设用地规划许可证(含市政)审核工程设计方案，核发工程规划许可证及乡村规划许可证。负责全市乡村振兴战略工作中相应的规划工作负责组织镇乡村城乡规划管理工作人员的业务培训负责本科室工程项目的批后监管及核实工作。</w:t>
      </w:r>
    </w:p>
    <w:p>
      <w:pPr>
        <w:pStyle w:val="22"/>
      </w:pPr>
      <w:r>
        <w:t>绩效指标：规划编制数量87个（22个乡镇国土空间规划、村庄规划编制、2个片区规划及63个村庄建设方案），规划编制完成率大于等于95%。</w:t>
      </w:r>
    </w:p>
    <w:p>
      <w:pPr>
        <w:pStyle w:val="22"/>
      </w:pPr>
      <w:r>
        <w:t>（十一）档案数字化管理</w:t>
      </w:r>
    </w:p>
    <w:p>
      <w:pPr>
        <w:pStyle w:val="22"/>
      </w:pPr>
      <w:r>
        <w:t>绩效目标：不对档案原件造成二次损伤，档案扫描图像与析件一致、整洁、清晰。数字化扫描加工后完成二类数据备份制作，每类三套。</w:t>
      </w:r>
    </w:p>
    <w:p>
      <w:pPr>
        <w:pStyle w:val="22"/>
      </w:pPr>
      <w:r>
        <w:t>绩效指标：完成2万余册纸质档案进行扫描、录入。档案管理达到4A级标准</w:t>
      </w:r>
    </w:p>
    <w:p>
      <w:pPr>
        <w:spacing w:line="500" w:lineRule="exact"/>
        <w:ind w:firstLine="560"/>
      </w:pPr>
      <w:r>
        <w:rPr>
          <w:rFonts w:eastAsia="方正仿宋_GBK"/>
          <w:color w:val="000000"/>
          <w:sz w:val="28"/>
        </w:rPr>
        <w:t>（三）工作保障措施</w:t>
      </w:r>
    </w:p>
    <w:p>
      <w:pPr>
        <w:pStyle w:val="23"/>
      </w:pPr>
      <w:r>
        <w:t xml:space="preserve">我局落实中央、省、市关于统一行使全民所有自然资源资产所有者职责,统一行使所有国土空间用途管制和生态保护修复职责的要求,发挥国土空间规划的管控作用,为保护和合理开发利用自然资源提供科学指引。创新激励约束并举的制度措施,推进自然资源节约集约利用。充分发挥市场对资源配置的决定性作用,强化自然资源管理规则、标准、制度的约束性作用推进自然资源确权登记和评估的便民高效。 </w:t>
      </w:r>
    </w:p>
    <w:p>
      <w:pPr>
        <w:pStyle w:val="23"/>
      </w:pPr>
      <w:r>
        <w:t>（一）完善制度建设。提高党校教师工作的自觉性和主动性，按照年初岗位工作目标推进各项工作落实，最大限度地调动工作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3"/>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3"/>
      </w:pPr>
      <w:r>
        <w:t>（三）加强绩效运行监控。按要求开展绩效运行监控，发现问题及时采取措施，确保绩效目标如期保质实现。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（五）规范财务资产管理。完善财务管理制度，严格审批程序，加强固定资产登记、使用和报废处置管理，做到支出合理，物尽其用。</w:t>
      </w:r>
    </w:p>
    <w:p>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七）加强宣传培训调研等。切实加强人才队伍建设，创新管理使用机制，促进人才成长，激活现有人才存量，通过科学设置岗位，使各类人员在各自岗位上充分发挥专业特长；坚持每月一次的集体政治学习和每周一次的科室政治业务学习，在系统学习中国特色社会主义理论的同时，注重加强社会主义核心价值观和宗旨教育。建立科学的考评机制，激励人才成长和作用的发挥。</w:t>
      </w:r>
    </w:p>
    <w:p>
      <w:pPr>
        <w:ind w:firstLine="640"/>
      </w:pPr>
      <w:r>
        <w:rPr>
          <w:rFonts w:ascii="方正楷体_GBK" w:hAnsi="方正楷体_GBK" w:eastAsia="方正楷体_GBK" w:cs="方正楷体_GBK"/>
          <w:b/>
          <w:color w:val="000000"/>
          <w:sz w:val="32"/>
        </w:rPr>
        <w:t>第二部分  专项资金绩效目标</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1、互联网费绩效目标表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1.保障不动产登记工作顺利进行，提高矿山监管力度</w:t>
            </w:r>
          </w:p>
          <w:p>
            <w:pPr>
              <w:pStyle w:val="26"/>
            </w:pPr>
            <w:r>
              <w:t>2.“一窗受理”系统的接口维护：保证省厅统建的一窗受理系统与不动产登记系统实时准确交互数据，遇到数据交换问题现场及时处理，保障登记工作的高效性。</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网络视频维护个数</w:t>
            </w:r>
          </w:p>
        </w:tc>
        <w:tc>
          <w:tcPr>
            <w:tcW w:w="2835" w:type="dxa"/>
            <w:vAlign w:val="center"/>
          </w:tcPr>
          <w:p>
            <w:pPr>
              <w:pStyle w:val="26"/>
            </w:pPr>
            <w:r>
              <w:t>网络视频维护个数</w:t>
            </w:r>
          </w:p>
        </w:tc>
        <w:tc>
          <w:tcPr>
            <w:tcW w:w="2551" w:type="dxa"/>
            <w:vAlign w:val="center"/>
          </w:tcPr>
          <w:p>
            <w:pPr>
              <w:pStyle w:val="26"/>
            </w:pPr>
            <w:r>
              <w:t>≥32个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系统正常使用率</w:t>
            </w:r>
          </w:p>
        </w:tc>
        <w:tc>
          <w:tcPr>
            <w:tcW w:w="2835" w:type="dxa"/>
            <w:vAlign w:val="center"/>
          </w:tcPr>
          <w:p>
            <w:pPr>
              <w:pStyle w:val="26"/>
            </w:pPr>
            <w:r>
              <w:t>正常使用天数占需要使用天数的比例</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办结时间</w:t>
            </w:r>
          </w:p>
        </w:tc>
        <w:tc>
          <w:tcPr>
            <w:tcW w:w="2835" w:type="dxa"/>
            <w:vAlign w:val="center"/>
          </w:tcPr>
          <w:p>
            <w:pPr>
              <w:pStyle w:val="26"/>
            </w:pPr>
            <w:r>
              <w:t>需要维护时间</w:t>
            </w:r>
          </w:p>
        </w:tc>
        <w:tc>
          <w:tcPr>
            <w:tcW w:w="2551" w:type="dxa"/>
            <w:vAlign w:val="center"/>
          </w:tcPr>
          <w:p>
            <w:pPr>
              <w:pStyle w:val="26"/>
            </w:pPr>
            <w:r>
              <w:t>≤1小时</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网络视频系统维护平均成本</w:t>
            </w:r>
          </w:p>
        </w:tc>
        <w:tc>
          <w:tcPr>
            <w:tcW w:w="2835" w:type="dxa"/>
            <w:vAlign w:val="center"/>
          </w:tcPr>
          <w:p>
            <w:pPr>
              <w:pStyle w:val="26"/>
            </w:pPr>
            <w:r>
              <w:t>网络视频系统维护平均成本</w:t>
            </w:r>
          </w:p>
        </w:tc>
        <w:tc>
          <w:tcPr>
            <w:tcW w:w="2551" w:type="dxa"/>
            <w:vAlign w:val="center"/>
          </w:tcPr>
          <w:p>
            <w:pPr>
              <w:pStyle w:val="26"/>
            </w:pPr>
            <w:r>
              <w:t>≤0.5万元/个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提高工作质量</w:t>
            </w:r>
          </w:p>
        </w:tc>
        <w:tc>
          <w:tcPr>
            <w:tcW w:w="2835" w:type="dxa"/>
            <w:vAlign w:val="center"/>
          </w:tcPr>
          <w:p>
            <w:pPr>
              <w:pStyle w:val="26"/>
            </w:pPr>
            <w:r>
              <w:t>提高工作质量</w:t>
            </w:r>
          </w:p>
        </w:tc>
        <w:tc>
          <w:tcPr>
            <w:tcW w:w="2551" w:type="dxa"/>
            <w:vAlign w:val="center"/>
          </w:tcPr>
          <w:p>
            <w:pPr>
              <w:pStyle w:val="26"/>
            </w:pPr>
            <w:r>
              <w:t>良</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使用人对维护工作满意程度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1.建立完善土地变更调查数据库</w:t>
            </w:r>
          </w:p>
          <w:p>
            <w:pPr>
              <w:pStyle w:val="26"/>
            </w:pPr>
            <w:r>
              <w:t>2.为全区发展提供地类数据支持</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核查地类图斑面积</w:t>
            </w:r>
          </w:p>
        </w:tc>
        <w:tc>
          <w:tcPr>
            <w:tcW w:w="2835" w:type="dxa"/>
            <w:vAlign w:val="center"/>
          </w:tcPr>
          <w:p>
            <w:pPr>
              <w:pStyle w:val="26"/>
            </w:pPr>
            <w:r>
              <w:t>核查地类图斑面积</w:t>
            </w:r>
          </w:p>
        </w:tc>
        <w:tc>
          <w:tcPr>
            <w:tcW w:w="2551" w:type="dxa"/>
            <w:vAlign w:val="center"/>
          </w:tcPr>
          <w:p>
            <w:pPr>
              <w:pStyle w:val="26"/>
            </w:pPr>
            <w:r>
              <w:t>≥1000平方千米</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数据库正确率</w:t>
            </w:r>
          </w:p>
        </w:tc>
        <w:tc>
          <w:tcPr>
            <w:tcW w:w="2835" w:type="dxa"/>
            <w:vAlign w:val="center"/>
          </w:tcPr>
          <w:p>
            <w:pPr>
              <w:pStyle w:val="26"/>
            </w:pPr>
            <w:r>
              <w:t>数据库中每一个地类图斑认定正确，通过省及国家审核</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成果完成时间</w:t>
            </w:r>
          </w:p>
        </w:tc>
        <w:tc>
          <w:tcPr>
            <w:tcW w:w="2835" w:type="dxa"/>
            <w:vAlign w:val="center"/>
          </w:tcPr>
          <w:p>
            <w:pPr>
              <w:pStyle w:val="26"/>
            </w:pPr>
            <w:r>
              <w:t>数据成果按照省厅及国家要求时限完成</w:t>
            </w:r>
          </w:p>
        </w:tc>
        <w:tc>
          <w:tcPr>
            <w:tcW w:w="2551" w:type="dxa"/>
            <w:vAlign w:val="center"/>
          </w:tcPr>
          <w:p>
            <w:pPr>
              <w:pStyle w:val="26"/>
            </w:pPr>
            <w:r>
              <w:t>2022年年底</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土地利用变更调查单价</w:t>
            </w:r>
          </w:p>
        </w:tc>
        <w:tc>
          <w:tcPr>
            <w:tcW w:w="2835" w:type="dxa"/>
            <w:vAlign w:val="center"/>
          </w:tcPr>
          <w:p>
            <w:pPr>
              <w:pStyle w:val="26"/>
            </w:pPr>
            <w:r>
              <w:t>土地利用变更调查单价</w:t>
            </w:r>
          </w:p>
        </w:tc>
        <w:tc>
          <w:tcPr>
            <w:tcW w:w="2551" w:type="dxa"/>
            <w:vAlign w:val="center"/>
          </w:tcPr>
          <w:p>
            <w:pPr>
              <w:pStyle w:val="26"/>
            </w:pPr>
            <w:r>
              <w:t>≤0.1万元/平方千米</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全面了解丰润区土地利用现状</w:t>
            </w:r>
          </w:p>
        </w:tc>
        <w:tc>
          <w:tcPr>
            <w:tcW w:w="2835" w:type="dxa"/>
            <w:vAlign w:val="center"/>
          </w:tcPr>
          <w:p>
            <w:pPr>
              <w:pStyle w:val="26"/>
            </w:pPr>
            <w:r>
              <w:t>了解全区土地利用现状，为全区发展提供基础数据</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3、2020年度（自主实施）耕地占补平衡十至十三期勘测费绩效目标表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自行开垦数量</w:t>
            </w:r>
          </w:p>
        </w:tc>
        <w:tc>
          <w:tcPr>
            <w:tcW w:w="2835" w:type="dxa"/>
            <w:vAlign w:val="center"/>
          </w:tcPr>
          <w:p>
            <w:pPr>
              <w:pStyle w:val="26"/>
            </w:pPr>
            <w:r>
              <w:t>自行开垦数量</w:t>
            </w:r>
          </w:p>
        </w:tc>
        <w:tc>
          <w:tcPr>
            <w:tcW w:w="2551" w:type="dxa"/>
            <w:vAlign w:val="center"/>
          </w:tcPr>
          <w:p>
            <w:pPr>
              <w:pStyle w:val="26"/>
            </w:pPr>
            <w:r>
              <w:t>≥11个</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自行开垦完成率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自行开垦平均期数成本</w:t>
            </w:r>
          </w:p>
        </w:tc>
        <w:tc>
          <w:tcPr>
            <w:tcW w:w="2835" w:type="dxa"/>
            <w:vAlign w:val="center"/>
          </w:tcPr>
          <w:p>
            <w:pPr>
              <w:pStyle w:val="26"/>
            </w:pPr>
            <w:r>
              <w:t>自行开垦平均期数成本</w:t>
            </w:r>
          </w:p>
        </w:tc>
        <w:tc>
          <w:tcPr>
            <w:tcW w:w="2551" w:type="dxa"/>
            <w:vAlign w:val="center"/>
          </w:tcPr>
          <w:p>
            <w:pPr>
              <w:pStyle w:val="26"/>
            </w:pPr>
            <w:r>
              <w:t>≤27万元/期</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项目持续发挥作用期限</w:t>
            </w:r>
          </w:p>
        </w:tc>
        <w:tc>
          <w:tcPr>
            <w:tcW w:w="2835" w:type="dxa"/>
            <w:vAlign w:val="center"/>
          </w:tcPr>
          <w:p>
            <w:pPr>
              <w:pStyle w:val="26"/>
            </w:pPr>
            <w:r>
              <w:t>项目持续发挥作用期限</w:t>
            </w:r>
          </w:p>
        </w:tc>
        <w:tc>
          <w:tcPr>
            <w:tcW w:w="2551" w:type="dxa"/>
            <w:vAlign w:val="center"/>
          </w:tcPr>
          <w:p>
            <w:pPr>
              <w:pStyle w:val="26"/>
            </w:pPr>
            <w:r>
              <w:t>≥3年</w:t>
            </w:r>
          </w:p>
        </w:tc>
        <w:tc>
          <w:tcPr>
            <w:tcW w:w="2268" w:type="dxa"/>
            <w:vAlign w:val="center"/>
          </w:tcPr>
          <w:p>
            <w:pPr>
              <w:pStyle w:val="2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4、2020年度农业农村部门已验收高标准农田项目粮食产能核定工作绩效目标表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1.搜集已验收高标准农田项目立项、验收相关资料，形成核查意见</w:t>
            </w:r>
          </w:p>
          <w:p>
            <w:pPr>
              <w:pStyle w:val="26"/>
            </w:pPr>
            <w:r>
              <w:t>2.组织有资质的技术单位严格测绘新增和提质改造耕地地块面积，评定耕地质量等别</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核查用地面积</w:t>
            </w:r>
          </w:p>
        </w:tc>
        <w:tc>
          <w:tcPr>
            <w:tcW w:w="2835" w:type="dxa"/>
            <w:vAlign w:val="center"/>
          </w:tcPr>
          <w:p>
            <w:pPr>
              <w:pStyle w:val="26"/>
            </w:pPr>
            <w:r>
              <w:t>核查用地面积</w:t>
            </w:r>
          </w:p>
        </w:tc>
        <w:tc>
          <w:tcPr>
            <w:tcW w:w="2551" w:type="dxa"/>
            <w:vAlign w:val="center"/>
          </w:tcPr>
          <w:p>
            <w:pPr>
              <w:pStyle w:val="26"/>
            </w:pPr>
            <w:r>
              <w:t>≥202.37公顷</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用地面积核查率</w:t>
            </w:r>
          </w:p>
        </w:tc>
        <w:tc>
          <w:tcPr>
            <w:tcW w:w="2835" w:type="dxa"/>
            <w:vAlign w:val="center"/>
          </w:tcPr>
          <w:p>
            <w:pPr>
              <w:pStyle w:val="26"/>
            </w:pPr>
            <w:r>
              <w:t>用地面积核查率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核查完成时间</w:t>
            </w:r>
          </w:p>
        </w:tc>
        <w:tc>
          <w:tcPr>
            <w:tcW w:w="2835" w:type="dxa"/>
            <w:vAlign w:val="center"/>
          </w:tcPr>
          <w:p>
            <w:pPr>
              <w:pStyle w:val="26"/>
            </w:pPr>
            <w:r>
              <w:t>核查完成时间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核定单价</w:t>
            </w:r>
          </w:p>
        </w:tc>
        <w:tc>
          <w:tcPr>
            <w:tcW w:w="2835" w:type="dxa"/>
            <w:vAlign w:val="center"/>
          </w:tcPr>
          <w:p>
            <w:pPr>
              <w:pStyle w:val="26"/>
            </w:pPr>
            <w:r>
              <w:t>核定单价</w:t>
            </w:r>
          </w:p>
        </w:tc>
        <w:tc>
          <w:tcPr>
            <w:tcW w:w="2551" w:type="dxa"/>
            <w:vAlign w:val="center"/>
          </w:tcPr>
          <w:p>
            <w:pPr>
              <w:pStyle w:val="26"/>
            </w:pPr>
            <w:r>
              <w:t>≤0.13万元/公顷</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5、34家矿山开采现状勘测绩效目标表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1.对全区28家持证矿山和6家盗采易发区开采现状进行勘测</w:t>
            </w:r>
          </w:p>
          <w:p>
            <w:pPr>
              <w:pStyle w:val="26"/>
            </w:pPr>
            <w:r>
              <w:t>2.测量结果作为今后矿山执法监管的基础数据使用。</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矿山开采现状勘测数量</w:t>
            </w:r>
          </w:p>
        </w:tc>
        <w:tc>
          <w:tcPr>
            <w:tcW w:w="2835" w:type="dxa"/>
            <w:vAlign w:val="center"/>
          </w:tcPr>
          <w:p>
            <w:pPr>
              <w:pStyle w:val="26"/>
            </w:pPr>
            <w:r>
              <w:t>矿山开采现状勘测数量</w:t>
            </w:r>
          </w:p>
        </w:tc>
        <w:tc>
          <w:tcPr>
            <w:tcW w:w="2551" w:type="dxa"/>
            <w:vAlign w:val="center"/>
          </w:tcPr>
          <w:p>
            <w:pPr>
              <w:pStyle w:val="26"/>
            </w:pPr>
            <w:r>
              <w:t>≥34家</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勘测完成率</w:t>
            </w:r>
          </w:p>
        </w:tc>
        <w:tc>
          <w:tcPr>
            <w:tcW w:w="2835" w:type="dxa"/>
            <w:vAlign w:val="center"/>
          </w:tcPr>
          <w:p>
            <w:pPr>
              <w:pStyle w:val="26"/>
            </w:pPr>
            <w:r>
              <w:t>勘测完成率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合同签订后10日内</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矿山勘测单价</w:t>
            </w:r>
          </w:p>
        </w:tc>
        <w:tc>
          <w:tcPr>
            <w:tcW w:w="2835" w:type="dxa"/>
            <w:vAlign w:val="center"/>
          </w:tcPr>
          <w:p>
            <w:pPr>
              <w:pStyle w:val="26"/>
            </w:pPr>
            <w:r>
              <w:t>矿山勘测单价</w:t>
            </w:r>
          </w:p>
        </w:tc>
        <w:tc>
          <w:tcPr>
            <w:tcW w:w="2551" w:type="dxa"/>
            <w:vAlign w:val="center"/>
          </w:tcPr>
          <w:p>
            <w:pPr>
              <w:pStyle w:val="26"/>
            </w:pPr>
            <w:r>
              <w:t>≤2万元/家</w:t>
            </w:r>
          </w:p>
        </w:tc>
        <w:tc>
          <w:tcPr>
            <w:tcW w:w="2268" w:type="dxa"/>
            <w:vAlign w:val="center"/>
          </w:tcPr>
          <w:p>
            <w:pPr>
              <w:pStyle w:val="2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测量结果作为矿山执法监管基础数据使用率</w:t>
            </w:r>
          </w:p>
        </w:tc>
        <w:tc>
          <w:tcPr>
            <w:tcW w:w="2835" w:type="dxa"/>
            <w:vAlign w:val="center"/>
          </w:tcPr>
          <w:p>
            <w:pPr>
              <w:pStyle w:val="26"/>
            </w:pPr>
            <w:r>
              <w:t>测量结果作为矿山执法监管基础数据使用率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6、城市风貌管控规划编制费用绩效目标表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1.完成规划编制工作，上报成果</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城市风貌管控规划编制数量</w:t>
            </w:r>
          </w:p>
        </w:tc>
        <w:tc>
          <w:tcPr>
            <w:tcW w:w="2835" w:type="dxa"/>
            <w:vAlign w:val="center"/>
          </w:tcPr>
          <w:p>
            <w:pPr>
              <w:pStyle w:val="26"/>
            </w:pPr>
            <w:r>
              <w:t>城市风貌管控规划编制数量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城市风貌管控规划编制质量评定</w:t>
            </w:r>
          </w:p>
        </w:tc>
        <w:tc>
          <w:tcPr>
            <w:tcW w:w="2835" w:type="dxa"/>
            <w:vAlign w:val="center"/>
          </w:tcPr>
          <w:p>
            <w:pPr>
              <w:pStyle w:val="26"/>
            </w:pPr>
            <w:r>
              <w:t>城市风貌管控规划编制质量评定</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签订合同后提交成果时间</w:t>
            </w:r>
          </w:p>
        </w:tc>
        <w:tc>
          <w:tcPr>
            <w:tcW w:w="2835" w:type="dxa"/>
            <w:vAlign w:val="center"/>
          </w:tcPr>
          <w:p>
            <w:pPr>
              <w:pStyle w:val="26"/>
            </w:pPr>
            <w:r>
              <w:t>签订合同后提交成果时间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≤69.6万元/个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构建风貌要素控制体系</w:t>
            </w:r>
          </w:p>
        </w:tc>
        <w:tc>
          <w:tcPr>
            <w:tcW w:w="2835" w:type="dxa"/>
            <w:vAlign w:val="center"/>
          </w:tcPr>
          <w:p>
            <w:pPr>
              <w:pStyle w:val="26"/>
            </w:pPr>
            <w:r>
              <w:t>构建风貌要素控制体系，便于风貌规划实施管理</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7、对农业农村部门已验收高标准农田项目（第二批）新增耕耕地及粮食产能核定工作绩效目标表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1.搜集已验收高标准农田项目立项、验收相关资料，形成核查意见</w:t>
            </w:r>
          </w:p>
          <w:p>
            <w:pPr>
              <w:pStyle w:val="26"/>
            </w:pPr>
            <w:r>
              <w:t>2.组织有资质的技术单位严格测绘新增和提质改造耕地地块面积，评定耕地质量等别</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新增耕地面积</w:t>
            </w:r>
          </w:p>
        </w:tc>
        <w:tc>
          <w:tcPr>
            <w:tcW w:w="2835" w:type="dxa"/>
            <w:vAlign w:val="center"/>
          </w:tcPr>
          <w:p>
            <w:pPr>
              <w:pStyle w:val="26"/>
            </w:pPr>
            <w:r>
              <w:t>新增耕地面积</w:t>
            </w:r>
          </w:p>
        </w:tc>
        <w:tc>
          <w:tcPr>
            <w:tcW w:w="2551" w:type="dxa"/>
            <w:vAlign w:val="center"/>
          </w:tcPr>
          <w:p>
            <w:pPr>
              <w:pStyle w:val="26"/>
            </w:pPr>
            <w:r>
              <w:t>≥30亩</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新增耕地产能</w:t>
            </w:r>
          </w:p>
        </w:tc>
        <w:tc>
          <w:tcPr>
            <w:tcW w:w="2835" w:type="dxa"/>
            <w:vAlign w:val="center"/>
          </w:tcPr>
          <w:p>
            <w:pPr>
              <w:pStyle w:val="26"/>
            </w:pPr>
            <w:r>
              <w:t>新增耕地产能</w:t>
            </w:r>
          </w:p>
        </w:tc>
        <w:tc>
          <w:tcPr>
            <w:tcW w:w="2551" w:type="dxa"/>
            <w:vAlign w:val="center"/>
          </w:tcPr>
          <w:p>
            <w:pPr>
              <w:pStyle w:val="26"/>
            </w:pPr>
            <w:r>
              <w:t>≥100万公斤</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核定完成时间</w:t>
            </w:r>
          </w:p>
        </w:tc>
        <w:tc>
          <w:tcPr>
            <w:tcW w:w="2835" w:type="dxa"/>
            <w:vAlign w:val="center"/>
          </w:tcPr>
          <w:p>
            <w:pPr>
              <w:pStyle w:val="26"/>
            </w:pPr>
            <w:r>
              <w:t>核定完成时间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核查平均成本</w:t>
            </w:r>
          </w:p>
        </w:tc>
        <w:tc>
          <w:tcPr>
            <w:tcW w:w="2835" w:type="dxa"/>
            <w:vAlign w:val="center"/>
          </w:tcPr>
          <w:p>
            <w:pPr>
              <w:pStyle w:val="26"/>
            </w:pPr>
            <w:r>
              <w:t>核查平均成本</w:t>
            </w:r>
          </w:p>
        </w:tc>
        <w:tc>
          <w:tcPr>
            <w:tcW w:w="2551" w:type="dxa"/>
            <w:vAlign w:val="center"/>
          </w:tcPr>
          <w:p>
            <w:pPr>
              <w:pStyle w:val="26"/>
            </w:pPr>
            <w:r>
              <w:t>≤20万元/亩</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8、丰润区曹雪芹东道以南、林荫路以东、纺织路以西、京秦铁路以北区域控制性详细规划编制费绩效目标表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2.完成规划成果验收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规划编制个数</w:t>
            </w:r>
          </w:p>
        </w:tc>
        <w:tc>
          <w:tcPr>
            <w:tcW w:w="2835" w:type="dxa"/>
            <w:vAlign w:val="center"/>
          </w:tcPr>
          <w:p>
            <w:pPr>
              <w:pStyle w:val="26"/>
            </w:pPr>
            <w:r>
              <w:t>规划编制个数</w:t>
            </w:r>
          </w:p>
        </w:tc>
        <w:tc>
          <w:tcPr>
            <w:tcW w:w="2551" w:type="dxa"/>
            <w:vAlign w:val="center"/>
          </w:tcPr>
          <w:p>
            <w:pPr>
              <w:pStyle w:val="26"/>
            </w:pPr>
            <w:r>
              <w:t>≥1个</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规划编制完成率</w:t>
            </w:r>
          </w:p>
        </w:tc>
        <w:tc>
          <w:tcPr>
            <w:tcW w:w="2835" w:type="dxa"/>
            <w:vAlign w:val="center"/>
          </w:tcPr>
          <w:p>
            <w:pPr>
              <w:pStyle w:val="26"/>
            </w:pPr>
            <w:r>
              <w:t>规划编制完成率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编制完成时间</w:t>
            </w:r>
          </w:p>
        </w:tc>
        <w:tc>
          <w:tcPr>
            <w:tcW w:w="2835" w:type="dxa"/>
            <w:vAlign w:val="center"/>
          </w:tcPr>
          <w:p>
            <w:pPr>
              <w:pStyle w:val="26"/>
            </w:pPr>
            <w:r>
              <w:t>编制完成时间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≤18万元/个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9、丰润区城镇标定地价、集体建设用地基准地价、农用地基准地价制订绩效目标表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1.出具丰润区城镇标定地价、集体建设用地基准地价、农用地基准地价制订成果，通过省自然资源厅验收合格</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城镇标定地价、集体建设用地基准地价、农用地基准地价制订</w:t>
            </w:r>
          </w:p>
        </w:tc>
        <w:tc>
          <w:tcPr>
            <w:tcW w:w="2835" w:type="dxa"/>
            <w:vAlign w:val="center"/>
          </w:tcPr>
          <w:p>
            <w:pPr>
              <w:pStyle w:val="26"/>
            </w:pPr>
            <w:r>
              <w:t>城镇标定地价、集体建设用地基准地价、农用地基准地价制订</w:t>
            </w:r>
          </w:p>
        </w:tc>
        <w:tc>
          <w:tcPr>
            <w:tcW w:w="2551" w:type="dxa"/>
            <w:vAlign w:val="center"/>
          </w:tcPr>
          <w:p>
            <w:pPr>
              <w:pStyle w:val="26"/>
            </w:pPr>
            <w:r>
              <w:t>≥3个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基准地价更新频率</w:t>
            </w:r>
          </w:p>
        </w:tc>
        <w:tc>
          <w:tcPr>
            <w:tcW w:w="2835" w:type="dxa"/>
            <w:vAlign w:val="center"/>
          </w:tcPr>
          <w:p>
            <w:pPr>
              <w:pStyle w:val="26"/>
            </w:pPr>
            <w:r>
              <w:t>基准地价更新频率</w:t>
            </w:r>
          </w:p>
        </w:tc>
        <w:tc>
          <w:tcPr>
            <w:tcW w:w="2551" w:type="dxa"/>
            <w:vAlign w:val="center"/>
          </w:tcPr>
          <w:p>
            <w:pPr>
              <w:pStyle w:val="26"/>
            </w:pPr>
            <w:r>
              <w:t>每3年更新一次</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集体建设用地基准地价成本</w:t>
            </w:r>
          </w:p>
        </w:tc>
        <w:tc>
          <w:tcPr>
            <w:tcW w:w="2835" w:type="dxa"/>
            <w:vAlign w:val="center"/>
          </w:tcPr>
          <w:p>
            <w:pPr>
              <w:pStyle w:val="26"/>
            </w:pPr>
            <w:r>
              <w:t>集体建设用地基准地价成本</w:t>
            </w:r>
          </w:p>
        </w:tc>
        <w:tc>
          <w:tcPr>
            <w:tcW w:w="2551" w:type="dxa"/>
            <w:vAlign w:val="center"/>
          </w:tcPr>
          <w:p>
            <w:pPr>
              <w:pStyle w:val="26"/>
            </w:pPr>
            <w:r>
              <w:t>≤35万元/亩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优化城乡建设用地布局优良率</w:t>
            </w:r>
          </w:p>
        </w:tc>
        <w:tc>
          <w:tcPr>
            <w:tcW w:w="2835" w:type="dxa"/>
            <w:vAlign w:val="center"/>
          </w:tcPr>
          <w:p>
            <w:pPr>
              <w:pStyle w:val="26"/>
            </w:pPr>
            <w:r>
              <w:t>增加有效耕地面积，优化城乡建设用地布局</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缓解土地资源短缺期限</w:t>
            </w:r>
          </w:p>
        </w:tc>
        <w:tc>
          <w:tcPr>
            <w:tcW w:w="2835" w:type="dxa"/>
            <w:vAlign w:val="center"/>
          </w:tcPr>
          <w:p>
            <w:pPr>
              <w:pStyle w:val="26"/>
            </w:pPr>
            <w:r>
              <w:t>缓解土地资源短缺期限</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10、丰润区村庄布局专项规划绩效目标表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村庄布局专项规划类别</w:t>
            </w:r>
          </w:p>
        </w:tc>
        <w:tc>
          <w:tcPr>
            <w:tcW w:w="2835" w:type="dxa"/>
            <w:vAlign w:val="center"/>
          </w:tcPr>
          <w:p>
            <w:pPr>
              <w:pStyle w:val="26"/>
            </w:pPr>
            <w:r>
              <w:t>村庄布局专项规划类别</w:t>
            </w:r>
          </w:p>
        </w:tc>
        <w:tc>
          <w:tcPr>
            <w:tcW w:w="2551" w:type="dxa"/>
            <w:vAlign w:val="center"/>
          </w:tcPr>
          <w:p>
            <w:pPr>
              <w:pStyle w:val="26"/>
            </w:pPr>
            <w:r>
              <w:t>≥5类</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村庄规划质量评定</w:t>
            </w:r>
          </w:p>
        </w:tc>
        <w:tc>
          <w:tcPr>
            <w:tcW w:w="2835" w:type="dxa"/>
            <w:vAlign w:val="center"/>
          </w:tcPr>
          <w:p>
            <w:pPr>
              <w:pStyle w:val="26"/>
            </w:pPr>
            <w:r>
              <w:t>村庄规划质量评定</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村庄布局规划编制单价</w:t>
            </w:r>
          </w:p>
        </w:tc>
        <w:tc>
          <w:tcPr>
            <w:tcW w:w="2835" w:type="dxa"/>
            <w:vAlign w:val="center"/>
          </w:tcPr>
          <w:p>
            <w:pPr>
              <w:pStyle w:val="26"/>
            </w:pPr>
            <w:r>
              <w:t>村庄布局规划编制单价</w:t>
            </w:r>
          </w:p>
        </w:tc>
        <w:tc>
          <w:tcPr>
            <w:tcW w:w="2551" w:type="dxa"/>
            <w:vAlign w:val="center"/>
          </w:tcPr>
          <w:p>
            <w:pPr>
              <w:pStyle w:val="26"/>
            </w:pPr>
            <w:r>
              <w:t>≤4万元/类</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对接上位规划，合理确定全区村庄发展类型</w:t>
            </w:r>
          </w:p>
        </w:tc>
        <w:tc>
          <w:tcPr>
            <w:tcW w:w="2835" w:type="dxa"/>
            <w:vAlign w:val="center"/>
          </w:tcPr>
          <w:p>
            <w:pPr>
              <w:pStyle w:val="26"/>
            </w:pPr>
            <w:r>
              <w:t>对接上位规划，合理确定全区村庄发展类型</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挖掘村庄产业发展动力，提出村庄产业发展策略</w:t>
            </w:r>
          </w:p>
        </w:tc>
        <w:tc>
          <w:tcPr>
            <w:tcW w:w="2835" w:type="dxa"/>
            <w:vAlign w:val="center"/>
          </w:tcPr>
          <w:p>
            <w:pPr>
              <w:pStyle w:val="26"/>
            </w:pPr>
            <w:r>
              <w:t>挖掘村庄产业发展动力，提出村庄产业发展策略</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保护生态环境、保障耕地用地、建设安居宜居生活环境</w:t>
            </w:r>
          </w:p>
        </w:tc>
        <w:tc>
          <w:tcPr>
            <w:tcW w:w="2835" w:type="dxa"/>
            <w:vAlign w:val="center"/>
          </w:tcPr>
          <w:p>
            <w:pPr>
              <w:pStyle w:val="26"/>
            </w:pPr>
            <w:r>
              <w:t>保护生态环境、保障耕地用地、建设安居宜居生活环境</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明确建设时序和近期建设重点</w:t>
            </w:r>
          </w:p>
        </w:tc>
        <w:tc>
          <w:tcPr>
            <w:tcW w:w="2835" w:type="dxa"/>
            <w:vAlign w:val="center"/>
          </w:tcPr>
          <w:p>
            <w:pPr>
              <w:pStyle w:val="26"/>
            </w:pPr>
            <w:r>
              <w:t>明确建设时序和近期建设重点</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11、丰润区国土空间分区规划（2020-2035年）绩效目标表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国土空间分区规划编制数量</w:t>
            </w:r>
          </w:p>
        </w:tc>
        <w:tc>
          <w:tcPr>
            <w:tcW w:w="2835" w:type="dxa"/>
            <w:vAlign w:val="center"/>
          </w:tcPr>
          <w:p>
            <w:pPr>
              <w:pStyle w:val="26"/>
            </w:pPr>
            <w:r>
              <w:t>国土空间分区规划编制数量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土地利用率</w:t>
            </w:r>
          </w:p>
        </w:tc>
        <w:tc>
          <w:tcPr>
            <w:tcW w:w="2835" w:type="dxa"/>
            <w:vAlign w:val="center"/>
          </w:tcPr>
          <w:p>
            <w:pPr>
              <w:pStyle w:val="26"/>
            </w:pPr>
            <w:r>
              <w:t>区规划土地占整体比例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规划编制费用</w:t>
            </w:r>
          </w:p>
        </w:tc>
        <w:tc>
          <w:tcPr>
            <w:tcW w:w="2835" w:type="dxa"/>
            <w:vAlign w:val="center"/>
          </w:tcPr>
          <w:p>
            <w:pPr>
              <w:pStyle w:val="26"/>
            </w:pPr>
            <w:r>
              <w:t>规划编制费用</w:t>
            </w:r>
          </w:p>
        </w:tc>
        <w:tc>
          <w:tcPr>
            <w:tcW w:w="2551" w:type="dxa"/>
            <w:vAlign w:val="center"/>
          </w:tcPr>
          <w:p>
            <w:pPr>
              <w:pStyle w:val="26"/>
            </w:pPr>
            <w:r>
              <w:t>≤358.35万元/个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项目持续发挥作用期限</w:t>
            </w:r>
          </w:p>
        </w:tc>
        <w:tc>
          <w:tcPr>
            <w:tcW w:w="2835" w:type="dxa"/>
            <w:vAlign w:val="center"/>
          </w:tcPr>
          <w:p>
            <w:pPr>
              <w:pStyle w:val="26"/>
            </w:pPr>
            <w:r>
              <w:t>项目持续发挥作用期限</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12、丰润区火石营镇火东村土地整治（占补平衡）绩效目标表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新增耕地亩数</w:t>
            </w:r>
          </w:p>
        </w:tc>
        <w:tc>
          <w:tcPr>
            <w:tcW w:w="2835" w:type="dxa"/>
            <w:vAlign w:val="center"/>
          </w:tcPr>
          <w:p>
            <w:pPr>
              <w:pStyle w:val="26"/>
            </w:pPr>
            <w:r>
              <w:t>新增耕地亩数</w:t>
            </w:r>
          </w:p>
        </w:tc>
        <w:tc>
          <w:tcPr>
            <w:tcW w:w="2551" w:type="dxa"/>
            <w:vAlign w:val="center"/>
          </w:tcPr>
          <w:p>
            <w:pPr>
              <w:pStyle w:val="26"/>
            </w:pPr>
            <w:r>
              <w:t>≥261.1亩</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指标回购完成率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土地整治平均成本</w:t>
            </w:r>
          </w:p>
        </w:tc>
        <w:tc>
          <w:tcPr>
            <w:tcW w:w="2835" w:type="dxa"/>
            <w:vAlign w:val="center"/>
          </w:tcPr>
          <w:p>
            <w:pPr>
              <w:pStyle w:val="26"/>
            </w:pPr>
            <w:r>
              <w:t>土地整治平均成本</w:t>
            </w:r>
          </w:p>
        </w:tc>
        <w:tc>
          <w:tcPr>
            <w:tcW w:w="2551" w:type="dxa"/>
            <w:vAlign w:val="center"/>
          </w:tcPr>
          <w:p>
            <w:pPr>
              <w:pStyle w:val="26"/>
            </w:pPr>
            <w:r>
              <w:t>≤3万元/亩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粮食产量较同期增长率</w:t>
            </w:r>
          </w:p>
        </w:tc>
        <w:tc>
          <w:tcPr>
            <w:tcW w:w="2835" w:type="dxa"/>
            <w:vAlign w:val="center"/>
          </w:tcPr>
          <w:p>
            <w:pPr>
              <w:pStyle w:val="26"/>
            </w:pPr>
            <w:r>
              <w:t>粮食产量较同期增长率</w:t>
            </w:r>
          </w:p>
        </w:tc>
        <w:tc>
          <w:tcPr>
            <w:tcW w:w="2551" w:type="dxa"/>
            <w:vAlign w:val="center"/>
          </w:tcPr>
          <w:p>
            <w:pPr>
              <w:pStyle w:val="26"/>
            </w:pPr>
            <w:r>
              <w:t>≥3.2%</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13、丰润区火石营镇火西村三期土地整治（占补平衡）绩效目标表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新增耕地亩数</w:t>
            </w:r>
          </w:p>
        </w:tc>
        <w:tc>
          <w:tcPr>
            <w:tcW w:w="2835" w:type="dxa"/>
            <w:vAlign w:val="center"/>
          </w:tcPr>
          <w:p>
            <w:pPr>
              <w:pStyle w:val="26"/>
            </w:pPr>
            <w:r>
              <w:t>新增耕地亩数</w:t>
            </w:r>
          </w:p>
        </w:tc>
        <w:tc>
          <w:tcPr>
            <w:tcW w:w="2551" w:type="dxa"/>
            <w:vAlign w:val="center"/>
          </w:tcPr>
          <w:p>
            <w:pPr>
              <w:pStyle w:val="26"/>
            </w:pPr>
            <w:r>
              <w:t>≥190.35亩</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指标回购完成率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土地整治平均成本</w:t>
            </w:r>
          </w:p>
        </w:tc>
        <w:tc>
          <w:tcPr>
            <w:tcW w:w="2835" w:type="dxa"/>
            <w:vAlign w:val="center"/>
          </w:tcPr>
          <w:p>
            <w:pPr>
              <w:pStyle w:val="26"/>
            </w:pPr>
            <w:r>
              <w:t>土地整治平均成本</w:t>
            </w:r>
          </w:p>
        </w:tc>
        <w:tc>
          <w:tcPr>
            <w:tcW w:w="2551" w:type="dxa"/>
            <w:vAlign w:val="center"/>
          </w:tcPr>
          <w:p>
            <w:pPr>
              <w:pStyle w:val="26"/>
            </w:pPr>
            <w:r>
              <w:t>≤3万元/亩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粮食产量较同期增长率</w:t>
            </w:r>
          </w:p>
        </w:tc>
        <w:tc>
          <w:tcPr>
            <w:tcW w:w="2835" w:type="dxa"/>
            <w:vAlign w:val="center"/>
          </w:tcPr>
          <w:p>
            <w:pPr>
              <w:pStyle w:val="26"/>
            </w:pPr>
            <w:r>
              <w:t>粮食产量较同期增长率</w:t>
            </w:r>
          </w:p>
        </w:tc>
        <w:tc>
          <w:tcPr>
            <w:tcW w:w="2551" w:type="dxa"/>
            <w:vAlign w:val="center"/>
          </w:tcPr>
          <w:p>
            <w:pPr>
              <w:pStyle w:val="26"/>
            </w:pPr>
            <w:r>
              <w:t>≥3.2%</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14、丰润区矿产资源总体规划（2021-2035年）绩效目标表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1.完成我区矿产资源总体规划编制工作，达到报审条件</w:t>
            </w:r>
          </w:p>
          <w:p>
            <w:pPr>
              <w:pStyle w:val="26"/>
            </w:pPr>
            <w:r>
              <w:t>2.完成规划成果验收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规划编制数量</w:t>
            </w:r>
          </w:p>
        </w:tc>
        <w:tc>
          <w:tcPr>
            <w:tcW w:w="2835" w:type="dxa"/>
            <w:vAlign w:val="center"/>
          </w:tcPr>
          <w:p>
            <w:pPr>
              <w:pStyle w:val="26"/>
            </w:pPr>
            <w:r>
              <w:t>丰润区矿产资源总体规划编制数量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绿色矿山建设优良率</w:t>
            </w:r>
          </w:p>
        </w:tc>
        <w:tc>
          <w:tcPr>
            <w:tcW w:w="2835" w:type="dxa"/>
            <w:vAlign w:val="center"/>
          </w:tcPr>
          <w:p>
            <w:pPr>
              <w:pStyle w:val="26"/>
            </w:pPr>
            <w:r>
              <w:t>提高资源安全保障能力，推动矿业绿色发展</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规划成果验收时间</w:t>
            </w:r>
          </w:p>
        </w:tc>
        <w:tc>
          <w:tcPr>
            <w:tcW w:w="2835" w:type="dxa"/>
            <w:vAlign w:val="center"/>
          </w:tcPr>
          <w:p>
            <w:pPr>
              <w:pStyle w:val="26"/>
            </w:pPr>
            <w:r>
              <w:t>规划成果验收时间</w:t>
            </w:r>
          </w:p>
        </w:tc>
        <w:tc>
          <w:tcPr>
            <w:tcW w:w="2551" w:type="dxa"/>
            <w:vAlign w:val="center"/>
          </w:tcPr>
          <w:p>
            <w:pPr>
              <w:pStyle w:val="26"/>
            </w:pPr>
            <w:r>
              <w:t>2022年中</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矿产资源总体规划编制费用</w:t>
            </w:r>
          </w:p>
        </w:tc>
        <w:tc>
          <w:tcPr>
            <w:tcW w:w="2835" w:type="dxa"/>
            <w:vAlign w:val="center"/>
          </w:tcPr>
          <w:p>
            <w:pPr>
              <w:pStyle w:val="26"/>
            </w:pPr>
            <w:r>
              <w:t>矿产资源总体规划编制费用</w:t>
            </w:r>
          </w:p>
        </w:tc>
        <w:tc>
          <w:tcPr>
            <w:tcW w:w="2551" w:type="dxa"/>
            <w:vAlign w:val="center"/>
          </w:tcPr>
          <w:p>
            <w:pPr>
              <w:pStyle w:val="26"/>
            </w:pPr>
            <w:r>
              <w:t>≤40.1万元/个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绿色矿山建设及矿区生态平衡指标</w:t>
            </w:r>
          </w:p>
        </w:tc>
        <w:tc>
          <w:tcPr>
            <w:tcW w:w="2835" w:type="dxa"/>
            <w:vAlign w:val="center"/>
          </w:tcPr>
          <w:p>
            <w:pPr>
              <w:pStyle w:val="26"/>
            </w:pPr>
            <w:r>
              <w:t>合理规划，节约、高效的利用资源</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15、丰润区设施农用地上图入库工作绩效目标表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1.全面掌握并及时更新数据，通过技术手段在自然资源部开发的“设施农业用地监管系统”中逐图斑地块录入信息，同时纳入自然资源“一张图”监管。</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现有存量设施农用地数量</w:t>
            </w:r>
          </w:p>
        </w:tc>
        <w:tc>
          <w:tcPr>
            <w:tcW w:w="2835" w:type="dxa"/>
            <w:vAlign w:val="center"/>
          </w:tcPr>
          <w:p>
            <w:pPr>
              <w:pStyle w:val="26"/>
            </w:pPr>
            <w:r>
              <w:t>现有存量设施农用地数量</w:t>
            </w:r>
          </w:p>
        </w:tc>
        <w:tc>
          <w:tcPr>
            <w:tcW w:w="2551" w:type="dxa"/>
            <w:vAlign w:val="center"/>
          </w:tcPr>
          <w:p>
            <w:pPr>
              <w:pStyle w:val="26"/>
            </w:pPr>
            <w:r>
              <w:t>≥4134宗</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信息录入率</w:t>
            </w:r>
          </w:p>
        </w:tc>
        <w:tc>
          <w:tcPr>
            <w:tcW w:w="2835" w:type="dxa"/>
            <w:vAlign w:val="center"/>
          </w:tcPr>
          <w:p>
            <w:pPr>
              <w:pStyle w:val="26"/>
            </w:pPr>
            <w:r>
              <w:t>信息录入率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设施农用地上图入库平均成本</w:t>
            </w:r>
          </w:p>
        </w:tc>
        <w:tc>
          <w:tcPr>
            <w:tcW w:w="2835" w:type="dxa"/>
            <w:vAlign w:val="center"/>
          </w:tcPr>
          <w:p>
            <w:pPr>
              <w:pStyle w:val="26"/>
            </w:pPr>
            <w:r>
              <w:t>设施农用地上图入库平均成本</w:t>
            </w:r>
          </w:p>
        </w:tc>
        <w:tc>
          <w:tcPr>
            <w:tcW w:w="2551" w:type="dxa"/>
            <w:vAlign w:val="center"/>
          </w:tcPr>
          <w:p>
            <w:pPr>
              <w:pStyle w:val="26"/>
            </w:pPr>
            <w:r>
              <w:t>≤0.05万元/宗</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农业生态系统健康和谐发展</w:t>
            </w:r>
          </w:p>
        </w:tc>
        <w:tc>
          <w:tcPr>
            <w:tcW w:w="2835" w:type="dxa"/>
            <w:vAlign w:val="center"/>
          </w:tcPr>
          <w:p>
            <w:pPr>
              <w:pStyle w:val="26"/>
            </w:pPr>
            <w:r>
              <w:t>农业生态系统健康和谐发展</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16、丰润区唐遵铁路以东、昌盛道以南、燕山路以西、正丰道以北区域控制性详细规划编制费绩效目标表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规划编制数量</w:t>
            </w:r>
          </w:p>
        </w:tc>
        <w:tc>
          <w:tcPr>
            <w:tcW w:w="2835" w:type="dxa"/>
            <w:vAlign w:val="center"/>
          </w:tcPr>
          <w:p>
            <w:pPr>
              <w:pStyle w:val="26"/>
            </w:pPr>
            <w:r>
              <w:t>规划编制数量</w:t>
            </w:r>
          </w:p>
        </w:tc>
        <w:tc>
          <w:tcPr>
            <w:tcW w:w="2551" w:type="dxa"/>
            <w:vAlign w:val="center"/>
          </w:tcPr>
          <w:p>
            <w:pPr>
              <w:pStyle w:val="26"/>
            </w:pPr>
            <w:r>
              <w:t>≥1个</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规划编制完成率</w:t>
            </w:r>
          </w:p>
        </w:tc>
        <w:tc>
          <w:tcPr>
            <w:tcW w:w="2835" w:type="dxa"/>
            <w:vAlign w:val="center"/>
          </w:tcPr>
          <w:p>
            <w:pPr>
              <w:pStyle w:val="26"/>
            </w:pPr>
            <w:r>
              <w:t>规划编制完成率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编制完成时间</w:t>
            </w:r>
          </w:p>
        </w:tc>
        <w:tc>
          <w:tcPr>
            <w:tcW w:w="2835" w:type="dxa"/>
            <w:vAlign w:val="center"/>
          </w:tcPr>
          <w:p>
            <w:pPr>
              <w:pStyle w:val="26"/>
            </w:pPr>
            <w:r>
              <w:t>编制完成时间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≤13万元/个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17、建立不动产登记和权籍调查数据库绩效目标表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1.农村“三权”登记数据实时上报，现有三权数据并入到不动产登记管理平台系统</w:t>
            </w:r>
          </w:p>
          <w:p>
            <w:pPr>
              <w:pStyle w:val="26"/>
            </w:pPr>
            <w:r>
              <w:t>2.将宅基地和集体建设用地存量数据汇交省厅</w:t>
            </w:r>
          </w:p>
          <w:p>
            <w:pPr>
              <w:pStyle w:val="26"/>
            </w:pPr>
            <w:r>
              <w:t>3.在现有不动产登记系统中增加集体土地等级模块</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建立不动产登记和权籍调查农村三权数据库</w:t>
            </w:r>
          </w:p>
        </w:tc>
        <w:tc>
          <w:tcPr>
            <w:tcW w:w="2835" w:type="dxa"/>
            <w:vAlign w:val="center"/>
          </w:tcPr>
          <w:p>
            <w:pPr>
              <w:pStyle w:val="26"/>
            </w:pPr>
            <w:r>
              <w:t>建立不动产登记和权籍调查农村三权数据库</w:t>
            </w:r>
          </w:p>
        </w:tc>
        <w:tc>
          <w:tcPr>
            <w:tcW w:w="2551" w:type="dxa"/>
            <w:vAlign w:val="center"/>
          </w:tcPr>
          <w:p>
            <w:pPr>
              <w:pStyle w:val="26"/>
            </w:pPr>
            <w:r>
              <w:t>≥1个（平台）</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三权数据入库</w:t>
            </w:r>
          </w:p>
        </w:tc>
        <w:tc>
          <w:tcPr>
            <w:tcW w:w="2835" w:type="dxa"/>
            <w:vAlign w:val="center"/>
          </w:tcPr>
          <w:p>
            <w:pPr>
              <w:pStyle w:val="26"/>
            </w:pPr>
            <w:r>
              <w:t>登记颁证占整体登记数量比例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不动产农村三权登记数据在线上报时间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不动产登记和权籍调查农村三权数据库单价</w:t>
            </w:r>
          </w:p>
        </w:tc>
        <w:tc>
          <w:tcPr>
            <w:tcW w:w="2835" w:type="dxa"/>
            <w:vAlign w:val="center"/>
          </w:tcPr>
          <w:p>
            <w:pPr>
              <w:pStyle w:val="26"/>
            </w:pPr>
            <w:r>
              <w:t>不动产登记和权籍调查农村三权数据库单价</w:t>
            </w:r>
          </w:p>
        </w:tc>
        <w:tc>
          <w:tcPr>
            <w:tcW w:w="2551" w:type="dxa"/>
            <w:vAlign w:val="center"/>
          </w:tcPr>
          <w:p>
            <w:pPr>
              <w:pStyle w:val="26"/>
            </w:pPr>
            <w:r>
              <w:t>≤88万元/个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不动产登记数据库和权籍调查数据库完成率</w:t>
            </w:r>
          </w:p>
        </w:tc>
        <w:tc>
          <w:tcPr>
            <w:tcW w:w="2835" w:type="dxa"/>
            <w:vAlign w:val="center"/>
          </w:tcPr>
          <w:p>
            <w:pPr>
              <w:pStyle w:val="26"/>
            </w:pPr>
            <w:r>
              <w:t>不动产登记数据库和权籍调查数据库完成率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18、开展《丰润区国土空间生态修复规划（2021-2035年）》编制工作绩效目标表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国土空间生态修复规划编制数量</w:t>
            </w:r>
          </w:p>
        </w:tc>
        <w:tc>
          <w:tcPr>
            <w:tcW w:w="2835" w:type="dxa"/>
            <w:vAlign w:val="center"/>
          </w:tcPr>
          <w:p>
            <w:pPr>
              <w:pStyle w:val="26"/>
            </w:pPr>
            <w:r>
              <w:t>国土空间生态修复规划编制数量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土地利用率</w:t>
            </w:r>
          </w:p>
        </w:tc>
        <w:tc>
          <w:tcPr>
            <w:tcW w:w="2835" w:type="dxa"/>
            <w:vAlign w:val="center"/>
          </w:tcPr>
          <w:p>
            <w:pPr>
              <w:pStyle w:val="26"/>
            </w:pPr>
            <w:r>
              <w:t>生态修复土地占整体比例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≤143.5万元/个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集约节约土地利用，提高土地利用率</w:t>
            </w:r>
          </w:p>
        </w:tc>
        <w:tc>
          <w:tcPr>
            <w:tcW w:w="2835" w:type="dxa"/>
            <w:vAlign w:val="center"/>
          </w:tcPr>
          <w:p>
            <w:pPr>
              <w:pStyle w:val="26"/>
            </w:pPr>
            <w:r>
              <w:t>集约节约土地利用，提高土地利用率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19、开展产业园用地情况调查暨2021年度开发区土地集约利用全面评价有关工作绩效目标表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1.出具河北丰润经济开发区土地集约利用评价项目成果，通过省自然资源厅验收合格</w:t>
            </w:r>
          </w:p>
          <w:p>
            <w:pPr>
              <w:pStyle w:val="26"/>
            </w:pPr>
            <w:r>
              <w:t>2.开发区土地利用管理、保障高端产业集聚发展用地需求</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出具经济开发区土地集约利用监测统计评价个数</w:t>
            </w:r>
          </w:p>
        </w:tc>
        <w:tc>
          <w:tcPr>
            <w:tcW w:w="2835" w:type="dxa"/>
            <w:vAlign w:val="center"/>
          </w:tcPr>
          <w:p>
            <w:pPr>
              <w:pStyle w:val="26"/>
            </w:pPr>
            <w:r>
              <w:t>出具经济开发区土地集约利用监测统计评价个数</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掌握开发区土地实际利用指标值</w:t>
            </w:r>
          </w:p>
        </w:tc>
        <w:tc>
          <w:tcPr>
            <w:tcW w:w="2835" w:type="dxa"/>
            <w:vAlign w:val="center"/>
          </w:tcPr>
          <w:p>
            <w:pPr>
              <w:pStyle w:val="26"/>
            </w:pPr>
            <w:r>
              <w:t>掌握开发区土地实际利用指标值</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2022年年低</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经济开发区土地集约利用监测统计评价单价</w:t>
            </w:r>
          </w:p>
        </w:tc>
        <w:tc>
          <w:tcPr>
            <w:tcW w:w="2835" w:type="dxa"/>
            <w:vAlign w:val="center"/>
          </w:tcPr>
          <w:p>
            <w:pPr>
              <w:pStyle w:val="26"/>
            </w:pPr>
            <w:r>
              <w:t>经济开发区土地集约利用监测统计评价单价</w:t>
            </w:r>
          </w:p>
        </w:tc>
        <w:tc>
          <w:tcPr>
            <w:tcW w:w="2551" w:type="dxa"/>
            <w:vAlign w:val="center"/>
          </w:tcPr>
          <w:p>
            <w:pPr>
              <w:pStyle w:val="26"/>
            </w:pPr>
            <w:r>
              <w:t>≤18.9万元/个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土地资源节约集约利用期限</w:t>
            </w:r>
          </w:p>
        </w:tc>
        <w:tc>
          <w:tcPr>
            <w:tcW w:w="2835" w:type="dxa"/>
            <w:vAlign w:val="center"/>
          </w:tcPr>
          <w:p>
            <w:pPr>
              <w:pStyle w:val="26"/>
            </w:pPr>
            <w:r>
              <w:t>促进土地资源节约集约利用，缓解土地资源短缺</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节约、集约利用经济开发区土地资源</w:t>
            </w:r>
          </w:p>
        </w:tc>
        <w:tc>
          <w:tcPr>
            <w:tcW w:w="2835" w:type="dxa"/>
            <w:vAlign w:val="center"/>
          </w:tcPr>
          <w:p>
            <w:pPr>
              <w:pStyle w:val="26"/>
            </w:pPr>
            <w:r>
              <w:t>节约、集约利用经济开发区土地资源</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20、开展全民所有建设用地资源资产清查价值体系建设绩效目标表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1.推动解决“底数不清”等自然资源管理突出问题</w:t>
            </w:r>
          </w:p>
          <w:p>
            <w:pPr>
              <w:pStyle w:val="26"/>
            </w:pPr>
            <w:r>
              <w:t>2.建立健全资产清查制度</w:t>
            </w:r>
          </w:p>
          <w:p>
            <w:pPr>
              <w:pStyle w:val="26"/>
            </w:pPr>
            <w:r>
              <w:t>3.夯实全民所有自然资源资产管理基础</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自然资源资产清查种类</w:t>
            </w:r>
          </w:p>
        </w:tc>
        <w:tc>
          <w:tcPr>
            <w:tcW w:w="2835" w:type="dxa"/>
            <w:vAlign w:val="center"/>
          </w:tcPr>
          <w:p>
            <w:pPr>
              <w:pStyle w:val="26"/>
            </w:pPr>
            <w:r>
              <w:t>自然资源资产清查种类</w:t>
            </w:r>
          </w:p>
        </w:tc>
        <w:tc>
          <w:tcPr>
            <w:tcW w:w="2551" w:type="dxa"/>
            <w:vAlign w:val="center"/>
          </w:tcPr>
          <w:p>
            <w:pPr>
              <w:pStyle w:val="26"/>
            </w:pPr>
            <w:r>
              <w:t>≥6类</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资产清查内部质量控制率</w:t>
            </w:r>
          </w:p>
        </w:tc>
        <w:tc>
          <w:tcPr>
            <w:tcW w:w="2835" w:type="dxa"/>
            <w:vAlign w:val="center"/>
          </w:tcPr>
          <w:p>
            <w:pPr>
              <w:pStyle w:val="26"/>
            </w:pPr>
            <w:r>
              <w:t>采用“三检一验”制度，进行质量分级控制制度</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清查试点基准时点</w:t>
            </w:r>
          </w:p>
        </w:tc>
        <w:tc>
          <w:tcPr>
            <w:tcW w:w="2835" w:type="dxa"/>
            <w:vAlign w:val="center"/>
          </w:tcPr>
          <w:p>
            <w:pPr>
              <w:pStyle w:val="26"/>
            </w:pPr>
            <w:r>
              <w:t>清查试点基准时点</w:t>
            </w:r>
          </w:p>
        </w:tc>
        <w:tc>
          <w:tcPr>
            <w:tcW w:w="2551" w:type="dxa"/>
            <w:vAlign w:val="center"/>
          </w:tcPr>
          <w:p>
            <w:pPr>
              <w:pStyle w:val="26"/>
            </w:pPr>
            <w:r>
              <w:t>2022年年底</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资产清查工作资金成本</w:t>
            </w:r>
          </w:p>
        </w:tc>
        <w:tc>
          <w:tcPr>
            <w:tcW w:w="2835" w:type="dxa"/>
            <w:vAlign w:val="center"/>
          </w:tcPr>
          <w:p>
            <w:pPr>
              <w:pStyle w:val="26"/>
            </w:pPr>
            <w:r>
              <w:t>资产清查工作资金成本</w:t>
            </w:r>
          </w:p>
        </w:tc>
        <w:tc>
          <w:tcPr>
            <w:tcW w:w="2551" w:type="dxa"/>
            <w:vAlign w:val="center"/>
          </w:tcPr>
          <w:p>
            <w:pPr>
              <w:pStyle w:val="26"/>
            </w:pPr>
            <w:r>
              <w:t>≤4万元/类</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不断提高履行全民所有自然资源资产所有者职责的能力和水平</w:t>
            </w:r>
          </w:p>
        </w:tc>
        <w:tc>
          <w:tcPr>
            <w:tcW w:w="2835" w:type="dxa"/>
            <w:vAlign w:val="center"/>
          </w:tcPr>
          <w:p>
            <w:pPr>
              <w:pStyle w:val="26"/>
            </w:pPr>
            <w:r>
              <w:t>不断提高履行全民所有自然资源资产所有者职责的能力和水平</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使用人员满意度</w:t>
            </w:r>
          </w:p>
        </w:tc>
        <w:tc>
          <w:tcPr>
            <w:tcW w:w="2835" w:type="dxa"/>
            <w:vAlign w:val="center"/>
          </w:tcPr>
          <w:p>
            <w:pPr>
              <w:pStyle w:val="26"/>
            </w:pPr>
            <w:r>
              <w:t>使用人员满意度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21、矿山地质环境治理恢复资金绩效目标表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1.改善和修复采矿活动破坏的地质环境，解决矿山开采引起的矿山环境问题，消除因矿山开采破坏地表形成的白斑影像</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治理恢复数量</w:t>
            </w:r>
          </w:p>
        </w:tc>
        <w:tc>
          <w:tcPr>
            <w:tcW w:w="2835" w:type="dxa"/>
            <w:vAlign w:val="center"/>
          </w:tcPr>
          <w:p>
            <w:pPr>
              <w:pStyle w:val="26"/>
            </w:pPr>
            <w:r>
              <w:t>治理恢复数量</w:t>
            </w:r>
          </w:p>
        </w:tc>
        <w:tc>
          <w:tcPr>
            <w:tcW w:w="2551" w:type="dxa"/>
            <w:vAlign w:val="center"/>
          </w:tcPr>
          <w:p>
            <w:pPr>
              <w:pStyle w:val="26"/>
            </w:pPr>
            <w:r>
              <w:t>≥24处</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综合治理率</w:t>
            </w:r>
          </w:p>
        </w:tc>
        <w:tc>
          <w:tcPr>
            <w:tcW w:w="2835" w:type="dxa"/>
            <w:vAlign w:val="center"/>
          </w:tcPr>
          <w:p>
            <w:pPr>
              <w:pStyle w:val="26"/>
            </w:pPr>
            <w:r>
              <w:t>综合治理率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治理完成时间</w:t>
            </w:r>
          </w:p>
        </w:tc>
        <w:tc>
          <w:tcPr>
            <w:tcW w:w="2835" w:type="dxa"/>
            <w:vAlign w:val="center"/>
          </w:tcPr>
          <w:p>
            <w:pPr>
              <w:pStyle w:val="26"/>
            </w:pPr>
            <w:r>
              <w:t>治理完成时间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治理单价</w:t>
            </w:r>
          </w:p>
        </w:tc>
        <w:tc>
          <w:tcPr>
            <w:tcW w:w="2835" w:type="dxa"/>
            <w:vAlign w:val="center"/>
          </w:tcPr>
          <w:p>
            <w:pPr>
              <w:pStyle w:val="26"/>
            </w:pPr>
            <w:r>
              <w:t>治理单价</w:t>
            </w:r>
          </w:p>
        </w:tc>
        <w:tc>
          <w:tcPr>
            <w:tcW w:w="2551" w:type="dxa"/>
            <w:vAlign w:val="center"/>
          </w:tcPr>
          <w:p>
            <w:pPr>
              <w:pStyle w:val="26"/>
            </w:pPr>
            <w:r>
              <w:t>≤45万元/处</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提高资源利用效率</w:t>
            </w:r>
          </w:p>
        </w:tc>
        <w:tc>
          <w:tcPr>
            <w:tcW w:w="2835" w:type="dxa"/>
            <w:vAlign w:val="center"/>
          </w:tcPr>
          <w:p>
            <w:pPr>
              <w:pStyle w:val="26"/>
            </w:pPr>
            <w:r>
              <w:t>提高资源利用效率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22、历史遗留矿山核查项目绩效目标表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1.查清历史遗留矿山现状</w:t>
            </w:r>
          </w:p>
          <w:p>
            <w:pPr>
              <w:pStyle w:val="26"/>
            </w:pPr>
            <w:r>
              <w:t>2.遥感图斑分类核定</w:t>
            </w:r>
          </w:p>
          <w:p>
            <w:pPr>
              <w:pStyle w:val="26"/>
            </w:pPr>
            <w:r>
              <w:t>3.历史遗留矿山数据库建设</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图斑核查</w:t>
            </w:r>
          </w:p>
        </w:tc>
        <w:tc>
          <w:tcPr>
            <w:tcW w:w="2835" w:type="dxa"/>
            <w:vAlign w:val="center"/>
          </w:tcPr>
          <w:p>
            <w:pPr>
              <w:pStyle w:val="26"/>
            </w:pPr>
            <w:r>
              <w:t>实地核查数量</w:t>
            </w:r>
          </w:p>
        </w:tc>
        <w:tc>
          <w:tcPr>
            <w:tcW w:w="2551" w:type="dxa"/>
            <w:vAlign w:val="center"/>
          </w:tcPr>
          <w:p>
            <w:pPr>
              <w:pStyle w:val="26"/>
            </w:pPr>
            <w:r>
              <w:t>≥358处</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信息填报率</w:t>
            </w:r>
          </w:p>
        </w:tc>
        <w:tc>
          <w:tcPr>
            <w:tcW w:w="2835" w:type="dxa"/>
            <w:vAlign w:val="center"/>
          </w:tcPr>
          <w:p>
            <w:pPr>
              <w:pStyle w:val="26"/>
            </w:pPr>
            <w:r>
              <w:t>信息填报率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核查完成时间</w:t>
            </w:r>
          </w:p>
        </w:tc>
        <w:tc>
          <w:tcPr>
            <w:tcW w:w="2835" w:type="dxa"/>
            <w:vAlign w:val="center"/>
          </w:tcPr>
          <w:p>
            <w:pPr>
              <w:pStyle w:val="26"/>
            </w:pPr>
            <w:r>
              <w:t>核查完成时间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核查平均费用</w:t>
            </w:r>
          </w:p>
        </w:tc>
        <w:tc>
          <w:tcPr>
            <w:tcW w:w="2835" w:type="dxa"/>
            <w:vAlign w:val="center"/>
          </w:tcPr>
          <w:p>
            <w:pPr>
              <w:pStyle w:val="26"/>
            </w:pPr>
            <w:r>
              <w:t>核查平均费用</w:t>
            </w:r>
          </w:p>
        </w:tc>
        <w:tc>
          <w:tcPr>
            <w:tcW w:w="2551" w:type="dxa"/>
            <w:vAlign w:val="center"/>
          </w:tcPr>
          <w:p>
            <w:pPr>
              <w:pStyle w:val="26"/>
            </w:pPr>
            <w:r>
              <w:t>≤0.05万元/处</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建立核查档案</w:t>
            </w:r>
          </w:p>
        </w:tc>
        <w:tc>
          <w:tcPr>
            <w:tcW w:w="2835" w:type="dxa"/>
            <w:vAlign w:val="center"/>
          </w:tcPr>
          <w:p>
            <w:pPr>
              <w:pStyle w:val="26"/>
            </w:pPr>
            <w:r>
              <w:t>建立核查档案表和成果数据库，形成核查工作报告</w:t>
            </w:r>
          </w:p>
        </w:tc>
        <w:tc>
          <w:tcPr>
            <w:tcW w:w="2551" w:type="dxa"/>
            <w:vAlign w:val="center"/>
          </w:tcPr>
          <w:p>
            <w:pPr>
              <w:pStyle w:val="26"/>
            </w:pPr>
            <w:r>
              <w:t>≥98%</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23、农村宅基地档案数据整合绩效目标表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1.约25万卷宅基地纸质档案的电子化处理等工作</w:t>
            </w:r>
          </w:p>
          <w:p>
            <w:pPr>
              <w:pStyle w:val="26"/>
            </w:pPr>
            <w:r>
              <w:t>2.档案电子信息补录、电子信息分卷、信息合并、数据移交、综合查询等工作</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宅基地纸质档案电子化处理数量</w:t>
            </w:r>
          </w:p>
        </w:tc>
        <w:tc>
          <w:tcPr>
            <w:tcW w:w="2835" w:type="dxa"/>
            <w:vAlign w:val="center"/>
          </w:tcPr>
          <w:p>
            <w:pPr>
              <w:pStyle w:val="26"/>
            </w:pPr>
            <w:r>
              <w:t>宅基地纸质档案电子化处理数量</w:t>
            </w:r>
          </w:p>
        </w:tc>
        <w:tc>
          <w:tcPr>
            <w:tcW w:w="2551" w:type="dxa"/>
            <w:vAlign w:val="center"/>
          </w:tcPr>
          <w:p>
            <w:pPr>
              <w:pStyle w:val="26"/>
            </w:pPr>
            <w:r>
              <w:t>≥25万卷</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服务内容及技术要求</w:t>
            </w:r>
          </w:p>
        </w:tc>
        <w:tc>
          <w:tcPr>
            <w:tcW w:w="2835" w:type="dxa"/>
            <w:vAlign w:val="center"/>
          </w:tcPr>
          <w:p>
            <w:pPr>
              <w:pStyle w:val="26"/>
            </w:pPr>
            <w:r>
              <w:t>符合省厅技术规范的宅基地汇交数据，不符合汇交规范的分类说明，对现有电子数据进入电子信息档案库，保证查询不遗漏</w:t>
            </w:r>
          </w:p>
        </w:tc>
        <w:tc>
          <w:tcPr>
            <w:tcW w:w="2551" w:type="dxa"/>
            <w:vAlign w:val="center"/>
          </w:tcPr>
          <w:p>
            <w:pPr>
              <w:pStyle w:val="26"/>
            </w:pPr>
            <w:r>
              <w:t>≥1卷/户</w:t>
            </w:r>
          </w:p>
        </w:tc>
        <w:tc>
          <w:tcPr>
            <w:tcW w:w="2268" w:type="dxa"/>
            <w:vAlign w:val="center"/>
          </w:tcPr>
          <w:p>
            <w:pPr>
              <w:pStyle w:val="26"/>
            </w:pPr>
            <w:r>
              <w:t>省厅技术规范及行业标准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完成宅基地纸质档案的电子化处理工作的时间</w:t>
            </w:r>
          </w:p>
        </w:tc>
        <w:tc>
          <w:tcPr>
            <w:tcW w:w="2551" w:type="dxa"/>
            <w:vAlign w:val="center"/>
          </w:tcPr>
          <w:p>
            <w:pPr>
              <w:pStyle w:val="26"/>
            </w:pPr>
            <w:r>
              <w:t>≤180天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宅基地纸质档案的电子化处理工作单价</w:t>
            </w:r>
          </w:p>
        </w:tc>
        <w:tc>
          <w:tcPr>
            <w:tcW w:w="2835" w:type="dxa"/>
            <w:vAlign w:val="center"/>
          </w:tcPr>
          <w:p>
            <w:pPr>
              <w:pStyle w:val="26"/>
            </w:pPr>
            <w:r>
              <w:t>宅基地纸质档案的电子化处理工作单价</w:t>
            </w:r>
          </w:p>
        </w:tc>
        <w:tc>
          <w:tcPr>
            <w:tcW w:w="2551" w:type="dxa"/>
            <w:vAlign w:val="center"/>
          </w:tcPr>
          <w:p>
            <w:pPr>
              <w:pStyle w:val="26"/>
            </w:pPr>
            <w:r>
              <w:t>≤3元/本</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农村宅基地档案整理及信息化建设服务完成率</w:t>
            </w:r>
          </w:p>
        </w:tc>
        <w:tc>
          <w:tcPr>
            <w:tcW w:w="2835" w:type="dxa"/>
            <w:vAlign w:val="center"/>
          </w:tcPr>
          <w:p>
            <w:pPr>
              <w:pStyle w:val="26"/>
            </w:pPr>
            <w:r>
              <w:t>农村宅基地档案整理及信息化建设服务完成率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24、全国第三次耕地质量分等定级调查费绩效目标表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1.建立全国第三次耕地质量分等定级调查数据库</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建立数据库数量</w:t>
            </w:r>
          </w:p>
        </w:tc>
        <w:tc>
          <w:tcPr>
            <w:tcW w:w="2835" w:type="dxa"/>
            <w:vAlign w:val="center"/>
          </w:tcPr>
          <w:p>
            <w:pPr>
              <w:pStyle w:val="26"/>
            </w:pPr>
            <w:r>
              <w:t>建立全国第三次耕地质量分等定级调查数据库数量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数据完善率</w:t>
            </w:r>
          </w:p>
        </w:tc>
        <w:tc>
          <w:tcPr>
            <w:tcW w:w="2835" w:type="dxa"/>
            <w:vAlign w:val="center"/>
          </w:tcPr>
          <w:p>
            <w:pPr>
              <w:pStyle w:val="26"/>
            </w:pPr>
            <w:r>
              <w:t>数据完善率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数据库建立完成时间</w:t>
            </w:r>
          </w:p>
        </w:tc>
        <w:tc>
          <w:tcPr>
            <w:tcW w:w="2835" w:type="dxa"/>
            <w:vAlign w:val="center"/>
          </w:tcPr>
          <w:p>
            <w:pPr>
              <w:pStyle w:val="26"/>
            </w:pPr>
            <w:r>
              <w:t>数据库建立完成时间</w:t>
            </w:r>
          </w:p>
        </w:tc>
        <w:tc>
          <w:tcPr>
            <w:tcW w:w="2551" w:type="dxa"/>
            <w:vAlign w:val="center"/>
          </w:tcPr>
          <w:p>
            <w:pPr>
              <w:pStyle w:val="26"/>
            </w:pPr>
            <w:r>
              <w:t>2022年年底</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数据库建立单价</w:t>
            </w:r>
          </w:p>
        </w:tc>
        <w:tc>
          <w:tcPr>
            <w:tcW w:w="2835" w:type="dxa"/>
            <w:vAlign w:val="center"/>
          </w:tcPr>
          <w:p>
            <w:pPr>
              <w:pStyle w:val="26"/>
            </w:pPr>
            <w:r>
              <w:t>数据库建立单价</w:t>
            </w:r>
          </w:p>
        </w:tc>
        <w:tc>
          <w:tcPr>
            <w:tcW w:w="2551" w:type="dxa"/>
            <w:vAlign w:val="center"/>
          </w:tcPr>
          <w:p>
            <w:pPr>
              <w:pStyle w:val="26"/>
            </w:pPr>
            <w:r>
              <w:t>≤65万元/个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提升土地管理水平</w:t>
            </w:r>
          </w:p>
        </w:tc>
        <w:tc>
          <w:tcPr>
            <w:tcW w:w="2835" w:type="dxa"/>
            <w:vAlign w:val="center"/>
          </w:tcPr>
          <w:p>
            <w:pPr>
              <w:pStyle w:val="26"/>
            </w:pPr>
            <w:r>
              <w:t>耕地合理定级，提升土地管理水平</w:t>
            </w:r>
          </w:p>
        </w:tc>
        <w:tc>
          <w:tcPr>
            <w:tcW w:w="2551" w:type="dxa"/>
            <w:vAlign w:val="center"/>
          </w:tcPr>
          <w:p>
            <w:pPr>
              <w:pStyle w:val="26"/>
            </w:pPr>
            <w:r>
              <w:t>高</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25、唐山市丰润区农村集体建设用地及农村宅基地确权登记项目绩效目标表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1.已完成全区宅基地调查</w:t>
            </w:r>
          </w:p>
          <w:p>
            <w:pPr>
              <w:pStyle w:val="26"/>
            </w:pPr>
            <w:r>
              <w:t>2.已完成全区集体建设用地调查</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确权登记数量</w:t>
            </w:r>
          </w:p>
        </w:tc>
        <w:tc>
          <w:tcPr>
            <w:tcW w:w="2835" w:type="dxa"/>
            <w:vAlign w:val="center"/>
          </w:tcPr>
          <w:p>
            <w:pPr>
              <w:pStyle w:val="26"/>
            </w:pPr>
            <w:r>
              <w:t>已完成全区宅基地及集体建设用地调查数量</w:t>
            </w:r>
          </w:p>
        </w:tc>
        <w:tc>
          <w:tcPr>
            <w:tcW w:w="2551" w:type="dxa"/>
            <w:vAlign w:val="center"/>
          </w:tcPr>
          <w:p>
            <w:pPr>
              <w:pStyle w:val="26"/>
            </w:pPr>
            <w:r>
              <w:t>≥39个</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确权登记完成率</w:t>
            </w:r>
          </w:p>
        </w:tc>
        <w:tc>
          <w:tcPr>
            <w:tcW w:w="2835" w:type="dxa"/>
            <w:vAlign w:val="center"/>
          </w:tcPr>
          <w:p>
            <w:pPr>
              <w:pStyle w:val="26"/>
            </w:pPr>
            <w:r>
              <w:t>确权登记完成率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合同有效期内完成调查并建设数据库</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确权登记平均成本</w:t>
            </w:r>
          </w:p>
        </w:tc>
        <w:tc>
          <w:tcPr>
            <w:tcW w:w="2835" w:type="dxa"/>
            <w:vAlign w:val="center"/>
          </w:tcPr>
          <w:p>
            <w:pPr>
              <w:pStyle w:val="26"/>
            </w:pPr>
            <w:r>
              <w:t>确权登记平均成本</w:t>
            </w:r>
          </w:p>
        </w:tc>
        <w:tc>
          <w:tcPr>
            <w:tcW w:w="2551" w:type="dxa"/>
            <w:vAlign w:val="center"/>
          </w:tcPr>
          <w:p>
            <w:pPr>
              <w:pStyle w:val="26"/>
            </w:pPr>
            <w:r>
              <w:t>≤5万元/个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服务内容及技术要求</w:t>
            </w:r>
          </w:p>
        </w:tc>
        <w:tc>
          <w:tcPr>
            <w:tcW w:w="2835" w:type="dxa"/>
            <w:vAlign w:val="center"/>
          </w:tcPr>
          <w:p>
            <w:pPr>
              <w:pStyle w:val="26"/>
            </w:pPr>
            <w:r>
              <w:t>符合《确定土地所有权和使用权的若干规定》并于2018年9月通过专家验收</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26、唐山市丰润区农村集体土地确权登记发证项目绩效目标表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1.已完成全区调查、权籍测量、建立了数据库及相关图件编制等内容。</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确权登记数量</w:t>
            </w:r>
          </w:p>
        </w:tc>
        <w:tc>
          <w:tcPr>
            <w:tcW w:w="2835" w:type="dxa"/>
            <w:vAlign w:val="center"/>
          </w:tcPr>
          <w:p>
            <w:pPr>
              <w:pStyle w:val="26"/>
            </w:pPr>
            <w:r>
              <w:t>已完成全区调查、权籍测量、建立了数据库及相关图件编制等内容的农村集体用地数量</w:t>
            </w:r>
          </w:p>
        </w:tc>
        <w:tc>
          <w:tcPr>
            <w:tcW w:w="2551" w:type="dxa"/>
            <w:vAlign w:val="center"/>
          </w:tcPr>
          <w:p>
            <w:pPr>
              <w:pStyle w:val="26"/>
            </w:pPr>
            <w:r>
              <w:t>≥15个</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确权登记完成率</w:t>
            </w:r>
          </w:p>
        </w:tc>
        <w:tc>
          <w:tcPr>
            <w:tcW w:w="2835" w:type="dxa"/>
            <w:vAlign w:val="center"/>
          </w:tcPr>
          <w:p>
            <w:pPr>
              <w:pStyle w:val="26"/>
            </w:pPr>
            <w:r>
              <w:t>确权登记完成率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合同有效期内完成调查并发证</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确权登记平均成本</w:t>
            </w:r>
          </w:p>
        </w:tc>
        <w:tc>
          <w:tcPr>
            <w:tcW w:w="2835" w:type="dxa"/>
            <w:vAlign w:val="center"/>
          </w:tcPr>
          <w:p>
            <w:pPr>
              <w:pStyle w:val="26"/>
            </w:pPr>
            <w:r>
              <w:t>确权登记平均成本</w:t>
            </w:r>
          </w:p>
        </w:tc>
        <w:tc>
          <w:tcPr>
            <w:tcW w:w="2551" w:type="dxa"/>
            <w:vAlign w:val="center"/>
          </w:tcPr>
          <w:p>
            <w:pPr>
              <w:pStyle w:val="26"/>
            </w:pPr>
            <w:r>
              <w:t>≤9万元/个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服务内容及技术要求</w:t>
            </w:r>
          </w:p>
        </w:tc>
        <w:tc>
          <w:tcPr>
            <w:tcW w:w="2835" w:type="dxa"/>
            <w:vAlign w:val="center"/>
          </w:tcPr>
          <w:p>
            <w:pPr>
              <w:pStyle w:val="26"/>
            </w:pPr>
            <w:r>
              <w:t>符合《唐山市农村地籍和房屋调查实施细则》并于2018年9月通过专家验收。</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27、土地出让业务经费绩效目标表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1.保证机关工作正常运转</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在职人员数量</w:t>
            </w:r>
          </w:p>
        </w:tc>
        <w:tc>
          <w:tcPr>
            <w:tcW w:w="2835" w:type="dxa"/>
            <w:vAlign w:val="center"/>
          </w:tcPr>
          <w:p>
            <w:pPr>
              <w:pStyle w:val="26"/>
            </w:pPr>
            <w:r>
              <w:t>在职在岗人员数量</w:t>
            </w:r>
          </w:p>
        </w:tc>
        <w:tc>
          <w:tcPr>
            <w:tcW w:w="2551" w:type="dxa"/>
            <w:vAlign w:val="center"/>
          </w:tcPr>
          <w:p>
            <w:pPr>
              <w:pStyle w:val="26"/>
            </w:pPr>
            <w:r>
              <w:t>≥148人</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局内工作开展效果</w:t>
            </w:r>
          </w:p>
        </w:tc>
        <w:tc>
          <w:tcPr>
            <w:tcW w:w="2835" w:type="dxa"/>
            <w:vAlign w:val="center"/>
          </w:tcPr>
          <w:p>
            <w:pPr>
              <w:pStyle w:val="26"/>
            </w:pPr>
            <w:r>
              <w:t>局内工作开展效果</w:t>
            </w:r>
          </w:p>
        </w:tc>
        <w:tc>
          <w:tcPr>
            <w:tcW w:w="2551" w:type="dxa"/>
            <w:vAlign w:val="center"/>
          </w:tcPr>
          <w:p>
            <w:pPr>
              <w:pStyle w:val="26"/>
            </w:pPr>
            <w:r>
              <w:t>优</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电脑采集成本</w:t>
            </w:r>
          </w:p>
        </w:tc>
        <w:tc>
          <w:tcPr>
            <w:tcW w:w="2835" w:type="dxa"/>
            <w:vAlign w:val="center"/>
          </w:tcPr>
          <w:p>
            <w:pPr>
              <w:pStyle w:val="26"/>
            </w:pPr>
            <w:r>
              <w:t>电脑采集成本</w:t>
            </w:r>
          </w:p>
        </w:tc>
        <w:tc>
          <w:tcPr>
            <w:tcW w:w="2551" w:type="dxa"/>
            <w:vAlign w:val="center"/>
          </w:tcPr>
          <w:p>
            <w:pPr>
              <w:pStyle w:val="26"/>
            </w:pPr>
            <w:r>
              <w:t>≤4500元/台</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保证局内工作顺利开展</w:t>
            </w:r>
          </w:p>
        </w:tc>
        <w:tc>
          <w:tcPr>
            <w:tcW w:w="2835" w:type="dxa"/>
            <w:vAlign w:val="center"/>
          </w:tcPr>
          <w:p>
            <w:pPr>
              <w:pStyle w:val="26"/>
            </w:pPr>
            <w:r>
              <w:t>保证局内工作顺利开展</w:t>
            </w:r>
          </w:p>
        </w:tc>
        <w:tc>
          <w:tcPr>
            <w:tcW w:w="2551" w:type="dxa"/>
            <w:vAlign w:val="center"/>
          </w:tcPr>
          <w:p>
            <w:pPr>
              <w:pStyle w:val="26"/>
            </w:pPr>
            <w:r>
              <w:t>2022年</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28、土地出让业务经费21借款绩效目标表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在职人员数量</w:t>
            </w:r>
          </w:p>
        </w:tc>
        <w:tc>
          <w:tcPr>
            <w:tcW w:w="2835" w:type="dxa"/>
            <w:vAlign w:val="center"/>
          </w:tcPr>
          <w:p>
            <w:pPr>
              <w:pStyle w:val="26"/>
            </w:pPr>
            <w:r>
              <w:t>在职人员数量</w:t>
            </w:r>
          </w:p>
        </w:tc>
        <w:tc>
          <w:tcPr>
            <w:tcW w:w="2551" w:type="dxa"/>
            <w:vAlign w:val="center"/>
          </w:tcPr>
          <w:p>
            <w:pPr>
              <w:pStyle w:val="26"/>
            </w:pPr>
            <w:r>
              <w:t>≥148人</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局内开展工作效果</w:t>
            </w:r>
          </w:p>
        </w:tc>
        <w:tc>
          <w:tcPr>
            <w:tcW w:w="2835" w:type="dxa"/>
            <w:vAlign w:val="center"/>
          </w:tcPr>
          <w:p>
            <w:pPr>
              <w:pStyle w:val="26"/>
            </w:pPr>
            <w:r>
              <w:t>局内开展工作效果</w:t>
            </w:r>
          </w:p>
        </w:tc>
        <w:tc>
          <w:tcPr>
            <w:tcW w:w="2551" w:type="dxa"/>
            <w:vAlign w:val="center"/>
          </w:tcPr>
          <w:p>
            <w:pPr>
              <w:pStyle w:val="26"/>
            </w:pPr>
            <w:r>
              <w:t>优</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电脑采集成本</w:t>
            </w:r>
          </w:p>
        </w:tc>
        <w:tc>
          <w:tcPr>
            <w:tcW w:w="2835" w:type="dxa"/>
            <w:vAlign w:val="center"/>
          </w:tcPr>
          <w:p>
            <w:pPr>
              <w:pStyle w:val="26"/>
            </w:pPr>
            <w:r>
              <w:t>电脑采集成本</w:t>
            </w:r>
          </w:p>
        </w:tc>
        <w:tc>
          <w:tcPr>
            <w:tcW w:w="2551" w:type="dxa"/>
            <w:vAlign w:val="center"/>
          </w:tcPr>
          <w:p>
            <w:pPr>
              <w:pStyle w:val="26"/>
            </w:pPr>
            <w:r>
              <w:t>≤4500元/台</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保证局内工作顺利开展</w:t>
            </w:r>
          </w:p>
        </w:tc>
        <w:tc>
          <w:tcPr>
            <w:tcW w:w="2835" w:type="dxa"/>
            <w:vAlign w:val="center"/>
          </w:tcPr>
          <w:p>
            <w:pPr>
              <w:pStyle w:val="26"/>
            </w:pPr>
            <w:r>
              <w:t>保证局内工作顺利开展</w:t>
            </w:r>
          </w:p>
        </w:tc>
        <w:tc>
          <w:tcPr>
            <w:tcW w:w="2551" w:type="dxa"/>
            <w:vAlign w:val="center"/>
          </w:tcPr>
          <w:p>
            <w:pPr>
              <w:pStyle w:val="26"/>
            </w:pPr>
            <w:r>
              <w:t>2022年年底</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29、土地矿产卫片执法绩效目标表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1.对部下发的土地、矿产卫片图斑进行核实，有效打击违法行为的发生</w:t>
            </w:r>
          </w:p>
          <w:p>
            <w:pPr>
              <w:pStyle w:val="26"/>
            </w:pPr>
            <w:r>
              <w:t>2.对越界采矿做采出量核实，出具储量报告</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视频维护个数</w:t>
            </w:r>
          </w:p>
        </w:tc>
        <w:tc>
          <w:tcPr>
            <w:tcW w:w="2835" w:type="dxa"/>
            <w:vAlign w:val="center"/>
          </w:tcPr>
          <w:p>
            <w:pPr>
              <w:pStyle w:val="26"/>
            </w:pPr>
            <w:r>
              <w:t>视频维护个数</w:t>
            </w:r>
          </w:p>
        </w:tc>
        <w:tc>
          <w:tcPr>
            <w:tcW w:w="2551" w:type="dxa"/>
            <w:vAlign w:val="center"/>
          </w:tcPr>
          <w:p>
            <w:pPr>
              <w:pStyle w:val="26"/>
            </w:pPr>
            <w:r>
              <w:t>≥32个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对违法图斑进行整改</w:t>
            </w:r>
          </w:p>
        </w:tc>
        <w:tc>
          <w:tcPr>
            <w:tcW w:w="2835" w:type="dxa"/>
            <w:vAlign w:val="center"/>
          </w:tcPr>
          <w:p>
            <w:pPr>
              <w:pStyle w:val="26"/>
            </w:pPr>
            <w:r>
              <w:t>整改矿产卫片占需整改卫片的数量</w:t>
            </w:r>
          </w:p>
        </w:tc>
        <w:tc>
          <w:tcPr>
            <w:tcW w:w="2551" w:type="dxa"/>
            <w:vAlign w:val="center"/>
          </w:tcPr>
          <w:p>
            <w:pPr>
              <w:pStyle w:val="26"/>
            </w:pPr>
            <w:r>
              <w:t>≥85%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完成卫片图斑的核实期限</w:t>
            </w:r>
          </w:p>
        </w:tc>
        <w:tc>
          <w:tcPr>
            <w:tcW w:w="2835" w:type="dxa"/>
            <w:vAlign w:val="center"/>
          </w:tcPr>
          <w:p>
            <w:pPr>
              <w:pStyle w:val="26"/>
            </w:pPr>
            <w:r>
              <w:t>完成卫片图斑的核实期限</w:t>
            </w:r>
          </w:p>
        </w:tc>
        <w:tc>
          <w:tcPr>
            <w:tcW w:w="2551" w:type="dxa"/>
            <w:vAlign w:val="center"/>
          </w:tcPr>
          <w:p>
            <w:pPr>
              <w:pStyle w:val="26"/>
            </w:pPr>
            <w:r>
              <w:t>≤3月</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聘请第三方视频维护成本</w:t>
            </w:r>
          </w:p>
        </w:tc>
        <w:tc>
          <w:tcPr>
            <w:tcW w:w="2835" w:type="dxa"/>
            <w:vAlign w:val="center"/>
          </w:tcPr>
          <w:p>
            <w:pPr>
              <w:pStyle w:val="26"/>
            </w:pPr>
            <w:r>
              <w:t>聘请第三方视频维护成本</w:t>
            </w:r>
          </w:p>
        </w:tc>
        <w:tc>
          <w:tcPr>
            <w:tcW w:w="2551" w:type="dxa"/>
            <w:vAlign w:val="center"/>
          </w:tcPr>
          <w:p>
            <w:pPr>
              <w:pStyle w:val="26"/>
            </w:pPr>
            <w:r>
              <w:t>≤20万元</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对违法开采、非法占地依法进行处罚</w:t>
            </w:r>
          </w:p>
        </w:tc>
        <w:tc>
          <w:tcPr>
            <w:tcW w:w="2835" w:type="dxa"/>
            <w:vAlign w:val="center"/>
          </w:tcPr>
          <w:p>
            <w:pPr>
              <w:pStyle w:val="26"/>
            </w:pPr>
            <w:r>
              <w:t>对违法开采、非法占地依法进行处罚</w:t>
            </w:r>
          </w:p>
        </w:tc>
        <w:tc>
          <w:tcPr>
            <w:tcW w:w="2551" w:type="dxa"/>
            <w:vAlign w:val="center"/>
          </w:tcPr>
          <w:p>
            <w:pPr>
              <w:pStyle w:val="26"/>
            </w:pPr>
            <w:r>
              <w:t>≥100元/平方米</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30、委托业务费绩效目标表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1.评估出让土地使用权出让价值</w:t>
            </w:r>
          </w:p>
          <w:p>
            <w:pPr>
              <w:pStyle w:val="26"/>
            </w:pPr>
            <w:r>
              <w:t>2.为确定土地出让底价提供参考依据</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委托业务数量</w:t>
            </w:r>
          </w:p>
        </w:tc>
        <w:tc>
          <w:tcPr>
            <w:tcW w:w="2835" w:type="dxa"/>
            <w:vAlign w:val="center"/>
          </w:tcPr>
          <w:p>
            <w:pPr>
              <w:pStyle w:val="26"/>
            </w:pPr>
            <w:r>
              <w:t>委托评估土地使用权出让的宗地数量</w:t>
            </w:r>
          </w:p>
        </w:tc>
        <w:tc>
          <w:tcPr>
            <w:tcW w:w="2551" w:type="dxa"/>
            <w:vAlign w:val="center"/>
          </w:tcPr>
          <w:p>
            <w:pPr>
              <w:pStyle w:val="26"/>
            </w:pPr>
            <w:r>
              <w:t>≥15宗</w:t>
            </w:r>
          </w:p>
        </w:tc>
        <w:tc>
          <w:tcPr>
            <w:tcW w:w="2268" w:type="dxa"/>
            <w:vAlign w:val="center"/>
          </w:tcPr>
          <w:p>
            <w:pPr>
              <w:pStyle w:val="26"/>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规范土地储备管理</w:t>
            </w:r>
          </w:p>
        </w:tc>
        <w:tc>
          <w:tcPr>
            <w:tcW w:w="2835" w:type="dxa"/>
            <w:vAlign w:val="center"/>
          </w:tcPr>
          <w:p>
            <w:pPr>
              <w:pStyle w:val="26"/>
            </w:pPr>
            <w:r>
              <w:t>土地资源的高效配置占规定土地资源比例</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拨付时间</w:t>
            </w:r>
          </w:p>
        </w:tc>
        <w:tc>
          <w:tcPr>
            <w:tcW w:w="2835" w:type="dxa"/>
            <w:vAlign w:val="center"/>
          </w:tcPr>
          <w:p>
            <w:pPr>
              <w:pStyle w:val="26"/>
            </w:pPr>
            <w:r>
              <w:t>拨付时间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监察聘请专家耕地破坏鉴定成本</w:t>
            </w:r>
          </w:p>
        </w:tc>
        <w:tc>
          <w:tcPr>
            <w:tcW w:w="2835" w:type="dxa"/>
            <w:vAlign w:val="center"/>
          </w:tcPr>
          <w:p>
            <w:pPr>
              <w:pStyle w:val="26"/>
            </w:pPr>
            <w:r>
              <w:t>监察聘请专家耕地破坏鉴定成本</w:t>
            </w:r>
          </w:p>
        </w:tc>
        <w:tc>
          <w:tcPr>
            <w:tcW w:w="2551" w:type="dxa"/>
            <w:vAlign w:val="center"/>
          </w:tcPr>
          <w:p>
            <w:pPr>
              <w:pStyle w:val="26"/>
            </w:pPr>
            <w:r>
              <w:t>≤40万元</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土地利用率</w:t>
            </w:r>
          </w:p>
        </w:tc>
        <w:tc>
          <w:tcPr>
            <w:tcW w:w="2835" w:type="dxa"/>
            <w:vAlign w:val="center"/>
          </w:tcPr>
          <w:p>
            <w:pPr>
              <w:pStyle w:val="26"/>
            </w:pPr>
            <w:r>
              <w:t>土地利用率</w:t>
            </w:r>
          </w:p>
        </w:tc>
        <w:tc>
          <w:tcPr>
            <w:tcW w:w="2551" w:type="dxa"/>
            <w:vAlign w:val="center"/>
          </w:tcPr>
          <w:p>
            <w:pPr>
              <w:pStyle w:val="26"/>
            </w:pPr>
            <w:r>
              <w:t>≥80%</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经济增长率</w:t>
            </w:r>
          </w:p>
        </w:tc>
        <w:tc>
          <w:tcPr>
            <w:tcW w:w="2835" w:type="dxa"/>
            <w:vAlign w:val="center"/>
          </w:tcPr>
          <w:p>
            <w:pPr>
              <w:pStyle w:val="26"/>
            </w:pPr>
            <w:r>
              <w:t>经济可持续增长率</w:t>
            </w:r>
          </w:p>
        </w:tc>
        <w:tc>
          <w:tcPr>
            <w:tcW w:w="2551" w:type="dxa"/>
            <w:vAlign w:val="center"/>
          </w:tcPr>
          <w:p>
            <w:pPr>
              <w:pStyle w:val="26"/>
            </w:pPr>
            <w:r>
              <w:t>≥95%</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≥90%</w:t>
            </w:r>
          </w:p>
        </w:tc>
        <w:tc>
          <w:tcPr>
            <w:tcW w:w="2268" w:type="dxa"/>
            <w:vAlign w:val="center"/>
          </w:tcPr>
          <w:p>
            <w:pPr>
              <w:pStyle w:val="26"/>
            </w:pPr>
            <w:r>
              <w:t>调查问卷</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2022年，唐山市自然资源和规划局丰润区分局安排政府采购预算</w:t>
      </w:r>
      <w:r>
        <w:rPr>
          <w:rFonts w:hint="eastAsia" w:asciiTheme="minorEastAsia" w:hAnsiTheme="minorEastAsia" w:eastAsiaTheme="minorEastAsia"/>
          <w:color w:val="000000"/>
          <w:sz w:val="28"/>
          <w:lang w:eastAsia="zh-CN"/>
        </w:rPr>
        <w:t>1469.6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唐山市自然资源和规划局丰润区分局（含所属单位）上年末固定资产金额为</w:t>
      </w:r>
      <w:r>
        <w:rPr>
          <w:rFonts w:hint="eastAsia" w:asciiTheme="minorEastAsia" w:hAnsiTheme="minorEastAsia" w:eastAsiaTheme="minorEastAsia"/>
          <w:color w:val="000000"/>
          <w:sz w:val="28"/>
          <w:lang w:eastAsia="zh-CN"/>
        </w:rPr>
        <w:t>1515.42</w:t>
      </w:r>
      <w:r>
        <w:rPr>
          <w:rFonts w:eastAsia="方正仿宋_GBK"/>
          <w:color w:val="000000"/>
          <w:sz w:val="28"/>
        </w:rPr>
        <w:t>万元（详见下表）。本年度拟购置固定资产总额为</w:t>
      </w:r>
      <w:r>
        <w:rPr>
          <w:rFonts w:hint="eastAsia" w:asciiTheme="minorEastAsia" w:hAnsiTheme="minorEastAsia" w:eastAsiaTheme="minorEastAsia"/>
          <w:color w:val="000000"/>
          <w:sz w:val="28"/>
          <w:lang w:eastAsia="zh-CN"/>
        </w:rPr>
        <w:t>130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334唐山市自然资源和规划局丰润区分局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一、唐山市自然资源和规划局丰润区分局本级收支预算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716.45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4611.33</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676.43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5327.78</w:t>
            </w:r>
          </w:p>
        </w:tc>
        <w:tc>
          <w:tcPr>
            <w:tcW w:w="4535" w:type="dxa"/>
            <w:vAlign w:val="center"/>
          </w:tcPr>
          <w:p>
            <w:pPr>
              <w:pStyle w:val="14"/>
            </w:pPr>
            <w:r>
              <w:t>本年支出合计</w:t>
            </w:r>
          </w:p>
        </w:tc>
        <w:tc>
          <w:tcPr>
            <w:tcW w:w="2126" w:type="dxa"/>
            <w:vAlign w:val="center"/>
          </w:tcPr>
          <w:p>
            <w:pPr>
              <w:pStyle w:val="15"/>
            </w:pPr>
            <w:r>
              <w:t>5327.78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5327.78</w:t>
            </w:r>
          </w:p>
        </w:tc>
        <w:tc>
          <w:tcPr>
            <w:tcW w:w="4535" w:type="dxa"/>
            <w:vAlign w:val="center"/>
          </w:tcPr>
          <w:p>
            <w:pPr>
              <w:pStyle w:val="14"/>
            </w:pPr>
            <w:r>
              <w:t>支出总计</w:t>
            </w:r>
          </w:p>
        </w:tc>
        <w:tc>
          <w:tcPr>
            <w:tcW w:w="2126" w:type="dxa"/>
            <w:vAlign w:val="center"/>
          </w:tcPr>
          <w:p>
            <w:pPr>
              <w:pStyle w:val="15"/>
            </w:pPr>
            <w:r>
              <w:t>5327.78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5327.78</w:t>
            </w:r>
          </w:p>
        </w:tc>
        <w:tc>
          <w:tcPr>
            <w:tcW w:w="1134" w:type="dxa"/>
            <w:vAlign w:val="center"/>
          </w:tcPr>
          <w:p>
            <w:pPr>
              <w:pStyle w:val="15"/>
            </w:pPr>
            <w:r>
              <w:t>5327.78</w:t>
            </w:r>
          </w:p>
        </w:tc>
        <w:tc>
          <w:tcPr>
            <w:tcW w:w="1134" w:type="dxa"/>
            <w:vAlign w:val="center"/>
          </w:tcPr>
          <w:p>
            <w:pPr>
              <w:pStyle w:val="15"/>
            </w:pPr>
            <w:r>
              <w:t>5327.78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r>
              <w:t>15.75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r>
              <w:t>4611.33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2120802</w:t>
            </w:r>
          </w:p>
        </w:tc>
        <w:tc>
          <w:tcPr>
            <w:tcW w:w="1559" w:type="dxa"/>
            <w:vAlign w:val="center"/>
          </w:tcPr>
          <w:p>
            <w:pPr>
              <w:pStyle w:val="12"/>
            </w:pPr>
            <w:r>
              <w:t>土地开发支出</w:t>
            </w:r>
          </w:p>
        </w:tc>
        <w:tc>
          <w:tcPr>
            <w:tcW w:w="1134" w:type="dxa"/>
            <w:vAlign w:val="center"/>
          </w:tcPr>
          <w:p>
            <w:pPr>
              <w:pStyle w:val="11"/>
            </w:pPr>
            <w:r>
              <w:t>1666.92</w:t>
            </w:r>
          </w:p>
        </w:tc>
        <w:tc>
          <w:tcPr>
            <w:tcW w:w="1134" w:type="dxa"/>
            <w:vAlign w:val="center"/>
          </w:tcPr>
          <w:p>
            <w:pPr>
              <w:pStyle w:val="11"/>
            </w:pPr>
            <w:r>
              <w:t>1666.92</w:t>
            </w:r>
          </w:p>
        </w:tc>
        <w:tc>
          <w:tcPr>
            <w:tcW w:w="1134" w:type="dxa"/>
            <w:vAlign w:val="center"/>
          </w:tcPr>
          <w:p>
            <w:pPr>
              <w:pStyle w:val="11"/>
            </w:pPr>
            <w:r>
              <w:t>1666.92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2120806</w:t>
            </w:r>
          </w:p>
        </w:tc>
        <w:tc>
          <w:tcPr>
            <w:tcW w:w="1559" w:type="dxa"/>
            <w:vAlign w:val="center"/>
          </w:tcPr>
          <w:p>
            <w:pPr>
              <w:pStyle w:val="12"/>
            </w:pPr>
            <w:r>
              <w:t>土地出让业务支出</w:t>
            </w:r>
          </w:p>
        </w:tc>
        <w:tc>
          <w:tcPr>
            <w:tcW w:w="1134" w:type="dxa"/>
            <w:vAlign w:val="center"/>
          </w:tcPr>
          <w:p>
            <w:pPr>
              <w:pStyle w:val="11"/>
            </w:pPr>
            <w:r>
              <w:t>651.00</w:t>
            </w:r>
          </w:p>
        </w:tc>
        <w:tc>
          <w:tcPr>
            <w:tcW w:w="1134" w:type="dxa"/>
            <w:vAlign w:val="center"/>
          </w:tcPr>
          <w:p>
            <w:pPr>
              <w:pStyle w:val="11"/>
            </w:pPr>
            <w:r>
              <w:t>651.00</w:t>
            </w:r>
          </w:p>
        </w:tc>
        <w:tc>
          <w:tcPr>
            <w:tcW w:w="1134" w:type="dxa"/>
            <w:vAlign w:val="center"/>
          </w:tcPr>
          <w:p>
            <w:pPr>
              <w:pStyle w:val="11"/>
            </w:pPr>
            <w:r>
              <w:t>651.00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2120814</w:t>
            </w:r>
          </w:p>
        </w:tc>
        <w:tc>
          <w:tcPr>
            <w:tcW w:w="1559" w:type="dxa"/>
            <w:vAlign w:val="center"/>
          </w:tcPr>
          <w:p>
            <w:pPr>
              <w:pStyle w:val="12"/>
            </w:pPr>
            <w:r>
              <w:t>农业生产发展支出</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r>
              <w:t>70.54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129.86</w:t>
            </w:r>
          </w:p>
        </w:tc>
        <w:tc>
          <w:tcPr>
            <w:tcW w:w="1134" w:type="dxa"/>
            <w:vAlign w:val="center"/>
          </w:tcPr>
          <w:p>
            <w:pPr>
              <w:pStyle w:val="11"/>
            </w:pPr>
            <w:r>
              <w:t>129.86</w:t>
            </w:r>
          </w:p>
        </w:tc>
        <w:tc>
          <w:tcPr>
            <w:tcW w:w="1134" w:type="dxa"/>
            <w:vAlign w:val="center"/>
          </w:tcPr>
          <w:p>
            <w:pPr>
              <w:pStyle w:val="11"/>
            </w:pPr>
            <w:r>
              <w:t>129.86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2093.01</w:t>
            </w:r>
          </w:p>
        </w:tc>
        <w:tc>
          <w:tcPr>
            <w:tcW w:w="1134" w:type="dxa"/>
            <w:vAlign w:val="center"/>
          </w:tcPr>
          <w:p>
            <w:pPr>
              <w:pStyle w:val="11"/>
            </w:pPr>
            <w:r>
              <w:t>2093.01</w:t>
            </w:r>
          </w:p>
        </w:tc>
        <w:tc>
          <w:tcPr>
            <w:tcW w:w="1134" w:type="dxa"/>
            <w:vAlign w:val="center"/>
          </w:tcPr>
          <w:p>
            <w:pPr>
              <w:pStyle w:val="11"/>
            </w:pPr>
            <w:r>
              <w:t>2093.01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r>
              <w:t>676.43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596.31</w:t>
            </w:r>
          </w:p>
        </w:tc>
        <w:tc>
          <w:tcPr>
            <w:tcW w:w="1134" w:type="dxa"/>
            <w:vAlign w:val="center"/>
          </w:tcPr>
          <w:p>
            <w:pPr>
              <w:pStyle w:val="11"/>
            </w:pPr>
            <w:r>
              <w:t>596.31</w:t>
            </w:r>
          </w:p>
        </w:tc>
        <w:tc>
          <w:tcPr>
            <w:tcW w:w="1134" w:type="dxa"/>
            <w:vAlign w:val="center"/>
          </w:tcPr>
          <w:p>
            <w:pPr>
              <w:pStyle w:val="11"/>
            </w:pPr>
            <w:r>
              <w:t>596.31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2200109</w:t>
            </w:r>
          </w:p>
        </w:tc>
        <w:tc>
          <w:tcPr>
            <w:tcW w:w="1559" w:type="dxa"/>
            <w:vAlign w:val="center"/>
          </w:tcPr>
          <w:p>
            <w:pPr>
              <w:pStyle w:val="12"/>
            </w:pPr>
            <w:r>
              <w:t>自然资源调查与确权登记</w:t>
            </w:r>
          </w:p>
        </w:tc>
        <w:tc>
          <w:tcPr>
            <w:tcW w:w="1134" w:type="dxa"/>
            <w:vAlign w:val="center"/>
          </w:tcPr>
          <w:p>
            <w:pPr>
              <w:pStyle w:val="11"/>
            </w:pPr>
            <w:r>
              <w:t>50.12</w:t>
            </w:r>
          </w:p>
        </w:tc>
        <w:tc>
          <w:tcPr>
            <w:tcW w:w="1134" w:type="dxa"/>
            <w:vAlign w:val="center"/>
          </w:tcPr>
          <w:p>
            <w:pPr>
              <w:pStyle w:val="11"/>
            </w:pPr>
            <w:r>
              <w:t>50.12</w:t>
            </w:r>
          </w:p>
        </w:tc>
        <w:tc>
          <w:tcPr>
            <w:tcW w:w="1134" w:type="dxa"/>
            <w:vAlign w:val="center"/>
          </w:tcPr>
          <w:p>
            <w:pPr>
              <w:pStyle w:val="11"/>
            </w:pPr>
            <w:r>
              <w:t>50.12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5327.78</w:t>
            </w:r>
          </w:p>
        </w:tc>
        <w:tc>
          <w:tcPr>
            <w:tcW w:w="1361" w:type="dxa"/>
            <w:vAlign w:val="center"/>
          </w:tcPr>
          <w:p>
            <w:pPr>
              <w:pStyle w:val="15"/>
            </w:pPr>
            <w:r>
              <w:t>636.33</w:t>
            </w:r>
          </w:p>
        </w:tc>
        <w:tc>
          <w:tcPr>
            <w:tcW w:w="1361" w:type="dxa"/>
            <w:vAlign w:val="center"/>
          </w:tcPr>
          <w:p>
            <w:pPr>
              <w:pStyle w:val="15"/>
            </w:pPr>
            <w:r>
              <w:t>4691.45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13.87</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15.75</w:t>
            </w:r>
          </w:p>
        </w:tc>
        <w:tc>
          <w:tcPr>
            <w:tcW w:w="1361" w:type="dxa"/>
            <w:vAlign w:val="center"/>
          </w:tcPr>
          <w:p>
            <w:pPr>
              <w:pStyle w:val="11"/>
            </w:pPr>
            <w:r>
              <w:t>15.75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15.75</w:t>
            </w:r>
          </w:p>
        </w:tc>
        <w:tc>
          <w:tcPr>
            <w:tcW w:w="1361" w:type="dxa"/>
            <w:vAlign w:val="center"/>
          </w:tcPr>
          <w:p>
            <w:pPr>
              <w:pStyle w:val="11"/>
            </w:pPr>
            <w:r>
              <w:t>15.75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7.49</w:t>
            </w:r>
          </w:p>
        </w:tc>
        <w:tc>
          <w:tcPr>
            <w:tcW w:w="1361" w:type="dxa"/>
            <w:vAlign w:val="center"/>
          </w:tcPr>
          <w:p>
            <w:pPr>
              <w:pStyle w:val="11"/>
            </w:pPr>
            <w:r>
              <w:t>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8.26</w:t>
            </w:r>
          </w:p>
        </w:tc>
        <w:tc>
          <w:tcPr>
            <w:tcW w:w="1361" w:type="dxa"/>
            <w:vAlign w:val="center"/>
          </w:tcPr>
          <w:p>
            <w:pPr>
              <w:pStyle w:val="11"/>
            </w:pPr>
            <w:r>
              <w:t>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r>
              <w:t>4611.33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2120802</w:t>
            </w:r>
          </w:p>
        </w:tc>
        <w:tc>
          <w:tcPr>
            <w:tcW w:w="4535" w:type="dxa"/>
            <w:vAlign w:val="center"/>
          </w:tcPr>
          <w:p>
            <w:pPr>
              <w:pStyle w:val="12"/>
            </w:pPr>
            <w:r>
              <w:t>土地开发支出</w:t>
            </w:r>
          </w:p>
        </w:tc>
        <w:tc>
          <w:tcPr>
            <w:tcW w:w="1361" w:type="dxa"/>
            <w:vAlign w:val="center"/>
          </w:tcPr>
          <w:p>
            <w:pPr>
              <w:pStyle w:val="11"/>
            </w:pPr>
            <w:r>
              <w:t>1666.92</w:t>
            </w:r>
          </w:p>
        </w:tc>
        <w:tc>
          <w:tcPr>
            <w:tcW w:w="1361" w:type="dxa"/>
            <w:vAlign w:val="center"/>
          </w:tcPr>
          <w:p>
            <w:pPr>
              <w:pStyle w:val="11"/>
            </w:pPr>
          </w:p>
        </w:tc>
        <w:tc>
          <w:tcPr>
            <w:tcW w:w="1361" w:type="dxa"/>
            <w:vAlign w:val="center"/>
          </w:tcPr>
          <w:p>
            <w:pPr>
              <w:pStyle w:val="11"/>
            </w:pPr>
            <w:r>
              <w:t>1666.92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2120806</w:t>
            </w:r>
          </w:p>
        </w:tc>
        <w:tc>
          <w:tcPr>
            <w:tcW w:w="4535" w:type="dxa"/>
            <w:vAlign w:val="center"/>
          </w:tcPr>
          <w:p>
            <w:pPr>
              <w:pStyle w:val="12"/>
            </w:pPr>
            <w:r>
              <w:t>土地出让业务支出</w:t>
            </w:r>
          </w:p>
        </w:tc>
        <w:tc>
          <w:tcPr>
            <w:tcW w:w="1361" w:type="dxa"/>
            <w:vAlign w:val="center"/>
          </w:tcPr>
          <w:p>
            <w:pPr>
              <w:pStyle w:val="11"/>
            </w:pPr>
            <w:r>
              <w:t>651.00</w:t>
            </w:r>
          </w:p>
        </w:tc>
        <w:tc>
          <w:tcPr>
            <w:tcW w:w="1361" w:type="dxa"/>
            <w:vAlign w:val="center"/>
          </w:tcPr>
          <w:p>
            <w:pPr>
              <w:pStyle w:val="11"/>
            </w:pPr>
          </w:p>
        </w:tc>
        <w:tc>
          <w:tcPr>
            <w:tcW w:w="1361" w:type="dxa"/>
            <w:vAlign w:val="center"/>
          </w:tcPr>
          <w:p>
            <w:pPr>
              <w:pStyle w:val="11"/>
            </w:pPr>
            <w:r>
              <w:t>651.00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2120814</w:t>
            </w:r>
          </w:p>
        </w:tc>
        <w:tc>
          <w:tcPr>
            <w:tcW w:w="4535" w:type="dxa"/>
            <w:vAlign w:val="center"/>
          </w:tcPr>
          <w:p>
            <w:pPr>
              <w:pStyle w:val="12"/>
            </w:pPr>
            <w:r>
              <w:t>农业生产发展支出</w:t>
            </w:r>
          </w:p>
        </w:tc>
        <w:tc>
          <w:tcPr>
            <w:tcW w:w="1361" w:type="dxa"/>
            <w:vAlign w:val="center"/>
          </w:tcPr>
          <w:p>
            <w:pPr>
              <w:pStyle w:val="11"/>
            </w:pPr>
            <w:r>
              <w:t>70.54</w:t>
            </w:r>
          </w:p>
        </w:tc>
        <w:tc>
          <w:tcPr>
            <w:tcW w:w="1361" w:type="dxa"/>
            <w:vAlign w:val="center"/>
          </w:tcPr>
          <w:p>
            <w:pPr>
              <w:pStyle w:val="11"/>
            </w:pPr>
          </w:p>
        </w:tc>
        <w:tc>
          <w:tcPr>
            <w:tcW w:w="1361" w:type="dxa"/>
            <w:vAlign w:val="center"/>
          </w:tcPr>
          <w:p>
            <w:pPr>
              <w:pStyle w:val="11"/>
            </w:pPr>
            <w:r>
              <w:t>70.54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129.86</w:t>
            </w:r>
          </w:p>
        </w:tc>
        <w:tc>
          <w:tcPr>
            <w:tcW w:w="1361" w:type="dxa"/>
            <w:vAlign w:val="center"/>
          </w:tcPr>
          <w:p>
            <w:pPr>
              <w:pStyle w:val="11"/>
            </w:pPr>
          </w:p>
        </w:tc>
        <w:tc>
          <w:tcPr>
            <w:tcW w:w="1361" w:type="dxa"/>
            <w:vAlign w:val="center"/>
          </w:tcPr>
          <w:p>
            <w:pPr>
              <w:pStyle w:val="11"/>
            </w:pPr>
            <w:r>
              <w:t>129.86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2093.01</w:t>
            </w:r>
          </w:p>
        </w:tc>
        <w:tc>
          <w:tcPr>
            <w:tcW w:w="1361" w:type="dxa"/>
            <w:vAlign w:val="center"/>
          </w:tcPr>
          <w:p>
            <w:pPr>
              <w:pStyle w:val="11"/>
            </w:pPr>
          </w:p>
        </w:tc>
        <w:tc>
          <w:tcPr>
            <w:tcW w:w="1361" w:type="dxa"/>
            <w:vAlign w:val="center"/>
          </w:tcPr>
          <w:p>
            <w:pPr>
              <w:pStyle w:val="11"/>
            </w:pPr>
            <w:r>
              <w:t>2093.01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676.43</w:t>
            </w:r>
          </w:p>
        </w:tc>
        <w:tc>
          <w:tcPr>
            <w:tcW w:w="1361" w:type="dxa"/>
            <w:vAlign w:val="center"/>
          </w:tcPr>
          <w:p>
            <w:pPr>
              <w:pStyle w:val="11"/>
            </w:pPr>
            <w:r>
              <w:t>596.31</w:t>
            </w:r>
          </w:p>
        </w:tc>
        <w:tc>
          <w:tcPr>
            <w:tcW w:w="1361" w:type="dxa"/>
            <w:vAlign w:val="center"/>
          </w:tcPr>
          <w:p>
            <w:pPr>
              <w:pStyle w:val="11"/>
            </w:pPr>
            <w:r>
              <w:t>80.12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676.43</w:t>
            </w:r>
          </w:p>
        </w:tc>
        <w:tc>
          <w:tcPr>
            <w:tcW w:w="1361" w:type="dxa"/>
            <w:vAlign w:val="center"/>
          </w:tcPr>
          <w:p>
            <w:pPr>
              <w:pStyle w:val="11"/>
            </w:pPr>
            <w:r>
              <w:t>596.31</w:t>
            </w:r>
          </w:p>
        </w:tc>
        <w:tc>
          <w:tcPr>
            <w:tcW w:w="1361" w:type="dxa"/>
            <w:vAlign w:val="center"/>
          </w:tcPr>
          <w:p>
            <w:pPr>
              <w:pStyle w:val="11"/>
            </w:pPr>
            <w:r>
              <w:t>80.12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596.31</w:t>
            </w:r>
          </w:p>
        </w:tc>
        <w:tc>
          <w:tcPr>
            <w:tcW w:w="1361" w:type="dxa"/>
            <w:vAlign w:val="center"/>
          </w:tcPr>
          <w:p>
            <w:pPr>
              <w:pStyle w:val="11"/>
            </w:pPr>
            <w:r>
              <w:t>596.31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2200109</w:t>
            </w:r>
          </w:p>
        </w:tc>
        <w:tc>
          <w:tcPr>
            <w:tcW w:w="4535" w:type="dxa"/>
            <w:vAlign w:val="center"/>
          </w:tcPr>
          <w:p>
            <w:pPr>
              <w:pStyle w:val="12"/>
            </w:pPr>
            <w:r>
              <w:t>自然资源调查与确权登记</w:t>
            </w:r>
          </w:p>
        </w:tc>
        <w:tc>
          <w:tcPr>
            <w:tcW w:w="1361" w:type="dxa"/>
            <w:vAlign w:val="center"/>
          </w:tcPr>
          <w:p>
            <w:pPr>
              <w:pStyle w:val="11"/>
            </w:pPr>
            <w:r>
              <w:t>50.12</w:t>
            </w:r>
          </w:p>
        </w:tc>
        <w:tc>
          <w:tcPr>
            <w:tcW w:w="1361" w:type="dxa"/>
            <w:vAlign w:val="center"/>
          </w:tcPr>
          <w:p>
            <w:pPr>
              <w:pStyle w:val="11"/>
            </w:pPr>
          </w:p>
        </w:tc>
        <w:tc>
          <w:tcPr>
            <w:tcW w:w="1361" w:type="dxa"/>
            <w:vAlign w:val="center"/>
          </w:tcPr>
          <w:p>
            <w:pPr>
              <w:pStyle w:val="11"/>
            </w:pPr>
            <w:r>
              <w:t>50.12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10.40</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716.45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4611.33</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13.87</w:t>
            </w:r>
          </w:p>
        </w:tc>
        <w:tc>
          <w:tcPr>
            <w:tcW w:w="1474" w:type="dxa"/>
            <w:vAlign w:val="center"/>
          </w:tcPr>
          <w:p>
            <w:pPr>
              <w:pStyle w:val="11"/>
            </w:pPr>
            <w:r>
              <w:t>13.87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15.75</w:t>
            </w:r>
          </w:p>
        </w:tc>
        <w:tc>
          <w:tcPr>
            <w:tcW w:w="1474" w:type="dxa"/>
            <w:vAlign w:val="center"/>
          </w:tcPr>
          <w:p>
            <w:pPr>
              <w:pStyle w:val="11"/>
            </w:pPr>
            <w:r>
              <w:t>15.75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4611.33</w:t>
            </w:r>
          </w:p>
        </w:tc>
        <w:tc>
          <w:tcPr>
            <w:tcW w:w="1474" w:type="dxa"/>
            <w:vAlign w:val="center"/>
          </w:tcPr>
          <w:p>
            <w:pPr>
              <w:pStyle w:val="11"/>
            </w:pPr>
          </w:p>
        </w:tc>
        <w:tc>
          <w:tcPr>
            <w:tcW w:w="1474" w:type="dxa"/>
            <w:vAlign w:val="center"/>
          </w:tcPr>
          <w:p>
            <w:pPr>
              <w:pStyle w:val="11"/>
            </w:pPr>
            <w:r>
              <w:t>4611.33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676.43</w:t>
            </w:r>
          </w:p>
        </w:tc>
        <w:tc>
          <w:tcPr>
            <w:tcW w:w="1474" w:type="dxa"/>
            <w:vAlign w:val="center"/>
          </w:tcPr>
          <w:p>
            <w:pPr>
              <w:pStyle w:val="11"/>
            </w:pPr>
            <w:r>
              <w:t>676.43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10.40</w:t>
            </w:r>
          </w:p>
        </w:tc>
        <w:tc>
          <w:tcPr>
            <w:tcW w:w="1474" w:type="dxa"/>
            <w:vAlign w:val="center"/>
          </w:tcPr>
          <w:p>
            <w:pPr>
              <w:pStyle w:val="11"/>
            </w:pPr>
            <w:r>
              <w:t>10.40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5327.78</w:t>
            </w:r>
          </w:p>
        </w:tc>
        <w:tc>
          <w:tcPr>
            <w:tcW w:w="3402" w:type="dxa"/>
            <w:vAlign w:val="center"/>
          </w:tcPr>
          <w:p>
            <w:pPr>
              <w:pStyle w:val="14"/>
            </w:pPr>
            <w:r>
              <w:t>本年支出合计</w:t>
            </w:r>
          </w:p>
        </w:tc>
        <w:tc>
          <w:tcPr>
            <w:tcW w:w="1474" w:type="dxa"/>
            <w:vAlign w:val="center"/>
          </w:tcPr>
          <w:p>
            <w:pPr>
              <w:pStyle w:val="15"/>
            </w:pPr>
            <w:r>
              <w:t>5327.78</w:t>
            </w:r>
          </w:p>
        </w:tc>
        <w:tc>
          <w:tcPr>
            <w:tcW w:w="1474" w:type="dxa"/>
            <w:vAlign w:val="center"/>
          </w:tcPr>
          <w:p>
            <w:pPr>
              <w:pStyle w:val="15"/>
            </w:pPr>
            <w:r>
              <w:t>716.45</w:t>
            </w:r>
          </w:p>
        </w:tc>
        <w:tc>
          <w:tcPr>
            <w:tcW w:w="1474" w:type="dxa"/>
            <w:vAlign w:val="center"/>
          </w:tcPr>
          <w:p>
            <w:pPr>
              <w:pStyle w:val="15"/>
            </w:pPr>
            <w:r>
              <w:t>4611.33</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5327.78</w:t>
            </w:r>
          </w:p>
        </w:tc>
        <w:tc>
          <w:tcPr>
            <w:tcW w:w="3402" w:type="dxa"/>
            <w:vAlign w:val="center"/>
          </w:tcPr>
          <w:p>
            <w:pPr>
              <w:pStyle w:val="14"/>
            </w:pPr>
            <w:r>
              <w:t>支出总计</w:t>
            </w:r>
          </w:p>
        </w:tc>
        <w:tc>
          <w:tcPr>
            <w:tcW w:w="1474" w:type="dxa"/>
            <w:vAlign w:val="center"/>
          </w:tcPr>
          <w:p>
            <w:pPr>
              <w:pStyle w:val="15"/>
            </w:pPr>
            <w:r>
              <w:t>5327.78</w:t>
            </w:r>
          </w:p>
        </w:tc>
        <w:tc>
          <w:tcPr>
            <w:tcW w:w="1474" w:type="dxa"/>
            <w:vAlign w:val="center"/>
          </w:tcPr>
          <w:p>
            <w:pPr>
              <w:pStyle w:val="15"/>
            </w:pPr>
            <w:r>
              <w:t>716.45</w:t>
            </w:r>
          </w:p>
        </w:tc>
        <w:tc>
          <w:tcPr>
            <w:tcW w:w="1474" w:type="dxa"/>
            <w:vAlign w:val="center"/>
          </w:tcPr>
          <w:p>
            <w:pPr>
              <w:pStyle w:val="15"/>
            </w:pPr>
            <w:r>
              <w:t>4611.33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716.45</w:t>
            </w:r>
          </w:p>
        </w:tc>
        <w:tc>
          <w:tcPr>
            <w:tcW w:w="2551" w:type="dxa"/>
            <w:vAlign w:val="center"/>
          </w:tcPr>
          <w:p>
            <w:pPr>
              <w:pStyle w:val="15"/>
            </w:pPr>
            <w:r>
              <w:t>636.33</w:t>
            </w:r>
          </w:p>
        </w:tc>
        <w:tc>
          <w:tcPr>
            <w:tcW w:w="2551" w:type="dxa"/>
            <w:vAlign w:val="center"/>
          </w:tcPr>
          <w:p>
            <w:pPr>
              <w:pStyle w:val="15"/>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15.75</w:t>
            </w:r>
          </w:p>
        </w:tc>
        <w:tc>
          <w:tcPr>
            <w:tcW w:w="2551" w:type="dxa"/>
            <w:vAlign w:val="center"/>
          </w:tcPr>
          <w:p>
            <w:pPr>
              <w:pStyle w:val="11"/>
            </w:pPr>
            <w:r>
              <w:t>15.75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676.43</w:t>
            </w:r>
          </w:p>
        </w:tc>
        <w:tc>
          <w:tcPr>
            <w:tcW w:w="2551" w:type="dxa"/>
            <w:vAlign w:val="center"/>
          </w:tcPr>
          <w:p>
            <w:pPr>
              <w:pStyle w:val="11"/>
            </w:pPr>
            <w:r>
              <w:t>596.31</w:t>
            </w:r>
          </w:p>
        </w:tc>
        <w:tc>
          <w:tcPr>
            <w:tcW w:w="2551" w:type="dxa"/>
            <w:vAlign w:val="center"/>
          </w:tcPr>
          <w:p>
            <w:pPr>
              <w:pStyle w:val="11"/>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676.43</w:t>
            </w:r>
          </w:p>
        </w:tc>
        <w:tc>
          <w:tcPr>
            <w:tcW w:w="2551" w:type="dxa"/>
            <w:vAlign w:val="center"/>
          </w:tcPr>
          <w:p>
            <w:pPr>
              <w:pStyle w:val="11"/>
            </w:pPr>
            <w:r>
              <w:t>596.31</w:t>
            </w:r>
          </w:p>
        </w:tc>
        <w:tc>
          <w:tcPr>
            <w:tcW w:w="2551" w:type="dxa"/>
            <w:vAlign w:val="center"/>
          </w:tcPr>
          <w:p>
            <w:pPr>
              <w:pStyle w:val="11"/>
            </w:pPr>
            <w:r>
              <w:t>80.12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596.31</w:t>
            </w:r>
          </w:p>
        </w:tc>
        <w:tc>
          <w:tcPr>
            <w:tcW w:w="2551" w:type="dxa"/>
            <w:vAlign w:val="center"/>
          </w:tcPr>
          <w:p>
            <w:pPr>
              <w:pStyle w:val="11"/>
            </w:pPr>
            <w:r>
              <w:t>596.31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2200109</w:t>
            </w:r>
          </w:p>
        </w:tc>
        <w:tc>
          <w:tcPr>
            <w:tcW w:w="4535" w:type="dxa"/>
            <w:vAlign w:val="center"/>
          </w:tcPr>
          <w:p>
            <w:pPr>
              <w:pStyle w:val="12"/>
            </w:pPr>
            <w:r>
              <w:t>自然资源调查与确权登记</w:t>
            </w:r>
          </w:p>
        </w:tc>
        <w:tc>
          <w:tcPr>
            <w:tcW w:w="2551" w:type="dxa"/>
            <w:vAlign w:val="center"/>
          </w:tcPr>
          <w:p>
            <w:pPr>
              <w:pStyle w:val="11"/>
            </w:pPr>
            <w:r>
              <w:t>50.12</w:t>
            </w:r>
          </w:p>
        </w:tc>
        <w:tc>
          <w:tcPr>
            <w:tcW w:w="2551" w:type="dxa"/>
            <w:vAlign w:val="center"/>
          </w:tcPr>
          <w:p>
            <w:pPr>
              <w:pStyle w:val="11"/>
            </w:pPr>
          </w:p>
        </w:tc>
        <w:tc>
          <w:tcPr>
            <w:tcW w:w="2551" w:type="dxa"/>
            <w:vAlign w:val="center"/>
          </w:tcPr>
          <w:p>
            <w:pPr>
              <w:pStyle w:val="11"/>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636.33</w:t>
            </w:r>
          </w:p>
        </w:tc>
        <w:tc>
          <w:tcPr>
            <w:tcW w:w="2551" w:type="dxa"/>
            <w:vAlign w:val="center"/>
          </w:tcPr>
          <w:p>
            <w:pPr>
              <w:pStyle w:val="15"/>
            </w:pPr>
            <w:r>
              <w:t>501.92</w:t>
            </w:r>
          </w:p>
        </w:tc>
        <w:tc>
          <w:tcPr>
            <w:tcW w:w="2551" w:type="dxa"/>
            <w:vAlign w:val="center"/>
          </w:tcPr>
          <w:p>
            <w:pPr>
              <w:pStyle w:val="15"/>
            </w:pPr>
            <w:r>
              <w:t>134.41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499.39</w:t>
            </w:r>
          </w:p>
        </w:tc>
        <w:tc>
          <w:tcPr>
            <w:tcW w:w="2551" w:type="dxa"/>
            <w:vAlign w:val="center"/>
          </w:tcPr>
          <w:p>
            <w:pPr>
              <w:pStyle w:val="11"/>
            </w:pPr>
            <w:r>
              <w:t>499.39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40.24</w:t>
            </w:r>
          </w:p>
        </w:tc>
        <w:tc>
          <w:tcPr>
            <w:tcW w:w="2551" w:type="dxa"/>
            <w:vAlign w:val="center"/>
          </w:tcPr>
          <w:p>
            <w:pPr>
              <w:pStyle w:val="11"/>
            </w:pPr>
            <w:r>
              <w:t>40.24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24.68</w:t>
            </w:r>
          </w:p>
        </w:tc>
        <w:tc>
          <w:tcPr>
            <w:tcW w:w="2551" w:type="dxa"/>
            <w:vAlign w:val="center"/>
          </w:tcPr>
          <w:p>
            <w:pPr>
              <w:pStyle w:val="11"/>
            </w:pPr>
            <w:r>
              <w:t>24.68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46.41</w:t>
            </w:r>
          </w:p>
        </w:tc>
        <w:tc>
          <w:tcPr>
            <w:tcW w:w="2551" w:type="dxa"/>
            <w:vAlign w:val="center"/>
          </w:tcPr>
          <w:p>
            <w:pPr>
              <w:pStyle w:val="11"/>
            </w:pPr>
            <w:r>
              <w:t>46.41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346.99</w:t>
            </w:r>
          </w:p>
        </w:tc>
        <w:tc>
          <w:tcPr>
            <w:tcW w:w="2551" w:type="dxa"/>
            <w:vAlign w:val="center"/>
          </w:tcPr>
          <w:p>
            <w:pPr>
              <w:pStyle w:val="11"/>
            </w:pPr>
            <w:r>
              <w:t>346.99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134.41</w:t>
            </w:r>
          </w:p>
        </w:tc>
        <w:tc>
          <w:tcPr>
            <w:tcW w:w="2551" w:type="dxa"/>
            <w:vAlign w:val="center"/>
          </w:tcPr>
          <w:p>
            <w:pPr>
              <w:pStyle w:val="11"/>
            </w:pPr>
          </w:p>
        </w:tc>
        <w:tc>
          <w:tcPr>
            <w:tcW w:w="2551" w:type="dxa"/>
            <w:vAlign w:val="center"/>
          </w:tcPr>
          <w:p>
            <w:pPr>
              <w:pStyle w:val="11"/>
            </w:pPr>
            <w:r>
              <w:t>134.41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16.49</w:t>
            </w:r>
          </w:p>
        </w:tc>
        <w:tc>
          <w:tcPr>
            <w:tcW w:w="2551" w:type="dxa"/>
            <w:vAlign w:val="center"/>
          </w:tcPr>
          <w:p>
            <w:pPr>
              <w:pStyle w:val="11"/>
            </w:pPr>
          </w:p>
        </w:tc>
        <w:tc>
          <w:tcPr>
            <w:tcW w:w="2551" w:type="dxa"/>
            <w:vAlign w:val="center"/>
          </w:tcPr>
          <w:p>
            <w:pPr>
              <w:pStyle w:val="11"/>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12.56</w:t>
            </w:r>
          </w:p>
        </w:tc>
        <w:tc>
          <w:tcPr>
            <w:tcW w:w="2551" w:type="dxa"/>
            <w:vAlign w:val="center"/>
          </w:tcPr>
          <w:p>
            <w:pPr>
              <w:pStyle w:val="11"/>
            </w:pPr>
          </w:p>
        </w:tc>
        <w:tc>
          <w:tcPr>
            <w:tcW w:w="2551" w:type="dxa"/>
            <w:vAlign w:val="center"/>
          </w:tcPr>
          <w:p>
            <w:pPr>
              <w:pStyle w:val="11"/>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13.08</w:t>
            </w:r>
          </w:p>
        </w:tc>
        <w:tc>
          <w:tcPr>
            <w:tcW w:w="2551" w:type="dxa"/>
            <w:vAlign w:val="center"/>
          </w:tcPr>
          <w:p>
            <w:pPr>
              <w:pStyle w:val="11"/>
            </w:pPr>
          </w:p>
        </w:tc>
        <w:tc>
          <w:tcPr>
            <w:tcW w:w="2551" w:type="dxa"/>
            <w:vAlign w:val="center"/>
          </w:tcPr>
          <w:p>
            <w:pPr>
              <w:pStyle w:val="11"/>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7.85</w:t>
            </w:r>
          </w:p>
        </w:tc>
        <w:tc>
          <w:tcPr>
            <w:tcW w:w="2551" w:type="dxa"/>
            <w:vAlign w:val="center"/>
          </w:tcPr>
          <w:p>
            <w:pPr>
              <w:pStyle w:val="11"/>
            </w:pPr>
          </w:p>
        </w:tc>
        <w:tc>
          <w:tcPr>
            <w:tcW w:w="2551" w:type="dxa"/>
            <w:vAlign w:val="center"/>
          </w:tcPr>
          <w:p>
            <w:pPr>
              <w:pStyle w:val="11"/>
            </w:pPr>
            <w:r>
              <w:t>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2.36</w:t>
            </w:r>
          </w:p>
        </w:tc>
        <w:tc>
          <w:tcPr>
            <w:tcW w:w="2551" w:type="dxa"/>
            <w:vAlign w:val="center"/>
          </w:tcPr>
          <w:p>
            <w:pPr>
              <w:pStyle w:val="11"/>
            </w:pPr>
          </w:p>
        </w:tc>
        <w:tc>
          <w:tcPr>
            <w:tcW w:w="2551" w:type="dxa"/>
            <w:vAlign w:val="center"/>
          </w:tcPr>
          <w:p>
            <w:pPr>
              <w:pStyle w:val="11"/>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4.71</w:t>
            </w:r>
          </w:p>
        </w:tc>
        <w:tc>
          <w:tcPr>
            <w:tcW w:w="2551" w:type="dxa"/>
            <w:vAlign w:val="center"/>
          </w:tcPr>
          <w:p>
            <w:pPr>
              <w:pStyle w:val="11"/>
            </w:pPr>
          </w:p>
        </w:tc>
        <w:tc>
          <w:tcPr>
            <w:tcW w:w="2551" w:type="dxa"/>
            <w:vAlign w:val="center"/>
          </w:tcPr>
          <w:p>
            <w:pPr>
              <w:pStyle w:val="11"/>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64.20</w:t>
            </w:r>
          </w:p>
        </w:tc>
        <w:tc>
          <w:tcPr>
            <w:tcW w:w="2551" w:type="dxa"/>
            <w:vAlign w:val="center"/>
          </w:tcPr>
          <w:p>
            <w:pPr>
              <w:pStyle w:val="11"/>
            </w:pPr>
          </w:p>
        </w:tc>
        <w:tc>
          <w:tcPr>
            <w:tcW w:w="2551" w:type="dxa"/>
            <w:vAlign w:val="center"/>
          </w:tcPr>
          <w:p>
            <w:pPr>
              <w:pStyle w:val="11"/>
            </w:pPr>
            <w:r>
              <w:t>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2.53</w:t>
            </w:r>
          </w:p>
        </w:tc>
        <w:tc>
          <w:tcPr>
            <w:tcW w:w="2551" w:type="dxa"/>
            <w:vAlign w:val="center"/>
          </w:tcPr>
          <w:p>
            <w:pPr>
              <w:pStyle w:val="11"/>
            </w:pPr>
            <w:r>
              <w:t>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2.10</w:t>
            </w:r>
          </w:p>
        </w:tc>
        <w:tc>
          <w:tcPr>
            <w:tcW w:w="2551" w:type="dxa"/>
            <w:vAlign w:val="center"/>
          </w:tcPr>
          <w:p>
            <w:pPr>
              <w:pStyle w:val="11"/>
            </w:pPr>
            <w:r>
              <w:t>2.10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4611.33</w:t>
            </w:r>
          </w:p>
        </w:tc>
        <w:tc>
          <w:tcPr>
            <w:tcW w:w="2551" w:type="dxa"/>
            <w:vAlign w:val="center"/>
          </w:tcPr>
          <w:p>
            <w:pPr>
              <w:pStyle w:val="15"/>
            </w:pPr>
          </w:p>
        </w:tc>
        <w:tc>
          <w:tcPr>
            <w:tcW w:w="2551" w:type="dxa"/>
            <w:vAlign w:val="center"/>
          </w:tcPr>
          <w:p>
            <w:pPr>
              <w:pStyle w:val="15"/>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4611.33</w:t>
            </w:r>
          </w:p>
        </w:tc>
        <w:tc>
          <w:tcPr>
            <w:tcW w:w="2551" w:type="dxa"/>
            <w:vAlign w:val="center"/>
          </w:tcPr>
          <w:p>
            <w:pPr>
              <w:pStyle w:val="11"/>
            </w:pPr>
          </w:p>
        </w:tc>
        <w:tc>
          <w:tcPr>
            <w:tcW w:w="2551"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4611.33</w:t>
            </w:r>
          </w:p>
        </w:tc>
        <w:tc>
          <w:tcPr>
            <w:tcW w:w="2551" w:type="dxa"/>
            <w:vAlign w:val="center"/>
          </w:tcPr>
          <w:p>
            <w:pPr>
              <w:pStyle w:val="11"/>
            </w:pPr>
          </w:p>
        </w:tc>
        <w:tc>
          <w:tcPr>
            <w:tcW w:w="2551" w:type="dxa"/>
            <w:vAlign w:val="center"/>
          </w:tcPr>
          <w:p>
            <w:pPr>
              <w:pStyle w:val="11"/>
            </w:pPr>
            <w:r>
              <w:t>4611.33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2120802</w:t>
            </w:r>
          </w:p>
        </w:tc>
        <w:tc>
          <w:tcPr>
            <w:tcW w:w="4535" w:type="dxa"/>
            <w:vAlign w:val="center"/>
          </w:tcPr>
          <w:p>
            <w:pPr>
              <w:pStyle w:val="12"/>
            </w:pPr>
            <w:r>
              <w:t>土地开发支出</w:t>
            </w:r>
          </w:p>
        </w:tc>
        <w:tc>
          <w:tcPr>
            <w:tcW w:w="2551" w:type="dxa"/>
            <w:vAlign w:val="center"/>
          </w:tcPr>
          <w:p>
            <w:pPr>
              <w:pStyle w:val="11"/>
            </w:pPr>
            <w:r>
              <w:t>1666.92</w:t>
            </w:r>
          </w:p>
        </w:tc>
        <w:tc>
          <w:tcPr>
            <w:tcW w:w="2551" w:type="dxa"/>
            <w:vAlign w:val="center"/>
          </w:tcPr>
          <w:p>
            <w:pPr>
              <w:pStyle w:val="11"/>
            </w:pPr>
          </w:p>
        </w:tc>
        <w:tc>
          <w:tcPr>
            <w:tcW w:w="2551" w:type="dxa"/>
            <w:vAlign w:val="center"/>
          </w:tcPr>
          <w:p>
            <w:pPr>
              <w:pStyle w:val="11"/>
            </w:pPr>
            <w:r>
              <w:t>1666.92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2120806</w:t>
            </w:r>
          </w:p>
        </w:tc>
        <w:tc>
          <w:tcPr>
            <w:tcW w:w="4535" w:type="dxa"/>
            <w:vAlign w:val="center"/>
          </w:tcPr>
          <w:p>
            <w:pPr>
              <w:pStyle w:val="12"/>
            </w:pPr>
            <w:r>
              <w:t>土地出让业务支出</w:t>
            </w:r>
          </w:p>
        </w:tc>
        <w:tc>
          <w:tcPr>
            <w:tcW w:w="2551" w:type="dxa"/>
            <w:vAlign w:val="center"/>
          </w:tcPr>
          <w:p>
            <w:pPr>
              <w:pStyle w:val="11"/>
            </w:pPr>
            <w:r>
              <w:t>651.00</w:t>
            </w:r>
          </w:p>
        </w:tc>
        <w:tc>
          <w:tcPr>
            <w:tcW w:w="2551" w:type="dxa"/>
            <w:vAlign w:val="center"/>
          </w:tcPr>
          <w:p>
            <w:pPr>
              <w:pStyle w:val="11"/>
            </w:pPr>
          </w:p>
        </w:tc>
        <w:tc>
          <w:tcPr>
            <w:tcW w:w="2551" w:type="dxa"/>
            <w:vAlign w:val="center"/>
          </w:tcPr>
          <w:p>
            <w:pPr>
              <w:pStyle w:val="11"/>
            </w:pPr>
            <w:r>
              <w:t>651.00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70.54</w:t>
            </w:r>
          </w:p>
        </w:tc>
        <w:tc>
          <w:tcPr>
            <w:tcW w:w="2551" w:type="dxa"/>
            <w:vAlign w:val="center"/>
          </w:tcPr>
          <w:p>
            <w:pPr>
              <w:pStyle w:val="11"/>
            </w:pPr>
          </w:p>
        </w:tc>
        <w:tc>
          <w:tcPr>
            <w:tcW w:w="2551" w:type="dxa"/>
            <w:vAlign w:val="center"/>
          </w:tcPr>
          <w:p>
            <w:pPr>
              <w:pStyle w:val="11"/>
            </w:pPr>
            <w:r>
              <w:t>70.54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129.86</w:t>
            </w:r>
          </w:p>
        </w:tc>
        <w:tc>
          <w:tcPr>
            <w:tcW w:w="2551" w:type="dxa"/>
            <w:vAlign w:val="center"/>
          </w:tcPr>
          <w:p>
            <w:pPr>
              <w:pStyle w:val="11"/>
            </w:pPr>
          </w:p>
        </w:tc>
        <w:tc>
          <w:tcPr>
            <w:tcW w:w="2551" w:type="dxa"/>
            <w:vAlign w:val="center"/>
          </w:tcPr>
          <w:p>
            <w:pPr>
              <w:pStyle w:val="11"/>
            </w:pPr>
            <w:r>
              <w:t>129.86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2093.01</w:t>
            </w:r>
          </w:p>
        </w:tc>
        <w:tc>
          <w:tcPr>
            <w:tcW w:w="2551" w:type="dxa"/>
            <w:vAlign w:val="center"/>
          </w:tcPr>
          <w:p>
            <w:pPr>
              <w:pStyle w:val="11"/>
            </w:pPr>
          </w:p>
        </w:tc>
        <w:tc>
          <w:tcPr>
            <w:tcW w:w="2551" w:type="dxa"/>
            <w:vAlign w:val="center"/>
          </w:tcPr>
          <w:p>
            <w:pPr>
              <w:pStyle w:val="11"/>
            </w:pPr>
            <w:r>
              <w:t>2093.01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唐山市自然资源和规划局丰润区分局本级2022年单位预算信息公开情况说明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20" w:name="_GoBack"/>
      <w:bookmarkEnd w:id="20"/>
      <w:r>
        <w:rPr>
          <w:rFonts w:eastAsia="方正仿宋_GBK"/>
          <w:color w:val="000000"/>
          <w:sz w:val="28"/>
        </w:rPr>
        <w:t>预算法》、《地方预决算公开操作规程》和《关于进一步推进预算公开工作的实施意见》规定，现将唐山市自然资源和规划局丰润区分局本级2022年单位预算公开如下：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1、履行全民所有土地、矿产、湿地、水等自然资源资产所有者职责和所有国土空间用途管制职责。</w:t>
      </w:r>
      <w:r>
        <w:rPr>
          <w:rFonts w:hint="eastAsia" w:ascii="仿宋" w:hAnsi="仿宋" w:eastAsia="仿宋" w:cs="仿宋_GB2312"/>
          <w:spacing w:val="14"/>
          <w:sz w:val="32"/>
          <w:szCs w:val="32"/>
        </w:rPr>
        <w:t>贯彻国家、省、市自然资源和规划的相关法律、法规、规章、政策。</w:t>
      </w:r>
      <w:r>
        <w:rPr>
          <w:rFonts w:hint="eastAsia" w:ascii="仿宋" w:hAnsi="仿宋" w:eastAsia="仿宋" w:cs="仿宋_GB2312"/>
          <w:sz w:val="32"/>
          <w:szCs w:val="32"/>
        </w:rPr>
        <w:t>贯彻执行自然资源和国土空间规划及测绘等</w:t>
      </w:r>
      <w:r>
        <w:rPr>
          <w:rFonts w:hint="eastAsia" w:ascii="仿宋" w:hAnsi="仿宋" w:eastAsia="仿宋"/>
          <w:sz w:val="32"/>
          <w:szCs w:val="32"/>
        </w:rPr>
        <w:t>地方规范性文件</w:t>
      </w:r>
      <w:r>
        <w:rPr>
          <w:rFonts w:hint="eastAsia" w:ascii="仿宋" w:hAnsi="仿宋" w:eastAsia="仿宋" w:cs="仿宋_GB2312"/>
          <w:sz w:val="32"/>
          <w:szCs w:val="32"/>
        </w:rPr>
        <w:t>和自然资源保护、开发利用规划。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2、负责辖区自然资源调查监测评价。贯彻执行国家自然资源调查监测评价的指标体系、统计标准和自然资源调查监测评价制度。实施自然资源基础调查、专项调查和监测。</w:t>
      </w:r>
      <w:r>
        <w:rPr>
          <w:rFonts w:hint="eastAsia" w:ascii="仿宋" w:hAnsi="仿宋" w:eastAsia="仿宋" w:cs="仿宋_GB2312"/>
          <w:color w:val="000000"/>
          <w:sz w:val="32"/>
          <w:szCs w:val="32"/>
        </w:rPr>
        <w:t>负责自然资源调查监测评价成果的监督管理和信息发布。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负责辖区自然资源资产有偿使用工作。贯彻执行国家全民所有自然资源资产统计制度，负责全民所有自然资源资产核算。负责编制全民所有自然资源资产负债表。参与拟订全民所有自然资源资产划拨、出让、租赁、作价出资和土地储备政策，合理配置全民所有自然资源资产。负责自然资源资产价值评估管理，依法收缴相关资产收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负责建立辖区空间规划体系并监督实施。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法律、法规和相关政策。负责土地等自然资源年度利用计划管理工作。负责土地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7、负责统筹辖区国土空间生态修复。牵头组织国土空间生态修复并实施有关生态修复工程。负责国土空间综合整治、</w:t>
      </w:r>
      <w:r>
        <w:rPr>
          <w:rFonts w:hint="eastAsia" w:ascii="仿宋" w:hAnsi="仿宋" w:eastAsia="仿宋" w:cs="仿宋_GB2312"/>
          <w:color w:val="000000"/>
          <w:sz w:val="32"/>
          <w:szCs w:val="32"/>
        </w:rPr>
        <w:t>土地整理复垦、矿山地质环境恢复治理、工矿废弃地复垦利用</w:t>
      </w:r>
      <w:r>
        <w:rPr>
          <w:rFonts w:hint="eastAsia" w:ascii="仿宋" w:hAnsi="仿宋" w:eastAsia="仿宋"/>
          <w:sz w:val="32"/>
          <w:szCs w:val="32"/>
        </w:rPr>
        <w:t>等工作。牵头建立和实施生态保护补偿制度，参与制定合理利用社会资金进行生态修复的政策措施并组织实施，提出备选项目。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8、负责组织实施最严格的耕地保护制度。牵头落实耕地保护政策，负责耕地数量、质量、生态保护。组织实施耕地保护责任目标考核和永久基本农田特殊保护。</w:t>
      </w:r>
      <w:r>
        <w:rPr>
          <w:rFonts w:hint="eastAsia" w:ascii="仿宋" w:hAnsi="仿宋" w:eastAsia="仿宋"/>
          <w:color w:val="000000"/>
          <w:sz w:val="32"/>
          <w:szCs w:val="32"/>
        </w:rPr>
        <w:t>落实</w:t>
      </w:r>
      <w:r>
        <w:rPr>
          <w:rFonts w:hint="eastAsia" w:ascii="仿宋" w:hAnsi="仿宋" w:eastAsia="仿宋"/>
          <w:sz w:val="32"/>
          <w:szCs w:val="32"/>
        </w:rPr>
        <w:t>耕地占补平衡制度。</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sz w:val="32"/>
          <w:szCs w:val="32"/>
        </w:rPr>
        <w:t>9、</w:t>
      </w:r>
      <w:r>
        <w:rPr>
          <w:rFonts w:hint="eastAsia" w:ascii="仿宋" w:hAnsi="仿宋" w:eastAsia="仿宋" w:cs="仿宋_GB2312"/>
          <w:color w:val="000000"/>
          <w:sz w:val="32"/>
          <w:szCs w:val="32"/>
        </w:rPr>
        <w:t>负责管理辖区地质勘查行业和地质工作。编制地质勘查规划并监督检查执行情况。管理地质勘查项目。组织实施重大地质矿产勘查专项。负责古生物化石的监督管理。</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10、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pPr>
        <w:spacing w:line="360" w:lineRule="auto"/>
        <w:ind w:firstLine="640" w:firstLineChars="200"/>
        <w:rPr>
          <w:rFonts w:ascii="仿宋" w:hAnsi="仿宋" w:eastAsia="仿宋" w:cs="仿宋_GB2312"/>
          <w:color w:val="000000"/>
          <w:sz w:val="32"/>
          <w:szCs w:val="32"/>
          <w:u w:val="single"/>
        </w:rPr>
      </w:pPr>
      <w:r>
        <w:rPr>
          <w:rFonts w:hint="eastAsia" w:ascii="仿宋" w:hAnsi="仿宋" w:eastAsia="仿宋"/>
          <w:sz w:val="32"/>
          <w:szCs w:val="32"/>
        </w:rPr>
        <w:t>11、负责辖区矿产资源管理工作。负责矿产资源储量及压覆矿产资源管理。负责矿业权管理。</w:t>
      </w:r>
      <w:r>
        <w:rPr>
          <w:rFonts w:hint="eastAsia" w:ascii="仿宋" w:hAnsi="仿宋" w:eastAsia="仿宋" w:cs="仿宋_GB2312"/>
          <w:color w:val="000000"/>
          <w:sz w:val="32"/>
          <w:szCs w:val="32"/>
        </w:rPr>
        <w:t>会同有关部门负责落实保护性开采的特定矿种、优势矿产的调控及相关管理工作。监督指导矿产资源合理利用和保护。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12、负责辖区测绘地理信息管理工作。负责基础测绘和测绘行业管理。负责测绘资质资格与信用管理，监督管理地理信息安全和市场秩序。负责地理信息公共服务管理。负责测量标志保护。</w:t>
      </w:r>
    </w:p>
    <w:p>
      <w:pPr>
        <w:spacing w:line="360" w:lineRule="auto"/>
        <w:ind w:firstLine="640" w:firstLineChars="200"/>
        <w:rPr>
          <w:rFonts w:ascii="仿宋" w:hAnsi="仿宋" w:eastAsia="仿宋"/>
          <w:color w:val="000000"/>
          <w:sz w:val="32"/>
          <w:szCs w:val="32"/>
        </w:rPr>
      </w:pPr>
      <w:r>
        <w:rPr>
          <w:rFonts w:hint="eastAsia" w:ascii="仿宋" w:hAnsi="仿宋" w:eastAsia="仿宋"/>
          <w:sz w:val="32"/>
          <w:szCs w:val="32"/>
        </w:rPr>
        <w:t>13、查处辖区自然资源开发利用和国土空间规划及测绘违法案件。</w:t>
      </w:r>
      <w:r>
        <w:rPr>
          <w:rFonts w:hint="eastAsia" w:ascii="仿宋" w:hAnsi="仿宋" w:eastAsia="仿宋"/>
          <w:color w:val="000000"/>
          <w:sz w:val="32"/>
          <w:szCs w:val="32"/>
        </w:rPr>
        <w:t>负责有关行政执法工作。</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14、推动辖区自然资源和规划领域科技发展。参与拟定并实施自然资源和规划领域科技创新发展和人才培养战略、规划和计划。参与拟定技术标准、规程规范并监督实施。组织实施科技工程及创新能力建设，推进自然资源和规划信息化和信息资料的公共服务。</w:t>
      </w:r>
    </w:p>
    <w:p>
      <w:pPr>
        <w:spacing w:line="360" w:lineRule="auto"/>
        <w:ind w:firstLine="480" w:firstLineChars="150"/>
        <w:rPr>
          <w:rFonts w:ascii="仿宋" w:hAnsi="仿宋" w:eastAsia="仿宋"/>
          <w:sz w:val="32"/>
          <w:szCs w:val="32"/>
        </w:rPr>
      </w:pPr>
      <w:r>
        <w:rPr>
          <w:rFonts w:hint="eastAsia" w:ascii="仿宋" w:hAnsi="仿宋" w:eastAsia="仿宋"/>
          <w:sz w:val="32"/>
          <w:szCs w:val="32"/>
        </w:rPr>
        <w:t>15、完成市自然资源和规划局及区委、区政府交办的其他任务。</w:t>
      </w:r>
    </w:p>
    <w:p>
      <w:pPr>
        <w:ind w:firstLine="640"/>
        <w:rPr>
          <w:rFonts w:hint="eastAsia" w:eastAsiaTheme="minorEastAsia"/>
          <w:lang w:eastAsia="zh-CN"/>
        </w:rPr>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唐山市自然资源和规划局丰润区分局本级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360" w:lineRule="auto"/>
        <w:ind w:firstLine="640" w:firstLineChars="200"/>
        <w:rPr>
          <w:rFonts w:hint="eastAsia" w:ascii="仿宋" w:hAnsi="仿宋" w:eastAsia="仿宋" w:cs="宋体"/>
          <w:sz w:val="32"/>
          <w:szCs w:val="32"/>
          <w:lang w:val="uk-UA" w:eastAsia="zh-CN"/>
        </w:rPr>
      </w:pPr>
      <w:r>
        <w:rPr>
          <w:rFonts w:hint="eastAsia" w:ascii="仿宋" w:hAnsi="仿宋" w:eastAsia="仿宋" w:cs="宋体"/>
          <w:sz w:val="32"/>
          <w:szCs w:val="32"/>
        </w:rPr>
        <w:t>2022年度日常公用经费预算134.41万元，其中办公费16.49万元、水电费12.56万元、取暖费13.08万元、差旅费7.85万元、公务接待费2.36万元、劳务费2.0万元、工会费4.71万元、福利费5.16万元、公务用车运行维护费6.00万元、公务交通补贴64.2万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360" w:lineRule="auto"/>
        <w:ind w:firstLine="640" w:firstLineChars="200"/>
        <w:rPr>
          <w:rFonts w:hint="eastAsia" w:ascii="仿宋" w:hAnsi="仿宋" w:eastAsia="仿宋" w:cs="宋体"/>
          <w:color w:val="000000"/>
          <w:sz w:val="32"/>
          <w:szCs w:val="32"/>
        </w:rPr>
      </w:pPr>
      <w:r>
        <w:rPr>
          <w:rFonts w:hint="eastAsia" w:ascii="仿宋" w:hAnsi="仿宋" w:eastAsia="仿宋" w:cs="宋体"/>
          <w:sz w:val="32"/>
          <w:szCs w:val="32"/>
        </w:rPr>
        <w:t>2022年度一般公共预算财政拨款“三公”经费预算为8.36万元，较2021年度预算减少0.6万元，</w:t>
      </w:r>
      <w:r>
        <w:rPr>
          <w:rFonts w:hint="eastAsia" w:ascii="仿宋" w:hAnsi="仿宋" w:eastAsia="仿宋" w:cs="宋体"/>
          <w:color w:val="000000"/>
          <w:sz w:val="32"/>
          <w:szCs w:val="32"/>
        </w:rPr>
        <w:t>主要原因为招待费安排减少。</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1、2022年公务用车购置及运维费预算6万元，为公务用车运行维护费，无公务用车购置费,2021年度公务用车运行维护费预算6万元，与上年持平。</w:t>
      </w:r>
    </w:p>
    <w:p>
      <w:pPr>
        <w:spacing w:line="360" w:lineRule="auto"/>
        <w:ind w:firstLine="640" w:firstLineChars="200"/>
        <w:rPr>
          <w:rFonts w:hint="eastAsia" w:ascii="仿宋" w:hAnsi="仿宋" w:eastAsia="仿宋" w:cs="宋体"/>
          <w:color w:val="000000"/>
          <w:sz w:val="32"/>
          <w:szCs w:val="32"/>
        </w:rPr>
      </w:pPr>
      <w:r>
        <w:rPr>
          <w:rFonts w:hint="eastAsia" w:ascii="仿宋" w:hAnsi="仿宋" w:eastAsia="仿宋" w:cs="宋体"/>
          <w:sz w:val="32"/>
          <w:szCs w:val="32"/>
        </w:rPr>
        <w:t>2、2022年公务接待费预算2.36万元。2021年公务接待费预算2.96万元，2022年同比减少0.6万元，</w:t>
      </w:r>
      <w:r>
        <w:rPr>
          <w:rFonts w:hint="eastAsia" w:ascii="仿宋" w:hAnsi="仿宋" w:eastAsia="仿宋" w:cs="宋体"/>
          <w:color w:val="000000"/>
          <w:sz w:val="32"/>
          <w:szCs w:val="32"/>
        </w:rPr>
        <w:t>主要原因为招待费安排减少。</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3、2022年无因公出国预算经费，与2021年预算一致。</w:t>
      </w:r>
    </w:p>
    <w:p>
      <w:pPr>
        <w:spacing w:before="10" w:after="10"/>
        <w:ind w:firstLine="640"/>
        <w:outlineLvl w:val="5"/>
      </w:pPr>
      <w:r>
        <w:rPr>
          <w:rFonts w:ascii="黑体" w:hAnsi="黑体" w:eastAsia="黑体" w:cs="黑体"/>
          <w:color w:val="000000"/>
          <w:sz w:val="32"/>
        </w:rPr>
        <w:t>五、预算绩效信息</w:t>
      </w:r>
    </w:p>
    <w:p>
      <w:pPr>
        <w:pStyle w:val="24"/>
        <w:ind w:firstLine="560"/>
      </w:pPr>
      <w:r>
        <w:rPr>
          <w:rFonts w:ascii="方正仿宋_GBK" w:hAnsi="方正仿宋_GBK" w:eastAsia="方正仿宋_GBK" w:cs="方正仿宋_GBK"/>
          <w:b/>
          <w:color w:val="000000"/>
          <w:sz w:val="28"/>
        </w:rPr>
        <w:t>1、互联网费绩效目标表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1.保障不动产登记工作顺利进行，提高矿山监管力度</w:t>
            </w:r>
          </w:p>
          <w:p>
            <w:pPr>
              <w:pStyle w:val="26"/>
            </w:pPr>
            <w:r>
              <w:t>2.“一窗受理”系统的接口维护：保证省厅统建的一窗受理系统与不动产登记系统实时准确交互数据，遇到数据交换问题现场及时处理，保障登记工作的高效性。</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网络视频维护个数</w:t>
            </w:r>
          </w:p>
        </w:tc>
        <w:tc>
          <w:tcPr>
            <w:tcW w:w="2835" w:type="dxa"/>
            <w:vAlign w:val="center"/>
          </w:tcPr>
          <w:p>
            <w:pPr>
              <w:pStyle w:val="26"/>
            </w:pPr>
            <w:r>
              <w:t>网络视频维护个数</w:t>
            </w:r>
          </w:p>
        </w:tc>
        <w:tc>
          <w:tcPr>
            <w:tcW w:w="2551" w:type="dxa"/>
            <w:vAlign w:val="center"/>
          </w:tcPr>
          <w:p>
            <w:pPr>
              <w:pStyle w:val="26"/>
            </w:pPr>
            <w:r>
              <w:t>≥32个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系统正常使用率</w:t>
            </w:r>
          </w:p>
        </w:tc>
        <w:tc>
          <w:tcPr>
            <w:tcW w:w="2835" w:type="dxa"/>
            <w:vAlign w:val="center"/>
          </w:tcPr>
          <w:p>
            <w:pPr>
              <w:pStyle w:val="26"/>
            </w:pPr>
            <w:r>
              <w:t>正常使用天数占需要使用天数的比例</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办结时间</w:t>
            </w:r>
          </w:p>
        </w:tc>
        <w:tc>
          <w:tcPr>
            <w:tcW w:w="2835" w:type="dxa"/>
            <w:vAlign w:val="center"/>
          </w:tcPr>
          <w:p>
            <w:pPr>
              <w:pStyle w:val="26"/>
            </w:pPr>
            <w:r>
              <w:t>需要维护时间</w:t>
            </w:r>
          </w:p>
        </w:tc>
        <w:tc>
          <w:tcPr>
            <w:tcW w:w="2551" w:type="dxa"/>
            <w:vAlign w:val="center"/>
          </w:tcPr>
          <w:p>
            <w:pPr>
              <w:pStyle w:val="26"/>
            </w:pPr>
            <w:r>
              <w:t>≤1小时</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网络视频系统维护平均成本</w:t>
            </w:r>
          </w:p>
        </w:tc>
        <w:tc>
          <w:tcPr>
            <w:tcW w:w="2835" w:type="dxa"/>
            <w:vAlign w:val="center"/>
          </w:tcPr>
          <w:p>
            <w:pPr>
              <w:pStyle w:val="26"/>
            </w:pPr>
            <w:r>
              <w:t>网络视频系统维护平均成本</w:t>
            </w:r>
          </w:p>
        </w:tc>
        <w:tc>
          <w:tcPr>
            <w:tcW w:w="2551" w:type="dxa"/>
            <w:vAlign w:val="center"/>
          </w:tcPr>
          <w:p>
            <w:pPr>
              <w:pStyle w:val="26"/>
            </w:pPr>
            <w:r>
              <w:t>≤0.5万元/个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提高工作质量</w:t>
            </w:r>
          </w:p>
        </w:tc>
        <w:tc>
          <w:tcPr>
            <w:tcW w:w="2835" w:type="dxa"/>
            <w:vAlign w:val="center"/>
          </w:tcPr>
          <w:p>
            <w:pPr>
              <w:pStyle w:val="26"/>
            </w:pPr>
            <w:r>
              <w:t>提高工作质量</w:t>
            </w:r>
          </w:p>
        </w:tc>
        <w:tc>
          <w:tcPr>
            <w:tcW w:w="2551" w:type="dxa"/>
            <w:vAlign w:val="center"/>
          </w:tcPr>
          <w:p>
            <w:pPr>
              <w:pStyle w:val="26"/>
            </w:pPr>
            <w:r>
              <w:t>良</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使用人对维护工作满意程度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1.建立完善土地变更调查数据库</w:t>
            </w:r>
          </w:p>
          <w:p>
            <w:pPr>
              <w:pStyle w:val="26"/>
            </w:pPr>
            <w:r>
              <w:t>2.为全区发展提供地类数据支持</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核查地类图斑面积</w:t>
            </w:r>
          </w:p>
        </w:tc>
        <w:tc>
          <w:tcPr>
            <w:tcW w:w="2835" w:type="dxa"/>
            <w:vAlign w:val="center"/>
          </w:tcPr>
          <w:p>
            <w:pPr>
              <w:pStyle w:val="26"/>
            </w:pPr>
            <w:r>
              <w:t>核查地类图斑面积</w:t>
            </w:r>
          </w:p>
        </w:tc>
        <w:tc>
          <w:tcPr>
            <w:tcW w:w="2551" w:type="dxa"/>
            <w:vAlign w:val="center"/>
          </w:tcPr>
          <w:p>
            <w:pPr>
              <w:pStyle w:val="26"/>
            </w:pPr>
            <w:r>
              <w:t>≥1000平方千米</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数据库正确率</w:t>
            </w:r>
          </w:p>
        </w:tc>
        <w:tc>
          <w:tcPr>
            <w:tcW w:w="2835" w:type="dxa"/>
            <w:vAlign w:val="center"/>
          </w:tcPr>
          <w:p>
            <w:pPr>
              <w:pStyle w:val="26"/>
            </w:pPr>
            <w:r>
              <w:t>数据库中每一个地类图斑认定正确，通过省及国家审核</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成果完成时间</w:t>
            </w:r>
          </w:p>
        </w:tc>
        <w:tc>
          <w:tcPr>
            <w:tcW w:w="2835" w:type="dxa"/>
            <w:vAlign w:val="center"/>
          </w:tcPr>
          <w:p>
            <w:pPr>
              <w:pStyle w:val="26"/>
            </w:pPr>
            <w:r>
              <w:t>数据成果按照省厅及国家要求时限完成</w:t>
            </w:r>
          </w:p>
        </w:tc>
        <w:tc>
          <w:tcPr>
            <w:tcW w:w="2551" w:type="dxa"/>
            <w:vAlign w:val="center"/>
          </w:tcPr>
          <w:p>
            <w:pPr>
              <w:pStyle w:val="26"/>
            </w:pPr>
            <w:r>
              <w:t>2022年年底</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土地利用变更调查单价</w:t>
            </w:r>
          </w:p>
        </w:tc>
        <w:tc>
          <w:tcPr>
            <w:tcW w:w="2835" w:type="dxa"/>
            <w:vAlign w:val="center"/>
          </w:tcPr>
          <w:p>
            <w:pPr>
              <w:pStyle w:val="26"/>
            </w:pPr>
            <w:r>
              <w:t>土地利用变更调查单价</w:t>
            </w:r>
          </w:p>
        </w:tc>
        <w:tc>
          <w:tcPr>
            <w:tcW w:w="2551" w:type="dxa"/>
            <w:vAlign w:val="center"/>
          </w:tcPr>
          <w:p>
            <w:pPr>
              <w:pStyle w:val="26"/>
            </w:pPr>
            <w:r>
              <w:t>≤0.1万元/平方千米</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全面了解丰润区土地利用现状</w:t>
            </w:r>
          </w:p>
        </w:tc>
        <w:tc>
          <w:tcPr>
            <w:tcW w:w="2835" w:type="dxa"/>
            <w:vAlign w:val="center"/>
          </w:tcPr>
          <w:p>
            <w:pPr>
              <w:pStyle w:val="26"/>
            </w:pPr>
            <w:r>
              <w:t>了解全区土地利用现状，为全区发展提供基础数据</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3、2020年度（自主实施）耕地占补平衡十至十三期勘测费绩效目标表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自行开垦数量</w:t>
            </w:r>
          </w:p>
        </w:tc>
        <w:tc>
          <w:tcPr>
            <w:tcW w:w="2835" w:type="dxa"/>
            <w:vAlign w:val="center"/>
          </w:tcPr>
          <w:p>
            <w:pPr>
              <w:pStyle w:val="26"/>
            </w:pPr>
            <w:r>
              <w:t>自行开垦数量</w:t>
            </w:r>
          </w:p>
        </w:tc>
        <w:tc>
          <w:tcPr>
            <w:tcW w:w="2551" w:type="dxa"/>
            <w:vAlign w:val="center"/>
          </w:tcPr>
          <w:p>
            <w:pPr>
              <w:pStyle w:val="26"/>
            </w:pPr>
            <w:r>
              <w:t>≥11个</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自行开垦完成率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自行开垦平均期数成本</w:t>
            </w:r>
          </w:p>
        </w:tc>
        <w:tc>
          <w:tcPr>
            <w:tcW w:w="2835" w:type="dxa"/>
            <w:vAlign w:val="center"/>
          </w:tcPr>
          <w:p>
            <w:pPr>
              <w:pStyle w:val="26"/>
            </w:pPr>
            <w:r>
              <w:t>自行开垦平均期数成本</w:t>
            </w:r>
          </w:p>
        </w:tc>
        <w:tc>
          <w:tcPr>
            <w:tcW w:w="2551" w:type="dxa"/>
            <w:vAlign w:val="center"/>
          </w:tcPr>
          <w:p>
            <w:pPr>
              <w:pStyle w:val="26"/>
            </w:pPr>
            <w:r>
              <w:t>≤27万元/期</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项目持续发挥作用期限</w:t>
            </w:r>
          </w:p>
        </w:tc>
        <w:tc>
          <w:tcPr>
            <w:tcW w:w="2835" w:type="dxa"/>
            <w:vAlign w:val="center"/>
          </w:tcPr>
          <w:p>
            <w:pPr>
              <w:pStyle w:val="26"/>
            </w:pPr>
            <w:r>
              <w:t>项目持续发挥作用期限</w:t>
            </w:r>
          </w:p>
        </w:tc>
        <w:tc>
          <w:tcPr>
            <w:tcW w:w="2551" w:type="dxa"/>
            <w:vAlign w:val="center"/>
          </w:tcPr>
          <w:p>
            <w:pPr>
              <w:pStyle w:val="26"/>
            </w:pPr>
            <w:r>
              <w:t>≥3年</w:t>
            </w:r>
          </w:p>
        </w:tc>
        <w:tc>
          <w:tcPr>
            <w:tcW w:w="2268" w:type="dxa"/>
            <w:vAlign w:val="center"/>
          </w:tcPr>
          <w:p>
            <w:pPr>
              <w:pStyle w:val="2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4、2020年度农业农村部门已验收高标准农田项目粮食产能核定工作绩效目标表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1.搜集已验收高标准农田项目立项、验收相关资料，形成核查意见</w:t>
            </w:r>
          </w:p>
          <w:p>
            <w:pPr>
              <w:pStyle w:val="26"/>
            </w:pPr>
            <w:r>
              <w:t>2.组织有资质的技术单位严格测绘新增和提质改造耕地地块面积，评定耕地质量等别</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核查用地面积</w:t>
            </w:r>
          </w:p>
        </w:tc>
        <w:tc>
          <w:tcPr>
            <w:tcW w:w="2835" w:type="dxa"/>
            <w:vAlign w:val="center"/>
          </w:tcPr>
          <w:p>
            <w:pPr>
              <w:pStyle w:val="26"/>
            </w:pPr>
            <w:r>
              <w:t>核查用地面积</w:t>
            </w:r>
          </w:p>
        </w:tc>
        <w:tc>
          <w:tcPr>
            <w:tcW w:w="2551" w:type="dxa"/>
            <w:vAlign w:val="center"/>
          </w:tcPr>
          <w:p>
            <w:pPr>
              <w:pStyle w:val="26"/>
            </w:pPr>
            <w:r>
              <w:t>≥202.37公顷</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用地面积核查率</w:t>
            </w:r>
          </w:p>
        </w:tc>
        <w:tc>
          <w:tcPr>
            <w:tcW w:w="2835" w:type="dxa"/>
            <w:vAlign w:val="center"/>
          </w:tcPr>
          <w:p>
            <w:pPr>
              <w:pStyle w:val="26"/>
            </w:pPr>
            <w:r>
              <w:t>用地面积核查率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核查完成时间</w:t>
            </w:r>
          </w:p>
        </w:tc>
        <w:tc>
          <w:tcPr>
            <w:tcW w:w="2835" w:type="dxa"/>
            <w:vAlign w:val="center"/>
          </w:tcPr>
          <w:p>
            <w:pPr>
              <w:pStyle w:val="26"/>
            </w:pPr>
            <w:r>
              <w:t>核查完成时间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核定单价</w:t>
            </w:r>
          </w:p>
        </w:tc>
        <w:tc>
          <w:tcPr>
            <w:tcW w:w="2835" w:type="dxa"/>
            <w:vAlign w:val="center"/>
          </w:tcPr>
          <w:p>
            <w:pPr>
              <w:pStyle w:val="26"/>
            </w:pPr>
            <w:r>
              <w:t>核定单价</w:t>
            </w:r>
          </w:p>
        </w:tc>
        <w:tc>
          <w:tcPr>
            <w:tcW w:w="2551" w:type="dxa"/>
            <w:vAlign w:val="center"/>
          </w:tcPr>
          <w:p>
            <w:pPr>
              <w:pStyle w:val="26"/>
            </w:pPr>
            <w:r>
              <w:t>≤0.13万元/公顷</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5、34家矿山开采现状勘测绩效目标表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1.对全区28家持证矿山和6家盗采易发区开采现状进行勘测</w:t>
            </w:r>
          </w:p>
          <w:p>
            <w:pPr>
              <w:pStyle w:val="26"/>
            </w:pPr>
            <w:r>
              <w:t>2.测量结果作为今后矿山执法监管的基础数据使用。</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矿山开采现状勘测数量</w:t>
            </w:r>
          </w:p>
        </w:tc>
        <w:tc>
          <w:tcPr>
            <w:tcW w:w="2835" w:type="dxa"/>
            <w:vAlign w:val="center"/>
          </w:tcPr>
          <w:p>
            <w:pPr>
              <w:pStyle w:val="26"/>
            </w:pPr>
            <w:r>
              <w:t>矿山开采现状勘测数量</w:t>
            </w:r>
          </w:p>
        </w:tc>
        <w:tc>
          <w:tcPr>
            <w:tcW w:w="2551" w:type="dxa"/>
            <w:vAlign w:val="center"/>
          </w:tcPr>
          <w:p>
            <w:pPr>
              <w:pStyle w:val="26"/>
            </w:pPr>
            <w:r>
              <w:t>≥34家</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勘测完成率</w:t>
            </w:r>
          </w:p>
        </w:tc>
        <w:tc>
          <w:tcPr>
            <w:tcW w:w="2835" w:type="dxa"/>
            <w:vAlign w:val="center"/>
          </w:tcPr>
          <w:p>
            <w:pPr>
              <w:pStyle w:val="26"/>
            </w:pPr>
            <w:r>
              <w:t>勘测完成率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合同签订后10日内</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矿山勘测单价</w:t>
            </w:r>
          </w:p>
        </w:tc>
        <w:tc>
          <w:tcPr>
            <w:tcW w:w="2835" w:type="dxa"/>
            <w:vAlign w:val="center"/>
          </w:tcPr>
          <w:p>
            <w:pPr>
              <w:pStyle w:val="26"/>
            </w:pPr>
            <w:r>
              <w:t>矿山勘测单价</w:t>
            </w:r>
          </w:p>
        </w:tc>
        <w:tc>
          <w:tcPr>
            <w:tcW w:w="2551" w:type="dxa"/>
            <w:vAlign w:val="center"/>
          </w:tcPr>
          <w:p>
            <w:pPr>
              <w:pStyle w:val="26"/>
            </w:pPr>
            <w:r>
              <w:t>≤2万元/家</w:t>
            </w:r>
          </w:p>
        </w:tc>
        <w:tc>
          <w:tcPr>
            <w:tcW w:w="2268" w:type="dxa"/>
            <w:vAlign w:val="center"/>
          </w:tcPr>
          <w:p>
            <w:pPr>
              <w:pStyle w:val="2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测量结果作为矿山执法监管基础数据使用率</w:t>
            </w:r>
          </w:p>
        </w:tc>
        <w:tc>
          <w:tcPr>
            <w:tcW w:w="2835" w:type="dxa"/>
            <w:vAlign w:val="center"/>
          </w:tcPr>
          <w:p>
            <w:pPr>
              <w:pStyle w:val="26"/>
            </w:pPr>
            <w:r>
              <w:t>测量结果作为矿山执法监管基础数据使用率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6、城市风貌管控规划编制费用绩效目标表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1.完成规划编制工作，上报成果</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城市风貌管控规划编制数量</w:t>
            </w:r>
          </w:p>
        </w:tc>
        <w:tc>
          <w:tcPr>
            <w:tcW w:w="2835" w:type="dxa"/>
            <w:vAlign w:val="center"/>
          </w:tcPr>
          <w:p>
            <w:pPr>
              <w:pStyle w:val="26"/>
            </w:pPr>
            <w:r>
              <w:t>城市风貌管控规划编制数量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城市风貌管控规划编制质量评定</w:t>
            </w:r>
          </w:p>
        </w:tc>
        <w:tc>
          <w:tcPr>
            <w:tcW w:w="2835" w:type="dxa"/>
            <w:vAlign w:val="center"/>
          </w:tcPr>
          <w:p>
            <w:pPr>
              <w:pStyle w:val="26"/>
            </w:pPr>
            <w:r>
              <w:t>城市风貌管控规划编制质量评定</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签订合同后提交成果时间</w:t>
            </w:r>
          </w:p>
        </w:tc>
        <w:tc>
          <w:tcPr>
            <w:tcW w:w="2835" w:type="dxa"/>
            <w:vAlign w:val="center"/>
          </w:tcPr>
          <w:p>
            <w:pPr>
              <w:pStyle w:val="26"/>
            </w:pPr>
            <w:r>
              <w:t>签订合同后提交成果时间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≤69.6万元/个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构建风貌要素控制体系</w:t>
            </w:r>
          </w:p>
        </w:tc>
        <w:tc>
          <w:tcPr>
            <w:tcW w:w="2835" w:type="dxa"/>
            <w:vAlign w:val="center"/>
          </w:tcPr>
          <w:p>
            <w:pPr>
              <w:pStyle w:val="26"/>
            </w:pPr>
            <w:r>
              <w:t>构建风貌要素控制体系，便于风貌规划实施管理</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7、对农业农村部门已验收高标准农田项目（第二批）新增耕耕地及粮食产能核定工作绩效目标表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1.搜集已验收高标准农田项目立项、验收相关资料，形成核查意见</w:t>
            </w:r>
          </w:p>
          <w:p>
            <w:pPr>
              <w:pStyle w:val="26"/>
            </w:pPr>
            <w:r>
              <w:t>2.组织有资质的技术单位严格测绘新增和提质改造耕地地块面积，评定耕地质量等别</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新增耕地面积</w:t>
            </w:r>
          </w:p>
        </w:tc>
        <w:tc>
          <w:tcPr>
            <w:tcW w:w="2835" w:type="dxa"/>
            <w:vAlign w:val="center"/>
          </w:tcPr>
          <w:p>
            <w:pPr>
              <w:pStyle w:val="26"/>
            </w:pPr>
            <w:r>
              <w:t>新增耕地面积</w:t>
            </w:r>
          </w:p>
        </w:tc>
        <w:tc>
          <w:tcPr>
            <w:tcW w:w="2551" w:type="dxa"/>
            <w:vAlign w:val="center"/>
          </w:tcPr>
          <w:p>
            <w:pPr>
              <w:pStyle w:val="26"/>
            </w:pPr>
            <w:r>
              <w:t>≥30亩</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新增耕地产能</w:t>
            </w:r>
          </w:p>
        </w:tc>
        <w:tc>
          <w:tcPr>
            <w:tcW w:w="2835" w:type="dxa"/>
            <w:vAlign w:val="center"/>
          </w:tcPr>
          <w:p>
            <w:pPr>
              <w:pStyle w:val="26"/>
            </w:pPr>
            <w:r>
              <w:t>新增耕地产能</w:t>
            </w:r>
          </w:p>
        </w:tc>
        <w:tc>
          <w:tcPr>
            <w:tcW w:w="2551" w:type="dxa"/>
            <w:vAlign w:val="center"/>
          </w:tcPr>
          <w:p>
            <w:pPr>
              <w:pStyle w:val="26"/>
            </w:pPr>
            <w:r>
              <w:t>≥100万公斤</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核定完成时间</w:t>
            </w:r>
          </w:p>
        </w:tc>
        <w:tc>
          <w:tcPr>
            <w:tcW w:w="2835" w:type="dxa"/>
            <w:vAlign w:val="center"/>
          </w:tcPr>
          <w:p>
            <w:pPr>
              <w:pStyle w:val="26"/>
            </w:pPr>
            <w:r>
              <w:t>核定完成时间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核查平均成本</w:t>
            </w:r>
          </w:p>
        </w:tc>
        <w:tc>
          <w:tcPr>
            <w:tcW w:w="2835" w:type="dxa"/>
            <w:vAlign w:val="center"/>
          </w:tcPr>
          <w:p>
            <w:pPr>
              <w:pStyle w:val="26"/>
            </w:pPr>
            <w:r>
              <w:t>核查平均成本</w:t>
            </w:r>
          </w:p>
        </w:tc>
        <w:tc>
          <w:tcPr>
            <w:tcW w:w="2551" w:type="dxa"/>
            <w:vAlign w:val="center"/>
          </w:tcPr>
          <w:p>
            <w:pPr>
              <w:pStyle w:val="26"/>
            </w:pPr>
            <w:r>
              <w:t>≤20万元/亩</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8、丰润区曹雪芹东道以南、林荫路以东、纺织路以西、京秦铁路以北区域控制性详细规划编制费绩效目标表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2.完成规划成果验收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规划编制个数</w:t>
            </w:r>
          </w:p>
        </w:tc>
        <w:tc>
          <w:tcPr>
            <w:tcW w:w="2835" w:type="dxa"/>
            <w:vAlign w:val="center"/>
          </w:tcPr>
          <w:p>
            <w:pPr>
              <w:pStyle w:val="26"/>
            </w:pPr>
            <w:r>
              <w:t>规划编制个数</w:t>
            </w:r>
          </w:p>
        </w:tc>
        <w:tc>
          <w:tcPr>
            <w:tcW w:w="2551" w:type="dxa"/>
            <w:vAlign w:val="center"/>
          </w:tcPr>
          <w:p>
            <w:pPr>
              <w:pStyle w:val="26"/>
            </w:pPr>
            <w:r>
              <w:t>≥1个</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规划编制完成率</w:t>
            </w:r>
          </w:p>
        </w:tc>
        <w:tc>
          <w:tcPr>
            <w:tcW w:w="2835" w:type="dxa"/>
            <w:vAlign w:val="center"/>
          </w:tcPr>
          <w:p>
            <w:pPr>
              <w:pStyle w:val="26"/>
            </w:pPr>
            <w:r>
              <w:t>规划编制完成率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编制完成时间</w:t>
            </w:r>
          </w:p>
        </w:tc>
        <w:tc>
          <w:tcPr>
            <w:tcW w:w="2835" w:type="dxa"/>
            <w:vAlign w:val="center"/>
          </w:tcPr>
          <w:p>
            <w:pPr>
              <w:pStyle w:val="26"/>
            </w:pPr>
            <w:r>
              <w:t>编制完成时间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≤18万元/个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9、丰润区城镇标定地价、集体建设用地基准地价、农用地基准地价制订绩效目标表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1.出具丰润区城镇标定地价、集体建设用地基准地价、农用地基准地价制订成果，通过省自然资源厅验收合格</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城镇标定地价、集体建设用地基准地价、农用地基准地价制订</w:t>
            </w:r>
          </w:p>
        </w:tc>
        <w:tc>
          <w:tcPr>
            <w:tcW w:w="2835" w:type="dxa"/>
            <w:vAlign w:val="center"/>
          </w:tcPr>
          <w:p>
            <w:pPr>
              <w:pStyle w:val="26"/>
            </w:pPr>
            <w:r>
              <w:t>城镇标定地价、集体建设用地基准地价、农用地基准地价制订</w:t>
            </w:r>
          </w:p>
        </w:tc>
        <w:tc>
          <w:tcPr>
            <w:tcW w:w="2551" w:type="dxa"/>
            <w:vAlign w:val="center"/>
          </w:tcPr>
          <w:p>
            <w:pPr>
              <w:pStyle w:val="26"/>
            </w:pPr>
            <w:r>
              <w:t>≥3个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基准地价更新频率</w:t>
            </w:r>
          </w:p>
        </w:tc>
        <w:tc>
          <w:tcPr>
            <w:tcW w:w="2835" w:type="dxa"/>
            <w:vAlign w:val="center"/>
          </w:tcPr>
          <w:p>
            <w:pPr>
              <w:pStyle w:val="26"/>
            </w:pPr>
            <w:r>
              <w:t>基准地价更新频率</w:t>
            </w:r>
          </w:p>
        </w:tc>
        <w:tc>
          <w:tcPr>
            <w:tcW w:w="2551" w:type="dxa"/>
            <w:vAlign w:val="center"/>
          </w:tcPr>
          <w:p>
            <w:pPr>
              <w:pStyle w:val="26"/>
            </w:pPr>
            <w:r>
              <w:t>每3年更新一次</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集体建设用地基准地价成本</w:t>
            </w:r>
          </w:p>
        </w:tc>
        <w:tc>
          <w:tcPr>
            <w:tcW w:w="2835" w:type="dxa"/>
            <w:vAlign w:val="center"/>
          </w:tcPr>
          <w:p>
            <w:pPr>
              <w:pStyle w:val="26"/>
            </w:pPr>
            <w:r>
              <w:t>集体建设用地基准地价成本</w:t>
            </w:r>
          </w:p>
        </w:tc>
        <w:tc>
          <w:tcPr>
            <w:tcW w:w="2551" w:type="dxa"/>
            <w:vAlign w:val="center"/>
          </w:tcPr>
          <w:p>
            <w:pPr>
              <w:pStyle w:val="26"/>
            </w:pPr>
            <w:r>
              <w:t>≤35万元/亩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优化城乡建设用地布局优良率</w:t>
            </w:r>
          </w:p>
        </w:tc>
        <w:tc>
          <w:tcPr>
            <w:tcW w:w="2835" w:type="dxa"/>
            <w:vAlign w:val="center"/>
          </w:tcPr>
          <w:p>
            <w:pPr>
              <w:pStyle w:val="26"/>
            </w:pPr>
            <w:r>
              <w:t>增加有效耕地面积，优化城乡建设用地布局</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缓解土地资源短缺期限</w:t>
            </w:r>
          </w:p>
        </w:tc>
        <w:tc>
          <w:tcPr>
            <w:tcW w:w="2835" w:type="dxa"/>
            <w:vAlign w:val="center"/>
          </w:tcPr>
          <w:p>
            <w:pPr>
              <w:pStyle w:val="26"/>
            </w:pPr>
            <w:r>
              <w:t>缓解土地资源短缺期限</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10、丰润区村庄布局专项规划绩效目标表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村庄布局专项规划类别</w:t>
            </w:r>
          </w:p>
        </w:tc>
        <w:tc>
          <w:tcPr>
            <w:tcW w:w="2835" w:type="dxa"/>
            <w:vAlign w:val="center"/>
          </w:tcPr>
          <w:p>
            <w:pPr>
              <w:pStyle w:val="26"/>
            </w:pPr>
            <w:r>
              <w:t>村庄布局专项规划类别</w:t>
            </w:r>
          </w:p>
        </w:tc>
        <w:tc>
          <w:tcPr>
            <w:tcW w:w="2551" w:type="dxa"/>
            <w:vAlign w:val="center"/>
          </w:tcPr>
          <w:p>
            <w:pPr>
              <w:pStyle w:val="26"/>
            </w:pPr>
            <w:r>
              <w:t>≥5类</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村庄规划质量评定</w:t>
            </w:r>
          </w:p>
        </w:tc>
        <w:tc>
          <w:tcPr>
            <w:tcW w:w="2835" w:type="dxa"/>
            <w:vAlign w:val="center"/>
          </w:tcPr>
          <w:p>
            <w:pPr>
              <w:pStyle w:val="26"/>
            </w:pPr>
            <w:r>
              <w:t>村庄规划质量评定</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村庄布局规划编制单价</w:t>
            </w:r>
          </w:p>
        </w:tc>
        <w:tc>
          <w:tcPr>
            <w:tcW w:w="2835" w:type="dxa"/>
            <w:vAlign w:val="center"/>
          </w:tcPr>
          <w:p>
            <w:pPr>
              <w:pStyle w:val="26"/>
            </w:pPr>
            <w:r>
              <w:t>村庄布局规划编制单价</w:t>
            </w:r>
          </w:p>
        </w:tc>
        <w:tc>
          <w:tcPr>
            <w:tcW w:w="2551" w:type="dxa"/>
            <w:vAlign w:val="center"/>
          </w:tcPr>
          <w:p>
            <w:pPr>
              <w:pStyle w:val="26"/>
            </w:pPr>
            <w:r>
              <w:t>≤4万元/类</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对接上位规划，合理确定全区村庄发展类型</w:t>
            </w:r>
          </w:p>
        </w:tc>
        <w:tc>
          <w:tcPr>
            <w:tcW w:w="2835" w:type="dxa"/>
            <w:vAlign w:val="center"/>
          </w:tcPr>
          <w:p>
            <w:pPr>
              <w:pStyle w:val="26"/>
            </w:pPr>
            <w:r>
              <w:t>对接上位规划，合理确定全区村庄发展类型</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挖掘村庄产业发展动力，提出村庄产业发展策略</w:t>
            </w:r>
          </w:p>
        </w:tc>
        <w:tc>
          <w:tcPr>
            <w:tcW w:w="2835" w:type="dxa"/>
            <w:vAlign w:val="center"/>
          </w:tcPr>
          <w:p>
            <w:pPr>
              <w:pStyle w:val="26"/>
            </w:pPr>
            <w:r>
              <w:t>挖掘村庄产业发展动力，提出村庄产业发展策略</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保护生态环境、保障耕地用地、建设安居宜居生活环境</w:t>
            </w:r>
          </w:p>
        </w:tc>
        <w:tc>
          <w:tcPr>
            <w:tcW w:w="2835" w:type="dxa"/>
            <w:vAlign w:val="center"/>
          </w:tcPr>
          <w:p>
            <w:pPr>
              <w:pStyle w:val="26"/>
            </w:pPr>
            <w:r>
              <w:t>保护生态环境、保障耕地用地、建设安居宜居生活环境</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明确建设时序和近期建设重点</w:t>
            </w:r>
          </w:p>
        </w:tc>
        <w:tc>
          <w:tcPr>
            <w:tcW w:w="2835" w:type="dxa"/>
            <w:vAlign w:val="center"/>
          </w:tcPr>
          <w:p>
            <w:pPr>
              <w:pStyle w:val="26"/>
            </w:pPr>
            <w:r>
              <w:t>明确建设时序和近期建设重点</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11、丰润区国土空间分区规划（2020-2035年）绩效目标表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国土空间分区规划编制数量</w:t>
            </w:r>
          </w:p>
        </w:tc>
        <w:tc>
          <w:tcPr>
            <w:tcW w:w="2835" w:type="dxa"/>
            <w:vAlign w:val="center"/>
          </w:tcPr>
          <w:p>
            <w:pPr>
              <w:pStyle w:val="26"/>
            </w:pPr>
            <w:r>
              <w:t>国土空间分区规划编制数量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土地利用率</w:t>
            </w:r>
          </w:p>
        </w:tc>
        <w:tc>
          <w:tcPr>
            <w:tcW w:w="2835" w:type="dxa"/>
            <w:vAlign w:val="center"/>
          </w:tcPr>
          <w:p>
            <w:pPr>
              <w:pStyle w:val="26"/>
            </w:pPr>
            <w:r>
              <w:t>区规划土地占整体比例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规划编制费用</w:t>
            </w:r>
          </w:p>
        </w:tc>
        <w:tc>
          <w:tcPr>
            <w:tcW w:w="2835" w:type="dxa"/>
            <w:vAlign w:val="center"/>
          </w:tcPr>
          <w:p>
            <w:pPr>
              <w:pStyle w:val="26"/>
            </w:pPr>
            <w:r>
              <w:t>规划编制费用</w:t>
            </w:r>
          </w:p>
        </w:tc>
        <w:tc>
          <w:tcPr>
            <w:tcW w:w="2551" w:type="dxa"/>
            <w:vAlign w:val="center"/>
          </w:tcPr>
          <w:p>
            <w:pPr>
              <w:pStyle w:val="26"/>
            </w:pPr>
            <w:r>
              <w:t>≤358.35万元/个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项目持续发挥作用期限</w:t>
            </w:r>
          </w:p>
        </w:tc>
        <w:tc>
          <w:tcPr>
            <w:tcW w:w="2835" w:type="dxa"/>
            <w:vAlign w:val="center"/>
          </w:tcPr>
          <w:p>
            <w:pPr>
              <w:pStyle w:val="26"/>
            </w:pPr>
            <w:r>
              <w:t>项目持续发挥作用期限</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12、丰润区火石营镇火东村土地整治（占补平衡）绩效目标表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新增耕地亩数</w:t>
            </w:r>
          </w:p>
        </w:tc>
        <w:tc>
          <w:tcPr>
            <w:tcW w:w="2835" w:type="dxa"/>
            <w:vAlign w:val="center"/>
          </w:tcPr>
          <w:p>
            <w:pPr>
              <w:pStyle w:val="26"/>
            </w:pPr>
            <w:r>
              <w:t>新增耕地亩数</w:t>
            </w:r>
          </w:p>
        </w:tc>
        <w:tc>
          <w:tcPr>
            <w:tcW w:w="2551" w:type="dxa"/>
            <w:vAlign w:val="center"/>
          </w:tcPr>
          <w:p>
            <w:pPr>
              <w:pStyle w:val="26"/>
            </w:pPr>
            <w:r>
              <w:t>≥261.1亩</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指标回购完成率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土地整治平均成本</w:t>
            </w:r>
          </w:p>
        </w:tc>
        <w:tc>
          <w:tcPr>
            <w:tcW w:w="2835" w:type="dxa"/>
            <w:vAlign w:val="center"/>
          </w:tcPr>
          <w:p>
            <w:pPr>
              <w:pStyle w:val="26"/>
            </w:pPr>
            <w:r>
              <w:t>土地整治平均成本</w:t>
            </w:r>
          </w:p>
        </w:tc>
        <w:tc>
          <w:tcPr>
            <w:tcW w:w="2551" w:type="dxa"/>
            <w:vAlign w:val="center"/>
          </w:tcPr>
          <w:p>
            <w:pPr>
              <w:pStyle w:val="26"/>
            </w:pPr>
            <w:r>
              <w:t>≤3万元/亩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粮食产量较同期增长率</w:t>
            </w:r>
          </w:p>
        </w:tc>
        <w:tc>
          <w:tcPr>
            <w:tcW w:w="2835" w:type="dxa"/>
            <w:vAlign w:val="center"/>
          </w:tcPr>
          <w:p>
            <w:pPr>
              <w:pStyle w:val="26"/>
            </w:pPr>
            <w:r>
              <w:t>粮食产量较同期增长率</w:t>
            </w:r>
          </w:p>
        </w:tc>
        <w:tc>
          <w:tcPr>
            <w:tcW w:w="2551" w:type="dxa"/>
            <w:vAlign w:val="center"/>
          </w:tcPr>
          <w:p>
            <w:pPr>
              <w:pStyle w:val="26"/>
            </w:pPr>
            <w:r>
              <w:t>≥3.2%</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13、丰润区火石营镇火西村三期土地整治（占补平衡）绩效目标表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1.增加新增耕地指标数</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新增耕地亩数</w:t>
            </w:r>
          </w:p>
        </w:tc>
        <w:tc>
          <w:tcPr>
            <w:tcW w:w="2835" w:type="dxa"/>
            <w:vAlign w:val="center"/>
          </w:tcPr>
          <w:p>
            <w:pPr>
              <w:pStyle w:val="26"/>
            </w:pPr>
            <w:r>
              <w:t>新增耕地亩数</w:t>
            </w:r>
          </w:p>
        </w:tc>
        <w:tc>
          <w:tcPr>
            <w:tcW w:w="2551" w:type="dxa"/>
            <w:vAlign w:val="center"/>
          </w:tcPr>
          <w:p>
            <w:pPr>
              <w:pStyle w:val="26"/>
            </w:pPr>
            <w:r>
              <w:t>≥190.35亩</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指标回购完成率</w:t>
            </w:r>
          </w:p>
        </w:tc>
        <w:tc>
          <w:tcPr>
            <w:tcW w:w="2835" w:type="dxa"/>
            <w:vAlign w:val="center"/>
          </w:tcPr>
          <w:p>
            <w:pPr>
              <w:pStyle w:val="26"/>
            </w:pPr>
            <w:r>
              <w:t>按照要求和计划完成研究任务的项目在立项项目中的比例（百分比）</w:t>
            </w:r>
          </w:p>
        </w:tc>
        <w:tc>
          <w:tcPr>
            <w:tcW w:w="2551" w:type="dxa"/>
            <w:vAlign w:val="center"/>
          </w:tcPr>
          <w:p>
            <w:pPr>
              <w:pStyle w:val="26"/>
            </w:pPr>
            <w:r>
              <w:t>≥80%</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提交成果时间</w:t>
            </w:r>
          </w:p>
        </w:tc>
        <w:tc>
          <w:tcPr>
            <w:tcW w:w="2551" w:type="dxa"/>
            <w:vAlign w:val="center"/>
          </w:tcPr>
          <w:p>
            <w:pPr>
              <w:pStyle w:val="26"/>
            </w:pPr>
            <w:r>
              <w:t>2022年年底</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土地整治平均成本</w:t>
            </w:r>
          </w:p>
        </w:tc>
        <w:tc>
          <w:tcPr>
            <w:tcW w:w="2835" w:type="dxa"/>
            <w:vAlign w:val="center"/>
          </w:tcPr>
          <w:p>
            <w:pPr>
              <w:pStyle w:val="26"/>
            </w:pPr>
            <w:r>
              <w:t>土地整治平均成本</w:t>
            </w:r>
          </w:p>
        </w:tc>
        <w:tc>
          <w:tcPr>
            <w:tcW w:w="2551" w:type="dxa"/>
            <w:vAlign w:val="center"/>
          </w:tcPr>
          <w:p>
            <w:pPr>
              <w:pStyle w:val="26"/>
            </w:pPr>
            <w:r>
              <w:t>≤3万元/亩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粮食产量较同期增长率</w:t>
            </w:r>
          </w:p>
        </w:tc>
        <w:tc>
          <w:tcPr>
            <w:tcW w:w="2835" w:type="dxa"/>
            <w:vAlign w:val="center"/>
          </w:tcPr>
          <w:p>
            <w:pPr>
              <w:pStyle w:val="26"/>
            </w:pPr>
            <w:r>
              <w:t>粮食产量较同期增长率</w:t>
            </w:r>
          </w:p>
        </w:tc>
        <w:tc>
          <w:tcPr>
            <w:tcW w:w="2551" w:type="dxa"/>
            <w:vAlign w:val="center"/>
          </w:tcPr>
          <w:p>
            <w:pPr>
              <w:pStyle w:val="26"/>
            </w:pPr>
            <w:r>
              <w:t>≥3.2%</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14、丰润区矿产资源总体规划（2021-2035年）绩效目标表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1.完成我区矿产资源总体规划编制工作，达到报审条件</w:t>
            </w:r>
          </w:p>
          <w:p>
            <w:pPr>
              <w:pStyle w:val="26"/>
            </w:pPr>
            <w:r>
              <w:t>2.完成规划成果验收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规划编制数量</w:t>
            </w:r>
          </w:p>
        </w:tc>
        <w:tc>
          <w:tcPr>
            <w:tcW w:w="2835" w:type="dxa"/>
            <w:vAlign w:val="center"/>
          </w:tcPr>
          <w:p>
            <w:pPr>
              <w:pStyle w:val="26"/>
            </w:pPr>
            <w:r>
              <w:t>丰润区矿产资源总体规划编制数量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绿色矿山建设优良率</w:t>
            </w:r>
          </w:p>
        </w:tc>
        <w:tc>
          <w:tcPr>
            <w:tcW w:w="2835" w:type="dxa"/>
            <w:vAlign w:val="center"/>
          </w:tcPr>
          <w:p>
            <w:pPr>
              <w:pStyle w:val="26"/>
            </w:pPr>
            <w:r>
              <w:t>提高资源安全保障能力，推动矿业绿色发展</w:t>
            </w:r>
          </w:p>
        </w:tc>
        <w:tc>
          <w:tcPr>
            <w:tcW w:w="2551" w:type="dxa"/>
            <w:vAlign w:val="center"/>
          </w:tcPr>
          <w:p>
            <w:pPr>
              <w:pStyle w:val="26"/>
            </w:pPr>
            <w:r>
              <w:t>良</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规划成果验收时间</w:t>
            </w:r>
          </w:p>
        </w:tc>
        <w:tc>
          <w:tcPr>
            <w:tcW w:w="2835" w:type="dxa"/>
            <w:vAlign w:val="center"/>
          </w:tcPr>
          <w:p>
            <w:pPr>
              <w:pStyle w:val="26"/>
            </w:pPr>
            <w:r>
              <w:t>规划成果验收时间</w:t>
            </w:r>
          </w:p>
        </w:tc>
        <w:tc>
          <w:tcPr>
            <w:tcW w:w="2551" w:type="dxa"/>
            <w:vAlign w:val="center"/>
          </w:tcPr>
          <w:p>
            <w:pPr>
              <w:pStyle w:val="26"/>
            </w:pPr>
            <w:r>
              <w:t>2022年中</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矿产资源总体规划编制费用</w:t>
            </w:r>
          </w:p>
        </w:tc>
        <w:tc>
          <w:tcPr>
            <w:tcW w:w="2835" w:type="dxa"/>
            <w:vAlign w:val="center"/>
          </w:tcPr>
          <w:p>
            <w:pPr>
              <w:pStyle w:val="26"/>
            </w:pPr>
            <w:r>
              <w:t>矿产资源总体规划编制费用</w:t>
            </w:r>
          </w:p>
        </w:tc>
        <w:tc>
          <w:tcPr>
            <w:tcW w:w="2551" w:type="dxa"/>
            <w:vAlign w:val="center"/>
          </w:tcPr>
          <w:p>
            <w:pPr>
              <w:pStyle w:val="26"/>
            </w:pPr>
            <w:r>
              <w:t>≤40.1万元/个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绿色矿山建设及矿区生态平衡指标</w:t>
            </w:r>
          </w:p>
        </w:tc>
        <w:tc>
          <w:tcPr>
            <w:tcW w:w="2835" w:type="dxa"/>
            <w:vAlign w:val="center"/>
          </w:tcPr>
          <w:p>
            <w:pPr>
              <w:pStyle w:val="26"/>
            </w:pPr>
            <w:r>
              <w:t>合理规划，节约、高效的利用资源</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15、丰润区设施农用地上图入库工作绩效目标表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1.全面掌握并及时更新数据，通过技术手段在自然资源部开发的“设施农业用地监管系统”中逐图斑地块录入信息，同时纳入自然资源“一张图”监管。</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现有存量设施农用地数量</w:t>
            </w:r>
          </w:p>
        </w:tc>
        <w:tc>
          <w:tcPr>
            <w:tcW w:w="2835" w:type="dxa"/>
            <w:vAlign w:val="center"/>
          </w:tcPr>
          <w:p>
            <w:pPr>
              <w:pStyle w:val="26"/>
            </w:pPr>
            <w:r>
              <w:t>现有存量设施农用地数量</w:t>
            </w:r>
          </w:p>
        </w:tc>
        <w:tc>
          <w:tcPr>
            <w:tcW w:w="2551" w:type="dxa"/>
            <w:vAlign w:val="center"/>
          </w:tcPr>
          <w:p>
            <w:pPr>
              <w:pStyle w:val="26"/>
            </w:pPr>
            <w:r>
              <w:t>≥4134宗</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信息录入率</w:t>
            </w:r>
          </w:p>
        </w:tc>
        <w:tc>
          <w:tcPr>
            <w:tcW w:w="2835" w:type="dxa"/>
            <w:vAlign w:val="center"/>
          </w:tcPr>
          <w:p>
            <w:pPr>
              <w:pStyle w:val="26"/>
            </w:pPr>
            <w:r>
              <w:t>信息录入率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设施农用地上图入库平均成本</w:t>
            </w:r>
          </w:p>
        </w:tc>
        <w:tc>
          <w:tcPr>
            <w:tcW w:w="2835" w:type="dxa"/>
            <w:vAlign w:val="center"/>
          </w:tcPr>
          <w:p>
            <w:pPr>
              <w:pStyle w:val="26"/>
            </w:pPr>
            <w:r>
              <w:t>设施农用地上图入库平均成本</w:t>
            </w:r>
          </w:p>
        </w:tc>
        <w:tc>
          <w:tcPr>
            <w:tcW w:w="2551" w:type="dxa"/>
            <w:vAlign w:val="center"/>
          </w:tcPr>
          <w:p>
            <w:pPr>
              <w:pStyle w:val="26"/>
            </w:pPr>
            <w:r>
              <w:t>≤0.05万元/宗</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农业生态系统健康和谐发展</w:t>
            </w:r>
          </w:p>
        </w:tc>
        <w:tc>
          <w:tcPr>
            <w:tcW w:w="2835" w:type="dxa"/>
            <w:vAlign w:val="center"/>
          </w:tcPr>
          <w:p>
            <w:pPr>
              <w:pStyle w:val="26"/>
            </w:pPr>
            <w:r>
              <w:t>农业生态系统健康和谐发展</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16、丰润区唐遵铁路以东、昌盛道以南、燕山路以西、正丰道以北区域控制性详细规划编制费绩效目标表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p>
            <w:pPr>
              <w:pStyle w:val="26"/>
            </w:pPr>
            <w:r>
              <w:t>2.规划成果验收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规划编制数量</w:t>
            </w:r>
          </w:p>
        </w:tc>
        <w:tc>
          <w:tcPr>
            <w:tcW w:w="2835" w:type="dxa"/>
            <w:vAlign w:val="center"/>
          </w:tcPr>
          <w:p>
            <w:pPr>
              <w:pStyle w:val="26"/>
            </w:pPr>
            <w:r>
              <w:t>规划编制数量</w:t>
            </w:r>
          </w:p>
        </w:tc>
        <w:tc>
          <w:tcPr>
            <w:tcW w:w="2551" w:type="dxa"/>
            <w:vAlign w:val="center"/>
          </w:tcPr>
          <w:p>
            <w:pPr>
              <w:pStyle w:val="26"/>
            </w:pPr>
            <w:r>
              <w:t>≥1个</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规划编制完成率</w:t>
            </w:r>
          </w:p>
        </w:tc>
        <w:tc>
          <w:tcPr>
            <w:tcW w:w="2835" w:type="dxa"/>
            <w:vAlign w:val="center"/>
          </w:tcPr>
          <w:p>
            <w:pPr>
              <w:pStyle w:val="26"/>
            </w:pPr>
            <w:r>
              <w:t>规划编制完成率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编制完成时间</w:t>
            </w:r>
          </w:p>
        </w:tc>
        <w:tc>
          <w:tcPr>
            <w:tcW w:w="2835" w:type="dxa"/>
            <w:vAlign w:val="center"/>
          </w:tcPr>
          <w:p>
            <w:pPr>
              <w:pStyle w:val="26"/>
            </w:pPr>
            <w:r>
              <w:t>编制完成时间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≤13万元/个</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提高资源利用率</w:t>
            </w:r>
          </w:p>
        </w:tc>
        <w:tc>
          <w:tcPr>
            <w:tcW w:w="2835" w:type="dxa"/>
            <w:vAlign w:val="center"/>
          </w:tcPr>
          <w:p>
            <w:pPr>
              <w:pStyle w:val="26"/>
            </w:pPr>
            <w:r>
              <w:t>提高资源利用率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17、建立不动产登记和权籍调查数据库绩效目标表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1.农村“三权”登记数据实时上报，现有三权数据并入到不动产登记管理平台系统</w:t>
            </w:r>
          </w:p>
          <w:p>
            <w:pPr>
              <w:pStyle w:val="26"/>
            </w:pPr>
            <w:r>
              <w:t>2.将宅基地和集体建设用地存量数据汇交省厅</w:t>
            </w:r>
          </w:p>
          <w:p>
            <w:pPr>
              <w:pStyle w:val="26"/>
            </w:pPr>
            <w:r>
              <w:t>3.在现有不动产登记系统中增加集体土地等级模块</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建立不动产登记和权籍调查农村三权数据库</w:t>
            </w:r>
          </w:p>
        </w:tc>
        <w:tc>
          <w:tcPr>
            <w:tcW w:w="2835" w:type="dxa"/>
            <w:vAlign w:val="center"/>
          </w:tcPr>
          <w:p>
            <w:pPr>
              <w:pStyle w:val="26"/>
            </w:pPr>
            <w:r>
              <w:t>建立不动产登记和权籍调查农村三权数据库</w:t>
            </w:r>
          </w:p>
        </w:tc>
        <w:tc>
          <w:tcPr>
            <w:tcW w:w="2551" w:type="dxa"/>
            <w:vAlign w:val="center"/>
          </w:tcPr>
          <w:p>
            <w:pPr>
              <w:pStyle w:val="26"/>
            </w:pPr>
            <w:r>
              <w:t>≥1个（平台）</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三权数据入库</w:t>
            </w:r>
          </w:p>
        </w:tc>
        <w:tc>
          <w:tcPr>
            <w:tcW w:w="2835" w:type="dxa"/>
            <w:vAlign w:val="center"/>
          </w:tcPr>
          <w:p>
            <w:pPr>
              <w:pStyle w:val="26"/>
            </w:pPr>
            <w:r>
              <w:t>登记颁证占整体登记数量比例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提交成果时间</w:t>
            </w:r>
          </w:p>
        </w:tc>
        <w:tc>
          <w:tcPr>
            <w:tcW w:w="2835" w:type="dxa"/>
            <w:vAlign w:val="center"/>
          </w:tcPr>
          <w:p>
            <w:pPr>
              <w:pStyle w:val="26"/>
            </w:pPr>
            <w:r>
              <w:t>不动产农村三权登记数据在线上报时间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不动产登记和权籍调查农村三权数据库单价</w:t>
            </w:r>
          </w:p>
        </w:tc>
        <w:tc>
          <w:tcPr>
            <w:tcW w:w="2835" w:type="dxa"/>
            <w:vAlign w:val="center"/>
          </w:tcPr>
          <w:p>
            <w:pPr>
              <w:pStyle w:val="26"/>
            </w:pPr>
            <w:r>
              <w:t>不动产登记和权籍调查农村三权数据库单价</w:t>
            </w:r>
          </w:p>
        </w:tc>
        <w:tc>
          <w:tcPr>
            <w:tcW w:w="2551" w:type="dxa"/>
            <w:vAlign w:val="center"/>
          </w:tcPr>
          <w:p>
            <w:pPr>
              <w:pStyle w:val="26"/>
            </w:pPr>
            <w:r>
              <w:t>≤88万元/个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不动产登记数据库和权籍调查数据库完成率</w:t>
            </w:r>
          </w:p>
        </w:tc>
        <w:tc>
          <w:tcPr>
            <w:tcW w:w="2835" w:type="dxa"/>
            <w:vAlign w:val="center"/>
          </w:tcPr>
          <w:p>
            <w:pPr>
              <w:pStyle w:val="26"/>
            </w:pPr>
            <w:r>
              <w:t>不动产登记数据库和权籍调查数据库完成率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18、开展《丰润区国土空间生态修复规划（2021-2035年）》编制工作绩效目标表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1.完成规划编制工作，达到报审条件</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国土空间生态修复规划编制数量</w:t>
            </w:r>
          </w:p>
        </w:tc>
        <w:tc>
          <w:tcPr>
            <w:tcW w:w="2835" w:type="dxa"/>
            <w:vAlign w:val="center"/>
          </w:tcPr>
          <w:p>
            <w:pPr>
              <w:pStyle w:val="26"/>
            </w:pPr>
            <w:r>
              <w:t>国土空间生态修复规划编制数量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土地利用率</w:t>
            </w:r>
          </w:p>
        </w:tc>
        <w:tc>
          <w:tcPr>
            <w:tcW w:w="2835" w:type="dxa"/>
            <w:vAlign w:val="center"/>
          </w:tcPr>
          <w:p>
            <w:pPr>
              <w:pStyle w:val="26"/>
            </w:pPr>
            <w:r>
              <w:t>生态修复土地占整体比例</w:t>
            </w:r>
          </w:p>
        </w:tc>
        <w:tc>
          <w:tcPr>
            <w:tcW w:w="2551" w:type="dxa"/>
            <w:vAlign w:val="center"/>
          </w:tcPr>
          <w:p>
            <w:pPr>
              <w:pStyle w:val="26"/>
            </w:pPr>
            <w:r>
              <w:t>≥90%</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规划编制单价</w:t>
            </w:r>
          </w:p>
        </w:tc>
        <w:tc>
          <w:tcPr>
            <w:tcW w:w="2835" w:type="dxa"/>
            <w:vAlign w:val="center"/>
          </w:tcPr>
          <w:p>
            <w:pPr>
              <w:pStyle w:val="26"/>
            </w:pPr>
            <w:r>
              <w:t>规划编制单价</w:t>
            </w:r>
          </w:p>
        </w:tc>
        <w:tc>
          <w:tcPr>
            <w:tcW w:w="2551" w:type="dxa"/>
            <w:vAlign w:val="center"/>
          </w:tcPr>
          <w:p>
            <w:pPr>
              <w:pStyle w:val="26"/>
            </w:pPr>
            <w:r>
              <w:t>≤143.5万元/个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集约节约土地利用，提高土地利用率</w:t>
            </w:r>
          </w:p>
        </w:tc>
        <w:tc>
          <w:tcPr>
            <w:tcW w:w="2835" w:type="dxa"/>
            <w:vAlign w:val="center"/>
          </w:tcPr>
          <w:p>
            <w:pPr>
              <w:pStyle w:val="26"/>
            </w:pPr>
            <w:r>
              <w:t>集约节约土地利用，提高土地利用率</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19、开展产业园用地情况调查暨2021年度开发区土地集约利用全面评价有关工作绩效目标表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1.出具河北丰润经济开发区土地集约利用评价项目成果，通过省自然资源厅验收合格</w:t>
            </w:r>
          </w:p>
          <w:p>
            <w:pPr>
              <w:pStyle w:val="26"/>
            </w:pPr>
            <w:r>
              <w:t>2.开发区土地利用管理、保障高端产业集聚发展用地需求</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出具经济开发区土地集约利用监测统计评价个数</w:t>
            </w:r>
          </w:p>
        </w:tc>
        <w:tc>
          <w:tcPr>
            <w:tcW w:w="2835" w:type="dxa"/>
            <w:vAlign w:val="center"/>
          </w:tcPr>
          <w:p>
            <w:pPr>
              <w:pStyle w:val="26"/>
            </w:pPr>
            <w:r>
              <w:t>出具经济开发区土地集约利用监测统计评价个数</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掌握开发区土地实际利用指标值</w:t>
            </w:r>
          </w:p>
        </w:tc>
        <w:tc>
          <w:tcPr>
            <w:tcW w:w="2835" w:type="dxa"/>
            <w:vAlign w:val="center"/>
          </w:tcPr>
          <w:p>
            <w:pPr>
              <w:pStyle w:val="26"/>
            </w:pPr>
            <w:r>
              <w:t>掌握开发区土地实际利用指标值</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合同约定的提交成果时间</w:t>
            </w:r>
          </w:p>
        </w:tc>
        <w:tc>
          <w:tcPr>
            <w:tcW w:w="2835" w:type="dxa"/>
            <w:vAlign w:val="center"/>
          </w:tcPr>
          <w:p>
            <w:pPr>
              <w:pStyle w:val="26"/>
            </w:pPr>
            <w:r>
              <w:t>合同约定的提交成果时间</w:t>
            </w:r>
          </w:p>
        </w:tc>
        <w:tc>
          <w:tcPr>
            <w:tcW w:w="2551" w:type="dxa"/>
            <w:vAlign w:val="center"/>
          </w:tcPr>
          <w:p>
            <w:pPr>
              <w:pStyle w:val="26"/>
            </w:pPr>
            <w:r>
              <w:t>2022年年低</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经济开发区土地集约利用监测统计评价单价</w:t>
            </w:r>
          </w:p>
        </w:tc>
        <w:tc>
          <w:tcPr>
            <w:tcW w:w="2835" w:type="dxa"/>
            <w:vAlign w:val="center"/>
          </w:tcPr>
          <w:p>
            <w:pPr>
              <w:pStyle w:val="26"/>
            </w:pPr>
            <w:r>
              <w:t>经济开发区土地集约利用监测统计评价单价</w:t>
            </w:r>
          </w:p>
        </w:tc>
        <w:tc>
          <w:tcPr>
            <w:tcW w:w="2551" w:type="dxa"/>
            <w:vAlign w:val="center"/>
          </w:tcPr>
          <w:p>
            <w:pPr>
              <w:pStyle w:val="26"/>
            </w:pPr>
            <w:r>
              <w:t>≤18.9万元/个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土地资源节约集约利用期限</w:t>
            </w:r>
          </w:p>
        </w:tc>
        <w:tc>
          <w:tcPr>
            <w:tcW w:w="2835" w:type="dxa"/>
            <w:vAlign w:val="center"/>
          </w:tcPr>
          <w:p>
            <w:pPr>
              <w:pStyle w:val="26"/>
            </w:pPr>
            <w:r>
              <w:t>促进土地资源节约集约利用，缓解土地资源短缺</w:t>
            </w:r>
          </w:p>
        </w:tc>
        <w:tc>
          <w:tcPr>
            <w:tcW w:w="2551" w:type="dxa"/>
            <w:vAlign w:val="center"/>
          </w:tcPr>
          <w:p>
            <w:pPr>
              <w:pStyle w:val="26"/>
            </w:pPr>
            <w:r>
              <w:t>≥10年</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节约、集约利用经济开发区土地资源</w:t>
            </w:r>
          </w:p>
        </w:tc>
        <w:tc>
          <w:tcPr>
            <w:tcW w:w="2835" w:type="dxa"/>
            <w:vAlign w:val="center"/>
          </w:tcPr>
          <w:p>
            <w:pPr>
              <w:pStyle w:val="26"/>
            </w:pPr>
            <w:r>
              <w:t>节约、集约利用经济开发区土地资源</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≥80%</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20、开展全民所有建设用地资源资产清查价值体系建设绩效目标表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1.推动解决“底数不清”等自然资源管理突出问题</w:t>
            </w:r>
          </w:p>
          <w:p>
            <w:pPr>
              <w:pStyle w:val="26"/>
            </w:pPr>
            <w:r>
              <w:t>2.建立健全资产清查制度</w:t>
            </w:r>
          </w:p>
          <w:p>
            <w:pPr>
              <w:pStyle w:val="26"/>
            </w:pPr>
            <w:r>
              <w:t>3.夯实全民所有自然资源资产管理基础</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自然资源资产清查种类</w:t>
            </w:r>
          </w:p>
        </w:tc>
        <w:tc>
          <w:tcPr>
            <w:tcW w:w="2835" w:type="dxa"/>
            <w:vAlign w:val="center"/>
          </w:tcPr>
          <w:p>
            <w:pPr>
              <w:pStyle w:val="26"/>
            </w:pPr>
            <w:r>
              <w:t>自然资源资产清查种类</w:t>
            </w:r>
          </w:p>
        </w:tc>
        <w:tc>
          <w:tcPr>
            <w:tcW w:w="2551" w:type="dxa"/>
            <w:vAlign w:val="center"/>
          </w:tcPr>
          <w:p>
            <w:pPr>
              <w:pStyle w:val="26"/>
            </w:pPr>
            <w:r>
              <w:t>≥6类</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资产清查内部质量控制率</w:t>
            </w:r>
          </w:p>
        </w:tc>
        <w:tc>
          <w:tcPr>
            <w:tcW w:w="2835" w:type="dxa"/>
            <w:vAlign w:val="center"/>
          </w:tcPr>
          <w:p>
            <w:pPr>
              <w:pStyle w:val="26"/>
            </w:pPr>
            <w:r>
              <w:t>采用“三检一验”制度，进行质量分级控制制度</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清查试点基准时点</w:t>
            </w:r>
          </w:p>
        </w:tc>
        <w:tc>
          <w:tcPr>
            <w:tcW w:w="2835" w:type="dxa"/>
            <w:vAlign w:val="center"/>
          </w:tcPr>
          <w:p>
            <w:pPr>
              <w:pStyle w:val="26"/>
            </w:pPr>
            <w:r>
              <w:t>清查试点基准时点</w:t>
            </w:r>
          </w:p>
        </w:tc>
        <w:tc>
          <w:tcPr>
            <w:tcW w:w="2551" w:type="dxa"/>
            <w:vAlign w:val="center"/>
          </w:tcPr>
          <w:p>
            <w:pPr>
              <w:pStyle w:val="26"/>
            </w:pPr>
            <w:r>
              <w:t>2022年年底</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资产清查工作资金成本</w:t>
            </w:r>
          </w:p>
        </w:tc>
        <w:tc>
          <w:tcPr>
            <w:tcW w:w="2835" w:type="dxa"/>
            <w:vAlign w:val="center"/>
          </w:tcPr>
          <w:p>
            <w:pPr>
              <w:pStyle w:val="26"/>
            </w:pPr>
            <w:r>
              <w:t>资产清查工作资金成本</w:t>
            </w:r>
          </w:p>
        </w:tc>
        <w:tc>
          <w:tcPr>
            <w:tcW w:w="2551" w:type="dxa"/>
            <w:vAlign w:val="center"/>
          </w:tcPr>
          <w:p>
            <w:pPr>
              <w:pStyle w:val="26"/>
            </w:pPr>
            <w:r>
              <w:t>≤4万元/类</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不断提高履行全民所有自然资源资产所有者职责的能力和水平</w:t>
            </w:r>
          </w:p>
        </w:tc>
        <w:tc>
          <w:tcPr>
            <w:tcW w:w="2835" w:type="dxa"/>
            <w:vAlign w:val="center"/>
          </w:tcPr>
          <w:p>
            <w:pPr>
              <w:pStyle w:val="26"/>
            </w:pPr>
            <w:r>
              <w:t>不断提高履行全民所有自然资源资产所有者职责的能力和水平</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使用人员满意度</w:t>
            </w:r>
          </w:p>
        </w:tc>
        <w:tc>
          <w:tcPr>
            <w:tcW w:w="2835" w:type="dxa"/>
            <w:vAlign w:val="center"/>
          </w:tcPr>
          <w:p>
            <w:pPr>
              <w:pStyle w:val="26"/>
            </w:pPr>
            <w:r>
              <w:t>使用人员满意度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21、矿山地质环境治理恢复资金绩效目标表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1.改善和修复采矿活动破坏的地质环境，解决矿山开采引起的矿山环境问题，消除因矿山开采破坏地表形成的白斑影像</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治理恢复数量</w:t>
            </w:r>
          </w:p>
        </w:tc>
        <w:tc>
          <w:tcPr>
            <w:tcW w:w="2835" w:type="dxa"/>
            <w:vAlign w:val="center"/>
          </w:tcPr>
          <w:p>
            <w:pPr>
              <w:pStyle w:val="26"/>
            </w:pPr>
            <w:r>
              <w:t>治理恢复数量</w:t>
            </w:r>
          </w:p>
        </w:tc>
        <w:tc>
          <w:tcPr>
            <w:tcW w:w="2551" w:type="dxa"/>
            <w:vAlign w:val="center"/>
          </w:tcPr>
          <w:p>
            <w:pPr>
              <w:pStyle w:val="26"/>
            </w:pPr>
            <w:r>
              <w:t>≥24处</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综合治理率</w:t>
            </w:r>
          </w:p>
        </w:tc>
        <w:tc>
          <w:tcPr>
            <w:tcW w:w="2835" w:type="dxa"/>
            <w:vAlign w:val="center"/>
          </w:tcPr>
          <w:p>
            <w:pPr>
              <w:pStyle w:val="26"/>
            </w:pPr>
            <w:r>
              <w:t>综合治理率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治理完成时间</w:t>
            </w:r>
          </w:p>
        </w:tc>
        <w:tc>
          <w:tcPr>
            <w:tcW w:w="2835" w:type="dxa"/>
            <w:vAlign w:val="center"/>
          </w:tcPr>
          <w:p>
            <w:pPr>
              <w:pStyle w:val="26"/>
            </w:pPr>
            <w:r>
              <w:t>治理完成时间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治理单价</w:t>
            </w:r>
          </w:p>
        </w:tc>
        <w:tc>
          <w:tcPr>
            <w:tcW w:w="2835" w:type="dxa"/>
            <w:vAlign w:val="center"/>
          </w:tcPr>
          <w:p>
            <w:pPr>
              <w:pStyle w:val="26"/>
            </w:pPr>
            <w:r>
              <w:t>治理单价</w:t>
            </w:r>
          </w:p>
        </w:tc>
        <w:tc>
          <w:tcPr>
            <w:tcW w:w="2551" w:type="dxa"/>
            <w:vAlign w:val="center"/>
          </w:tcPr>
          <w:p>
            <w:pPr>
              <w:pStyle w:val="26"/>
            </w:pPr>
            <w:r>
              <w:t>≤45万元/处</w:t>
            </w:r>
          </w:p>
        </w:tc>
        <w:tc>
          <w:tcPr>
            <w:tcW w:w="2268" w:type="dxa"/>
            <w:vAlign w:val="center"/>
          </w:tcPr>
          <w:p>
            <w:pPr>
              <w:pStyle w:val="26"/>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提高资源利用效率</w:t>
            </w:r>
          </w:p>
        </w:tc>
        <w:tc>
          <w:tcPr>
            <w:tcW w:w="2835" w:type="dxa"/>
            <w:vAlign w:val="center"/>
          </w:tcPr>
          <w:p>
            <w:pPr>
              <w:pStyle w:val="26"/>
            </w:pPr>
            <w:r>
              <w:t>提高资源利用效率</w:t>
            </w:r>
          </w:p>
        </w:tc>
        <w:tc>
          <w:tcPr>
            <w:tcW w:w="2551" w:type="dxa"/>
            <w:vAlign w:val="center"/>
          </w:tcPr>
          <w:p>
            <w:pPr>
              <w:pStyle w:val="26"/>
            </w:pPr>
            <w:r>
              <w:t>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≥90%</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22、历史遗留矿山核查项目绩效目标表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1.查清历史遗留矿山现状</w:t>
            </w:r>
          </w:p>
          <w:p>
            <w:pPr>
              <w:pStyle w:val="26"/>
            </w:pPr>
            <w:r>
              <w:t>2.遥感图斑分类核定</w:t>
            </w:r>
          </w:p>
          <w:p>
            <w:pPr>
              <w:pStyle w:val="26"/>
            </w:pPr>
            <w:r>
              <w:t>3.历史遗留矿山数据库建设</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图斑核查</w:t>
            </w:r>
          </w:p>
        </w:tc>
        <w:tc>
          <w:tcPr>
            <w:tcW w:w="2835" w:type="dxa"/>
            <w:vAlign w:val="center"/>
          </w:tcPr>
          <w:p>
            <w:pPr>
              <w:pStyle w:val="26"/>
            </w:pPr>
            <w:r>
              <w:t>实地核查数量</w:t>
            </w:r>
          </w:p>
        </w:tc>
        <w:tc>
          <w:tcPr>
            <w:tcW w:w="2551" w:type="dxa"/>
            <w:vAlign w:val="center"/>
          </w:tcPr>
          <w:p>
            <w:pPr>
              <w:pStyle w:val="26"/>
            </w:pPr>
            <w:r>
              <w:t>≥358处</w:t>
            </w:r>
          </w:p>
        </w:tc>
        <w:tc>
          <w:tcPr>
            <w:tcW w:w="2268" w:type="dxa"/>
            <w:vAlign w:val="center"/>
          </w:tcPr>
          <w:p>
            <w:pPr>
              <w:pStyle w:val="2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信息填报率</w:t>
            </w:r>
          </w:p>
        </w:tc>
        <w:tc>
          <w:tcPr>
            <w:tcW w:w="2835" w:type="dxa"/>
            <w:vAlign w:val="center"/>
          </w:tcPr>
          <w:p>
            <w:pPr>
              <w:pStyle w:val="26"/>
            </w:pPr>
            <w:r>
              <w:t>信息填报率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核查完成时间</w:t>
            </w:r>
          </w:p>
        </w:tc>
        <w:tc>
          <w:tcPr>
            <w:tcW w:w="2835" w:type="dxa"/>
            <w:vAlign w:val="center"/>
          </w:tcPr>
          <w:p>
            <w:pPr>
              <w:pStyle w:val="26"/>
            </w:pPr>
            <w:r>
              <w:t>核查完成时间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核查平均费用</w:t>
            </w:r>
          </w:p>
        </w:tc>
        <w:tc>
          <w:tcPr>
            <w:tcW w:w="2835" w:type="dxa"/>
            <w:vAlign w:val="center"/>
          </w:tcPr>
          <w:p>
            <w:pPr>
              <w:pStyle w:val="26"/>
            </w:pPr>
            <w:r>
              <w:t>核查平均费用</w:t>
            </w:r>
          </w:p>
        </w:tc>
        <w:tc>
          <w:tcPr>
            <w:tcW w:w="2551" w:type="dxa"/>
            <w:vAlign w:val="center"/>
          </w:tcPr>
          <w:p>
            <w:pPr>
              <w:pStyle w:val="26"/>
            </w:pPr>
            <w:r>
              <w:t>≤0.05万元/处</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建立核查档案</w:t>
            </w:r>
          </w:p>
        </w:tc>
        <w:tc>
          <w:tcPr>
            <w:tcW w:w="2835" w:type="dxa"/>
            <w:vAlign w:val="center"/>
          </w:tcPr>
          <w:p>
            <w:pPr>
              <w:pStyle w:val="26"/>
            </w:pPr>
            <w:r>
              <w:t>建立核查档案表和成果数据库，形成核查工作报告</w:t>
            </w:r>
          </w:p>
        </w:tc>
        <w:tc>
          <w:tcPr>
            <w:tcW w:w="2551" w:type="dxa"/>
            <w:vAlign w:val="center"/>
          </w:tcPr>
          <w:p>
            <w:pPr>
              <w:pStyle w:val="26"/>
            </w:pPr>
            <w:r>
              <w:t>≥98%</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23、农村宅基地档案数据整合绩效目标表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1.约25万卷宅基地纸质档案的电子化处理等工作</w:t>
            </w:r>
          </w:p>
          <w:p>
            <w:pPr>
              <w:pStyle w:val="26"/>
            </w:pPr>
            <w:r>
              <w:t>2.档案电子信息补录、电子信息分卷、信息合并、数据移交、综合查询等工作</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宅基地纸质档案电子化处理数量</w:t>
            </w:r>
          </w:p>
        </w:tc>
        <w:tc>
          <w:tcPr>
            <w:tcW w:w="2835" w:type="dxa"/>
            <w:vAlign w:val="center"/>
          </w:tcPr>
          <w:p>
            <w:pPr>
              <w:pStyle w:val="26"/>
            </w:pPr>
            <w:r>
              <w:t>宅基地纸质档案电子化处理数量</w:t>
            </w:r>
          </w:p>
        </w:tc>
        <w:tc>
          <w:tcPr>
            <w:tcW w:w="2551" w:type="dxa"/>
            <w:vAlign w:val="center"/>
          </w:tcPr>
          <w:p>
            <w:pPr>
              <w:pStyle w:val="26"/>
            </w:pPr>
            <w:r>
              <w:t>≥25万卷</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服务内容及技术要求</w:t>
            </w:r>
          </w:p>
        </w:tc>
        <w:tc>
          <w:tcPr>
            <w:tcW w:w="2835" w:type="dxa"/>
            <w:vAlign w:val="center"/>
          </w:tcPr>
          <w:p>
            <w:pPr>
              <w:pStyle w:val="26"/>
            </w:pPr>
            <w:r>
              <w:t>符合省厅技术规范的宅基地汇交数据，不符合汇交规范的分类说明，对现有电子数据进入电子信息档案库，保证查询不遗漏</w:t>
            </w:r>
          </w:p>
        </w:tc>
        <w:tc>
          <w:tcPr>
            <w:tcW w:w="2551" w:type="dxa"/>
            <w:vAlign w:val="center"/>
          </w:tcPr>
          <w:p>
            <w:pPr>
              <w:pStyle w:val="26"/>
            </w:pPr>
            <w:r>
              <w:t>≥1卷/户</w:t>
            </w:r>
          </w:p>
        </w:tc>
        <w:tc>
          <w:tcPr>
            <w:tcW w:w="2268" w:type="dxa"/>
            <w:vAlign w:val="center"/>
          </w:tcPr>
          <w:p>
            <w:pPr>
              <w:pStyle w:val="26"/>
            </w:pPr>
            <w:r>
              <w:t>省厅技术规范及行业标准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完成宅基地纸质档案的电子化处理工作的时间</w:t>
            </w:r>
          </w:p>
        </w:tc>
        <w:tc>
          <w:tcPr>
            <w:tcW w:w="2551" w:type="dxa"/>
            <w:vAlign w:val="center"/>
          </w:tcPr>
          <w:p>
            <w:pPr>
              <w:pStyle w:val="26"/>
            </w:pPr>
            <w:r>
              <w:t>≤180天</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宅基地纸质档案的电子化处理工作单价</w:t>
            </w:r>
          </w:p>
        </w:tc>
        <w:tc>
          <w:tcPr>
            <w:tcW w:w="2835" w:type="dxa"/>
            <w:vAlign w:val="center"/>
          </w:tcPr>
          <w:p>
            <w:pPr>
              <w:pStyle w:val="26"/>
            </w:pPr>
            <w:r>
              <w:t>宅基地纸质档案的电子化处理工作单价</w:t>
            </w:r>
          </w:p>
        </w:tc>
        <w:tc>
          <w:tcPr>
            <w:tcW w:w="2551" w:type="dxa"/>
            <w:vAlign w:val="center"/>
          </w:tcPr>
          <w:p>
            <w:pPr>
              <w:pStyle w:val="26"/>
            </w:pPr>
            <w:r>
              <w:t>≤3元/本</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农村宅基地档案整理及信息化建设服务完成率</w:t>
            </w:r>
          </w:p>
        </w:tc>
        <w:tc>
          <w:tcPr>
            <w:tcW w:w="2835" w:type="dxa"/>
            <w:vAlign w:val="center"/>
          </w:tcPr>
          <w:p>
            <w:pPr>
              <w:pStyle w:val="26"/>
            </w:pPr>
            <w:r>
              <w:t>农村宅基地档案整理及信息化建设服务完成率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24、全国第三次耕地质量分等定级调查费绩效目标表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1.建立全国第三次耕地质量分等定级调查数据库</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建立数据库数量</w:t>
            </w:r>
          </w:p>
        </w:tc>
        <w:tc>
          <w:tcPr>
            <w:tcW w:w="2835" w:type="dxa"/>
            <w:vAlign w:val="center"/>
          </w:tcPr>
          <w:p>
            <w:pPr>
              <w:pStyle w:val="26"/>
            </w:pPr>
            <w:r>
              <w:t>建立全国第三次耕地质量分等定级调查数据库数量</w:t>
            </w:r>
          </w:p>
        </w:tc>
        <w:tc>
          <w:tcPr>
            <w:tcW w:w="2551" w:type="dxa"/>
            <w:vAlign w:val="center"/>
          </w:tcPr>
          <w:p>
            <w:pPr>
              <w:pStyle w:val="26"/>
            </w:pPr>
            <w:r>
              <w:t>≥1个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数据完善率</w:t>
            </w:r>
          </w:p>
        </w:tc>
        <w:tc>
          <w:tcPr>
            <w:tcW w:w="2835" w:type="dxa"/>
            <w:vAlign w:val="center"/>
          </w:tcPr>
          <w:p>
            <w:pPr>
              <w:pStyle w:val="26"/>
            </w:pPr>
            <w:r>
              <w:t>数据完善率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数据库建立完成时间</w:t>
            </w:r>
          </w:p>
        </w:tc>
        <w:tc>
          <w:tcPr>
            <w:tcW w:w="2835" w:type="dxa"/>
            <w:vAlign w:val="center"/>
          </w:tcPr>
          <w:p>
            <w:pPr>
              <w:pStyle w:val="26"/>
            </w:pPr>
            <w:r>
              <w:t>数据库建立完成时间</w:t>
            </w:r>
          </w:p>
        </w:tc>
        <w:tc>
          <w:tcPr>
            <w:tcW w:w="2551" w:type="dxa"/>
            <w:vAlign w:val="center"/>
          </w:tcPr>
          <w:p>
            <w:pPr>
              <w:pStyle w:val="26"/>
            </w:pPr>
            <w:r>
              <w:t>2022年年底</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数据库建立单价</w:t>
            </w:r>
          </w:p>
        </w:tc>
        <w:tc>
          <w:tcPr>
            <w:tcW w:w="2835" w:type="dxa"/>
            <w:vAlign w:val="center"/>
          </w:tcPr>
          <w:p>
            <w:pPr>
              <w:pStyle w:val="26"/>
            </w:pPr>
            <w:r>
              <w:t>数据库建立单价</w:t>
            </w:r>
          </w:p>
        </w:tc>
        <w:tc>
          <w:tcPr>
            <w:tcW w:w="2551" w:type="dxa"/>
            <w:vAlign w:val="center"/>
          </w:tcPr>
          <w:p>
            <w:pPr>
              <w:pStyle w:val="26"/>
            </w:pPr>
            <w:r>
              <w:t>≤65万元/个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提升土地管理水平</w:t>
            </w:r>
          </w:p>
        </w:tc>
        <w:tc>
          <w:tcPr>
            <w:tcW w:w="2835" w:type="dxa"/>
            <w:vAlign w:val="center"/>
          </w:tcPr>
          <w:p>
            <w:pPr>
              <w:pStyle w:val="26"/>
            </w:pPr>
            <w:r>
              <w:t>耕地合理定级，提升土地管理水平</w:t>
            </w:r>
          </w:p>
        </w:tc>
        <w:tc>
          <w:tcPr>
            <w:tcW w:w="2551" w:type="dxa"/>
            <w:vAlign w:val="center"/>
          </w:tcPr>
          <w:p>
            <w:pPr>
              <w:pStyle w:val="26"/>
            </w:pPr>
            <w:r>
              <w:t>高</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25、唐山市丰润区农村集体建设用地及农村宅基地确权登记项目绩效目标表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1.已完成全区宅基地调查</w:t>
            </w:r>
          </w:p>
          <w:p>
            <w:pPr>
              <w:pStyle w:val="26"/>
            </w:pPr>
            <w:r>
              <w:t>2.已完成全区集体建设用地调查</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确权登记数量</w:t>
            </w:r>
          </w:p>
        </w:tc>
        <w:tc>
          <w:tcPr>
            <w:tcW w:w="2835" w:type="dxa"/>
            <w:vAlign w:val="center"/>
          </w:tcPr>
          <w:p>
            <w:pPr>
              <w:pStyle w:val="26"/>
            </w:pPr>
            <w:r>
              <w:t>已完成全区宅基地及集体建设用地调查数量</w:t>
            </w:r>
          </w:p>
        </w:tc>
        <w:tc>
          <w:tcPr>
            <w:tcW w:w="2551" w:type="dxa"/>
            <w:vAlign w:val="center"/>
          </w:tcPr>
          <w:p>
            <w:pPr>
              <w:pStyle w:val="26"/>
            </w:pPr>
            <w:r>
              <w:t>≥39个</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确权登记完成率</w:t>
            </w:r>
          </w:p>
        </w:tc>
        <w:tc>
          <w:tcPr>
            <w:tcW w:w="2835" w:type="dxa"/>
            <w:vAlign w:val="center"/>
          </w:tcPr>
          <w:p>
            <w:pPr>
              <w:pStyle w:val="26"/>
            </w:pPr>
            <w:r>
              <w:t>确权登记完成率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合同有效期内完成调查并建设数据库</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确权登记平均成本</w:t>
            </w:r>
          </w:p>
        </w:tc>
        <w:tc>
          <w:tcPr>
            <w:tcW w:w="2835" w:type="dxa"/>
            <w:vAlign w:val="center"/>
          </w:tcPr>
          <w:p>
            <w:pPr>
              <w:pStyle w:val="26"/>
            </w:pPr>
            <w:r>
              <w:t>确权登记平均成本</w:t>
            </w:r>
          </w:p>
        </w:tc>
        <w:tc>
          <w:tcPr>
            <w:tcW w:w="2551" w:type="dxa"/>
            <w:vAlign w:val="center"/>
          </w:tcPr>
          <w:p>
            <w:pPr>
              <w:pStyle w:val="26"/>
            </w:pPr>
            <w:r>
              <w:t>≤5万元/个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服务内容及技术要求</w:t>
            </w:r>
          </w:p>
        </w:tc>
        <w:tc>
          <w:tcPr>
            <w:tcW w:w="2835" w:type="dxa"/>
            <w:vAlign w:val="center"/>
          </w:tcPr>
          <w:p>
            <w:pPr>
              <w:pStyle w:val="26"/>
            </w:pPr>
            <w:r>
              <w:t>符合《确定土地所有权和使用权的若干规定》并于2018年9月通过专家验收</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26、唐山市丰润区农村集体土地确权登记发证项目绩效目标表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1.已完成全区调查、权籍测量、建立了数据库及相关图件编制等内容。</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确权登记数量</w:t>
            </w:r>
          </w:p>
        </w:tc>
        <w:tc>
          <w:tcPr>
            <w:tcW w:w="2835" w:type="dxa"/>
            <w:vAlign w:val="center"/>
          </w:tcPr>
          <w:p>
            <w:pPr>
              <w:pStyle w:val="26"/>
            </w:pPr>
            <w:r>
              <w:t>已完成全区调查、权籍测量、建立了数据库及相关图件编制等内容的农村集体用地数量</w:t>
            </w:r>
          </w:p>
        </w:tc>
        <w:tc>
          <w:tcPr>
            <w:tcW w:w="2551" w:type="dxa"/>
            <w:vAlign w:val="center"/>
          </w:tcPr>
          <w:p>
            <w:pPr>
              <w:pStyle w:val="26"/>
            </w:pPr>
            <w:r>
              <w:t>≥15个</w:t>
            </w:r>
          </w:p>
        </w:tc>
        <w:tc>
          <w:tcPr>
            <w:tcW w:w="2268" w:type="dxa"/>
            <w:vAlign w:val="center"/>
          </w:tcPr>
          <w:p>
            <w:pPr>
              <w:pStyle w:val="26"/>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确权登记完成率</w:t>
            </w:r>
          </w:p>
        </w:tc>
        <w:tc>
          <w:tcPr>
            <w:tcW w:w="2835" w:type="dxa"/>
            <w:vAlign w:val="center"/>
          </w:tcPr>
          <w:p>
            <w:pPr>
              <w:pStyle w:val="26"/>
            </w:pPr>
            <w:r>
              <w:t>确权登记完成率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项目服务期限</w:t>
            </w:r>
          </w:p>
        </w:tc>
        <w:tc>
          <w:tcPr>
            <w:tcW w:w="2835" w:type="dxa"/>
            <w:vAlign w:val="center"/>
          </w:tcPr>
          <w:p>
            <w:pPr>
              <w:pStyle w:val="26"/>
            </w:pPr>
            <w:r>
              <w:t>合同有效期内完成调查并发证</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确权登记平均成本</w:t>
            </w:r>
          </w:p>
        </w:tc>
        <w:tc>
          <w:tcPr>
            <w:tcW w:w="2835" w:type="dxa"/>
            <w:vAlign w:val="center"/>
          </w:tcPr>
          <w:p>
            <w:pPr>
              <w:pStyle w:val="26"/>
            </w:pPr>
            <w:r>
              <w:t>确权登记平均成本</w:t>
            </w:r>
          </w:p>
        </w:tc>
        <w:tc>
          <w:tcPr>
            <w:tcW w:w="2551" w:type="dxa"/>
            <w:vAlign w:val="center"/>
          </w:tcPr>
          <w:p>
            <w:pPr>
              <w:pStyle w:val="26"/>
            </w:pPr>
            <w:r>
              <w:t>≤9万元/个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服务内容及技术要求</w:t>
            </w:r>
          </w:p>
        </w:tc>
        <w:tc>
          <w:tcPr>
            <w:tcW w:w="2835" w:type="dxa"/>
            <w:vAlign w:val="center"/>
          </w:tcPr>
          <w:p>
            <w:pPr>
              <w:pStyle w:val="26"/>
            </w:pPr>
            <w:r>
              <w:t>符合《唐山市农村地籍和房屋调查实施细则》并于2018年9月通过专家验收。</w:t>
            </w:r>
          </w:p>
        </w:tc>
        <w:tc>
          <w:tcPr>
            <w:tcW w:w="2551" w:type="dxa"/>
            <w:vAlign w:val="center"/>
          </w:tcPr>
          <w:p>
            <w:pPr>
              <w:pStyle w:val="26"/>
            </w:pPr>
            <w:r>
              <w:t>优</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服务对象满意度</w:t>
            </w:r>
          </w:p>
        </w:tc>
        <w:tc>
          <w:tcPr>
            <w:tcW w:w="2835" w:type="dxa"/>
            <w:vAlign w:val="center"/>
          </w:tcPr>
          <w:p>
            <w:pPr>
              <w:pStyle w:val="26"/>
            </w:pPr>
            <w:r>
              <w:t>服务对象满意度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27、土地出让业务经费绩效目标表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1.保证机关工作正常运转</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在职人员数量</w:t>
            </w:r>
          </w:p>
        </w:tc>
        <w:tc>
          <w:tcPr>
            <w:tcW w:w="2835" w:type="dxa"/>
            <w:vAlign w:val="center"/>
          </w:tcPr>
          <w:p>
            <w:pPr>
              <w:pStyle w:val="26"/>
            </w:pPr>
            <w:r>
              <w:t>在职在岗人员数量</w:t>
            </w:r>
          </w:p>
        </w:tc>
        <w:tc>
          <w:tcPr>
            <w:tcW w:w="2551" w:type="dxa"/>
            <w:vAlign w:val="center"/>
          </w:tcPr>
          <w:p>
            <w:pPr>
              <w:pStyle w:val="26"/>
            </w:pPr>
            <w:r>
              <w:t>≥148人</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局内工作开展效果</w:t>
            </w:r>
          </w:p>
        </w:tc>
        <w:tc>
          <w:tcPr>
            <w:tcW w:w="2835" w:type="dxa"/>
            <w:vAlign w:val="center"/>
          </w:tcPr>
          <w:p>
            <w:pPr>
              <w:pStyle w:val="26"/>
            </w:pPr>
            <w:r>
              <w:t>局内工作开展效果</w:t>
            </w:r>
          </w:p>
        </w:tc>
        <w:tc>
          <w:tcPr>
            <w:tcW w:w="2551" w:type="dxa"/>
            <w:vAlign w:val="center"/>
          </w:tcPr>
          <w:p>
            <w:pPr>
              <w:pStyle w:val="26"/>
            </w:pPr>
            <w:r>
              <w:t>优</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电脑采集成本</w:t>
            </w:r>
          </w:p>
        </w:tc>
        <w:tc>
          <w:tcPr>
            <w:tcW w:w="2835" w:type="dxa"/>
            <w:vAlign w:val="center"/>
          </w:tcPr>
          <w:p>
            <w:pPr>
              <w:pStyle w:val="26"/>
            </w:pPr>
            <w:r>
              <w:t>电脑采集成本</w:t>
            </w:r>
          </w:p>
        </w:tc>
        <w:tc>
          <w:tcPr>
            <w:tcW w:w="2551" w:type="dxa"/>
            <w:vAlign w:val="center"/>
          </w:tcPr>
          <w:p>
            <w:pPr>
              <w:pStyle w:val="26"/>
            </w:pPr>
            <w:r>
              <w:t>≤4500元/台</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保证局内工作顺利开展</w:t>
            </w:r>
          </w:p>
        </w:tc>
        <w:tc>
          <w:tcPr>
            <w:tcW w:w="2835" w:type="dxa"/>
            <w:vAlign w:val="center"/>
          </w:tcPr>
          <w:p>
            <w:pPr>
              <w:pStyle w:val="26"/>
            </w:pPr>
            <w:r>
              <w:t>保证局内工作顺利开展</w:t>
            </w:r>
          </w:p>
        </w:tc>
        <w:tc>
          <w:tcPr>
            <w:tcW w:w="2551" w:type="dxa"/>
            <w:vAlign w:val="center"/>
          </w:tcPr>
          <w:p>
            <w:pPr>
              <w:pStyle w:val="26"/>
            </w:pPr>
            <w:r>
              <w:t>2022年</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28、土地出让业务经费21借款绩效目标表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在职人员数量</w:t>
            </w:r>
          </w:p>
        </w:tc>
        <w:tc>
          <w:tcPr>
            <w:tcW w:w="2835" w:type="dxa"/>
            <w:vAlign w:val="center"/>
          </w:tcPr>
          <w:p>
            <w:pPr>
              <w:pStyle w:val="26"/>
            </w:pPr>
            <w:r>
              <w:t>在职人员数量</w:t>
            </w:r>
          </w:p>
        </w:tc>
        <w:tc>
          <w:tcPr>
            <w:tcW w:w="2551" w:type="dxa"/>
            <w:vAlign w:val="center"/>
          </w:tcPr>
          <w:p>
            <w:pPr>
              <w:pStyle w:val="26"/>
            </w:pPr>
            <w:r>
              <w:t>≥148人</w:t>
            </w:r>
          </w:p>
        </w:tc>
        <w:tc>
          <w:tcPr>
            <w:tcW w:w="2268" w:type="dxa"/>
            <w:vAlign w:val="center"/>
          </w:tcPr>
          <w:p>
            <w:pPr>
              <w:pStyle w:val="2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局内开展工作效果</w:t>
            </w:r>
          </w:p>
        </w:tc>
        <w:tc>
          <w:tcPr>
            <w:tcW w:w="2835" w:type="dxa"/>
            <w:vAlign w:val="center"/>
          </w:tcPr>
          <w:p>
            <w:pPr>
              <w:pStyle w:val="26"/>
            </w:pPr>
            <w:r>
              <w:t>局内开展工作效果</w:t>
            </w:r>
          </w:p>
        </w:tc>
        <w:tc>
          <w:tcPr>
            <w:tcW w:w="2551" w:type="dxa"/>
            <w:vAlign w:val="center"/>
          </w:tcPr>
          <w:p>
            <w:pPr>
              <w:pStyle w:val="26"/>
            </w:pPr>
            <w:r>
              <w:t>优</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工作完成率</w:t>
            </w:r>
          </w:p>
        </w:tc>
        <w:tc>
          <w:tcPr>
            <w:tcW w:w="2835" w:type="dxa"/>
            <w:vAlign w:val="center"/>
          </w:tcPr>
          <w:p>
            <w:pPr>
              <w:pStyle w:val="26"/>
            </w:pPr>
            <w:r>
              <w:t>工作完成率</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电脑采集成本</w:t>
            </w:r>
          </w:p>
        </w:tc>
        <w:tc>
          <w:tcPr>
            <w:tcW w:w="2835" w:type="dxa"/>
            <w:vAlign w:val="center"/>
          </w:tcPr>
          <w:p>
            <w:pPr>
              <w:pStyle w:val="26"/>
            </w:pPr>
            <w:r>
              <w:t>电脑采集成本</w:t>
            </w:r>
          </w:p>
        </w:tc>
        <w:tc>
          <w:tcPr>
            <w:tcW w:w="2551" w:type="dxa"/>
            <w:vAlign w:val="center"/>
          </w:tcPr>
          <w:p>
            <w:pPr>
              <w:pStyle w:val="26"/>
            </w:pPr>
            <w:r>
              <w:t>≤4500元/台</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可持续影响指标</w:t>
            </w:r>
          </w:p>
        </w:tc>
        <w:tc>
          <w:tcPr>
            <w:tcW w:w="2835" w:type="dxa"/>
            <w:vAlign w:val="center"/>
          </w:tcPr>
          <w:p>
            <w:pPr>
              <w:pStyle w:val="26"/>
            </w:pPr>
            <w:r>
              <w:t>保证局内工作顺利开展</w:t>
            </w:r>
          </w:p>
        </w:tc>
        <w:tc>
          <w:tcPr>
            <w:tcW w:w="2835" w:type="dxa"/>
            <w:vAlign w:val="center"/>
          </w:tcPr>
          <w:p>
            <w:pPr>
              <w:pStyle w:val="26"/>
            </w:pPr>
            <w:r>
              <w:t>保证局内工作顺利开展</w:t>
            </w:r>
          </w:p>
        </w:tc>
        <w:tc>
          <w:tcPr>
            <w:tcW w:w="2551" w:type="dxa"/>
            <w:vAlign w:val="center"/>
          </w:tcPr>
          <w:p>
            <w:pPr>
              <w:pStyle w:val="26"/>
            </w:pPr>
            <w:r>
              <w:t>2022年年底</w:t>
            </w:r>
          </w:p>
        </w:tc>
        <w:tc>
          <w:tcPr>
            <w:tcW w:w="2268" w:type="dxa"/>
            <w:vAlign w:val="center"/>
          </w:tcPr>
          <w:p>
            <w:pPr>
              <w:pStyle w:val="2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群众满意度</w:t>
            </w:r>
          </w:p>
        </w:tc>
        <w:tc>
          <w:tcPr>
            <w:tcW w:w="2835" w:type="dxa"/>
            <w:vAlign w:val="center"/>
          </w:tcPr>
          <w:p>
            <w:pPr>
              <w:pStyle w:val="26"/>
            </w:pPr>
            <w:r>
              <w:t>群众满意度</w:t>
            </w:r>
          </w:p>
        </w:tc>
        <w:tc>
          <w:tcPr>
            <w:tcW w:w="2551" w:type="dxa"/>
            <w:vAlign w:val="center"/>
          </w:tcPr>
          <w:p>
            <w:pPr>
              <w:pStyle w:val="26"/>
            </w:pPr>
            <w:r>
              <w:t>≥95%</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29、土地矿产卫片执法绩效目标表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1.对部下发的土地、矿产卫片图斑进行核实，有效打击违法行为的发生</w:t>
            </w:r>
          </w:p>
          <w:p>
            <w:pPr>
              <w:pStyle w:val="26"/>
            </w:pPr>
            <w:r>
              <w:t>2.对越界采矿做采出量核实，出具储量报告</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视频维护个数</w:t>
            </w:r>
          </w:p>
        </w:tc>
        <w:tc>
          <w:tcPr>
            <w:tcW w:w="2835" w:type="dxa"/>
            <w:vAlign w:val="center"/>
          </w:tcPr>
          <w:p>
            <w:pPr>
              <w:pStyle w:val="26"/>
            </w:pPr>
            <w:r>
              <w:t>视频维护个数</w:t>
            </w:r>
          </w:p>
        </w:tc>
        <w:tc>
          <w:tcPr>
            <w:tcW w:w="2551" w:type="dxa"/>
            <w:vAlign w:val="center"/>
          </w:tcPr>
          <w:p>
            <w:pPr>
              <w:pStyle w:val="26"/>
            </w:pPr>
            <w:r>
              <w:t>≥32个</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对违法图斑进行整改</w:t>
            </w:r>
          </w:p>
        </w:tc>
        <w:tc>
          <w:tcPr>
            <w:tcW w:w="2835" w:type="dxa"/>
            <w:vAlign w:val="center"/>
          </w:tcPr>
          <w:p>
            <w:pPr>
              <w:pStyle w:val="26"/>
            </w:pPr>
            <w:r>
              <w:t>整改矿产卫片占需整改卫片的数量</w:t>
            </w:r>
          </w:p>
        </w:tc>
        <w:tc>
          <w:tcPr>
            <w:tcW w:w="2551" w:type="dxa"/>
            <w:vAlign w:val="center"/>
          </w:tcPr>
          <w:p>
            <w:pPr>
              <w:pStyle w:val="26"/>
            </w:pPr>
            <w:r>
              <w:t>≥85%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完成卫片图斑的核实期限</w:t>
            </w:r>
          </w:p>
        </w:tc>
        <w:tc>
          <w:tcPr>
            <w:tcW w:w="2835" w:type="dxa"/>
            <w:vAlign w:val="center"/>
          </w:tcPr>
          <w:p>
            <w:pPr>
              <w:pStyle w:val="26"/>
            </w:pPr>
            <w:r>
              <w:t>完成卫片图斑的核实期限</w:t>
            </w:r>
          </w:p>
        </w:tc>
        <w:tc>
          <w:tcPr>
            <w:tcW w:w="2551" w:type="dxa"/>
            <w:vAlign w:val="center"/>
          </w:tcPr>
          <w:p>
            <w:pPr>
              <w:pStyle w:val="26"/>
            </w:pPr>
            <w:r>
              <w:t>≤3月</w:t>
            </w:r>
          </w:p>
        </w:tc>
        <w:tc>
          <w:tcPr>
            <w:tcW w:w="2268" w:type="dxa"/>
            <w:vAlign w:val="center"/>
          </w:tcPr>
          <w:p>
            <w:pPr>
              <w:pStyle w:val="2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聘请第三方视频维护成本</w:t>
            </w:r>
          </w:p>
        </w:tc>
        <w:tc>
          <w:tcPr>
            <w:tcW w:w="2835" w:type="dxa"/>
            <w:vAlign w:val="center"/>
          </w:tcPr>
          <w:p>
            <w:pPr>
              <w:pStyle w:val="26"/>
            </w:pPr>
            <w:r>
              <w:t>聘请第三方视频维护成本</w:t>
            </w:r>
          </w:p>
        </w:tc>
        <w:tc>
          <w:tcPr>
            <w:tcW w:w="2551" w:type="dxa"/>
            <w:vAlign w:val="center"/>
          </w:tcPr>
          <w:p>
            <w:pPr>
              <w:pStyle w:val="26"/>
            </w:pPr>
            <w:r>
              <w:t>≤20万元</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对违法开采、非法占地依法进行处罚</w:t>
            </w:r>
          </w:p>
        </w:tc>
        <w:tc>
          <w:tcPr>
            <w:tcW w:w="2835" w:type="dxa"/>
            <w:vAlign w:val="center"/>
          </w:tcPr>
          <w:p>
            <w:pPr>
              <w:pStyle w:val="26"/>
            </w:pPr>
            <w:r>
              <w:t>对违法开采、非法占地依法进行处罚</w:t>
            </w:r>
          </w:p>
        </w:tc>
        <w:tc>
          <w:tcPr>
            <w:tcW w:w="2551" w:type="dxa"/>
            <w:vAlign w:val="center"/>
          </w:tcPr>
          <w:p>
            <w:pPr>
              <w:pStyle w:val="26"/>
            </w:pPr>
            <w:r>
              <w:t>≥100元/平方米</w:t>
            </w:r>
          </w:p>
        </w:tc>
        <w:tc>
          <w:tcPr>
            <w:tcW w:w="2268" w:type="dxa"/>
            <w:vAlign w:val="center"/>
          </w:tcPr>
          <w:p>
            <w:pPr>
              <w:pStyle w:val="2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受益群体满意度</w:t>
            </w:r>
          </w:p>
        </w:tc>
        <w:tc>
          <w:tcPr>
            <w:tcW w:w="2835" w:type="dxa"/>
            <w:vAlign w:val="center"/>
          </w:tcPr>
          <w:p>
            <w:pPr>
              <w:pStyle w:val="26"/>
            </w:pPr>
            <w:r>
              <w:t>受益群体满意度</w:t>
            </w:r>
          </w:p>
        </w:tc>
        <w:tc>
          <w:tcPr>
            <w:tcW w:w="2551" w:type="dxa"/>
            <w:vAlign w:val="center"/>
          </w:tcPr>
          <w:p>
            <w:pPr>
              <w:pStyle w:val="26"/>
            </w:pPr>
            <w:r>
              <w:t>≥95%</w:t>
            </w:r>
          </w:p>
        </w:tc>
        <w:tc>
          <w:tcPr>
            <w:tcW w:w="2268" w:type="dxa"/>
            <w:vAlign w:val="center"/>
          </w:tcPr>
          <w:p>
            <w:pPr>
              <w:pStyle w:val="26"/>
            </w:pPr>
            <w:r>
              <w:t>问卷调查</w:t>
            </w:r>
          </w:p>
        </w:tc>
      </w:tr>
    </w:tbl>
    <w:p>
      <w:pPr>
        <w:pStyle w:val="24"/>
      </w:pPr>
    </w:p>
    <w:p>
      <w:pPr>
        <w:pStyle w:val="24"/>
        <w:ind w:firstLine="560"/>
      </w:pPr>
      <w:r>
        <w:rPr>
          <w:rFonts w:ascii="方正仿宋_GBK" w:hAnsi="方正仿宋_GBK" w:eastAsia="方正仿宋_GBK" w:cs="方正仿宋_GBK"/>
          <w:b/>
          <w:color w:val="000000"/>
          <w:sz w:val="28"/>
        </w:rPr>
        <w:t>30、委托业务费绩效目标表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1.评估出让土地使用权出让价值</w:t>
            </w:r>
          </w:p>
          <w:p>
            <w:pPr>
              <w:pStyle w:val="26"/>
            </w:pPr>
            <w:r>
              <w:t>2.为确定土地出让底价提供参考依据</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委托业务数量</w:t>
            </w:r>
          </w:p>
        </w:tc>
        <w:tc>
          <w:tcPr>
            <w:tcW w:w="2835" w:type="dxa"/>
            <w:vAlign w:val="center"/>
          </w:tcPr>
          <w:p>
            <w:pPr>
              <w:pStyle w:val="26"/>
            </w:pPr>
            <w:r>
              <w:t>委托评估土地使用权出让的宗地数量</w:t>
            </w:r>
          </w:p>
        </w:tc>
        <w:tc>
          <w:tcPr>
            <w:tcW w:w="2551" w:type="dxa"/>
            <w:vAlign w:val="center"/>
          </w:tcPr>
          <w:p>
            <w:pPr>
              <w:pStyle w:val="26"/>
            </w:pPr>
            <w:r>
              <w:t>≥15宗</w:t>
            </w:r>
          </w:p>
        </w:tc>
        <w:tc>
          <w:tcPr>
            <w:tcW w:w="2268" w:type="dxa"/>
            <w:vAlign w:val="center"/>
          </w:tcPr>
          <w:p>
            <w:pPr>
              <w:pStyle w:val="26"/>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规范土地储备管理</w:t>
            </w:r>
          </w:p>
        </w:tc>
        <w:tc>
          <w:tcPr>
            <w:tcW w:w="2835" w:type="dxa"/>
            <w:vAlign w:val="center"/>
          </w:tcPr>
          <w:p>
            <w:pPr>
              <w:pStyle w:val="26"/>
            </w:pPr>
            <w:r>
              <w:t>土地资源的高效配置占规定土地资源比例</w:t>
            </w:r>
          </w:p>
        </w:tc>
        <w:tc>
          <w:tcPr>
            <w:tcW w:w="2551" w:type="dxa"/>
            <w:vAlign w:val="center"/>
          </w:tcPr>
          <w:p>
            <w:pPr>
              <w:pStyle w:val="26"/>
            </w:pPr>
            <w:r>
              <w:t>≥95%</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拨付时间</w:t>
            </w:r>
          </w:p>
        </w:tc>
        <w:tc>
          <w:tcPr>
            <w:tcW w:w="2835" w:type="dxa"/>
            <w:vAlign w:val="center"/>
          </w:tcPr>
          <w:p>
            <w:pPr>
              <w:pStyle w:val="26"/>
            </w:pPr>
            <w:r>
              <w:t>拨付时间</w:t>
            </w:r>
          </w:p>
        </w:tc>
        <w:tc>
          <w:tcPr>
            <w:tcW w:w="2551" w:type="dxa"/>
            <w:vAlign w:val="center"/>
          </w:tcPr>
          <w:p>
            <w:pPr>
              <w:pStyle w:val="26"/>
            </w:pPr>
            <w:r>
              <w:t>2022年年底</w:t>
            </w:r>
          </w:p>
        </w:tc>
        <w:tc>
          <w:tcPr>
            <w:tcW w:w="2268" w:type="dxa"/>
            <w:vAlign w:val="center"/>
          </w:tcPr>
          <w:p>
            <w:pPr>
              <w:pStyle w:val="2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监察聘请专家耕地破坏鉴定成本</w:t>
            </w:r>
          </w:p>
        </w:tc>
        <w:tc>
          <w:tcPr>
            <w:tcW w:w="2835" w:type="dxa"/>
            <w:vAlign w:val="center"/>
          </w:tcPr>
          <w:p>
            <w:pPr>
              <w:pStyle w:val="26"/>
            </w:pPr>
            <w:r>
              <w:t>监察聘请专家耕地破坏鉴定成本</w:t>
            </w:r>
          </w:p>
        </w:tc>
        <w:tc>
          <w:tcPr>
            <w:tcW w:w="2551" w:type="dxa"/>
            <w:vAlign w:val="center"/>
          </w:tcPr>
          <w:p>
            <w:pPr>
              <w:pStyle w:val="26"/>
            </w:pPr>
            <w:r>
              <w:t>≤40万元</w:t>
            </w:r>
          </w:p>
        </w:tc>
        <w:tc>
          <w:tcPr>
            <w:tcW w:w="2268" w:type="dxa"/>
            <w:vAlign w:val="center"/>
          </w:tcPr>
          <w:p>
            <w:pPr>
              <w:pStyle w:val="2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生态效益指标</w:t>
            </w:r>
          </w:p>
        </w:tc>
        <w:tc>
          <w:tcPr>
            <w:tcW w:w="2835" w:type="dxa"/>
            <w:vAlign w:val="center"/>
          </w:tcPr>
          <w:p>
            <w:pPr>
              <w:pStyle w:val="26"/>
            </w:pPr>
            <w:r>
              <w:t>土地利用率</w:t>
            </w:r>
          </w:p>
        </w:tc>
        <w:tc>
          <w:tcPr>
            <w:tcW w:w="2835" w:type="dxa"/>
            <w:vAlign w:val="center"/>
          </w:tcPr>
          <w:p>
            <w:pPr>
              <w:pStyle w:val="26"/>
            </w:pPr>
            <w:r>
              <w:t>土地利用率</w:t>
            </w:r>
          </w:p>
        </w:tc>
        <w:tc>
          <w:tcPr>
            <w:tcW w:w="2551" w:type="dxa"/>
            <w:vAlign w:val="center"/>
          </w:tcPr>
          <w:p>
            <w:pPr>
              <w:pStyle w:val="26"/>
            </w:pPr>
            <w:r>
              <w:t>≥80%</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经济增长率</w:t>
            </w:r>
          </w:p>
        </w:tc>
        <w:tc>
          <w:tcPr>
            <w:tcW w:w="2835" w:type="dxa"/>
            <w:vAlign w:val="center"/>
          </w:tcPr>
          <w:p>
            <w:pPr>
              <w:pStyle w:val="26"/>
            </w:pPr>
            <w:r>
              <w:t>经济可持续增长率</w:t>
            </w:r>
          </w:p>
        </w:tc>
        <w:tc>
          <w:tcPr>
            <w:tcW w:w="2551" w:type="dxa"/>
            <w:vAlign w:val="center"/>
          </w:tcPr>
          <w:p>
            <w:pPr>
              <w:pStyle w:val="26"/>
            </w:pPr>
            <w:r>
              <w:t>≥95%</w:t>
            </w:r>
          </w:p>
        </w:tc>
        <w:tc>
          <w:tcPr>
            <w:tcW w:w="2268" w:type="dxa"/>
            <w:vAlign w:val="center"/>
          </w:tcPr>
          <w:p>
            <w:pPr>
              <w:pStyle w:val="2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公众满意度</w:t>
            </w:r>
          </w:p>
        </w:tc>
        <w:tc>
          <w:tcPr>
            <w:tcW w:w="2835" w:type="dxa"/>
            <w:vAlign w:val="center"/>
          </w:tcPr>
          <w:p>
            <w:pPr>
              <w:pStyle w:val="26"/>
            </w:pPr>
            <w:r>
              <w:t>公众满意度</w:t>
            </w:r>
          </w:p>
        </w:tc>
        <w:tc>
          <w:tcPr>
            <w:tcW w:w="2551" w:type="dxa"/>
            <w:vAlign w:val="center"/>
          </w:tcPr>
          <w:p>
            <w:pPr>
              <w:pStyle w:val="26"/>
            </w:pPr>
            <w:r>
              <w:t>≥90%</w:t>
            </w:r>
          </w:p>
        </w:tc>
        <w:tc>
          <w:tcPr>
            <w:tcW w:w="2268" w:type="dxa"/>
            <w:vAlign w:val="center"/>
          </w:tcPr>
          <w:p>
            <w:pPr>
              <w:pStyle w:val="26"/>
            </w:pPr>
            <w:r>
              <w:t>调查问卷</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2022年，唐山市自然资源和规划局丰润区分局本级安排政府采购预算0.00万元。具体内容见下表。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唐山市自然资源和规划局丰润区分局本级上年末固定资产金额为0.00万元（详见下表）。本年度拟购置固定资产总额为0.00万元，已按要求列入政府采购预算，详见政府采购预算表。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334001唐山市自然资源和规划局丰润区分局本级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二、唐山市丰润区土地储备开发中心收支预算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p>
        </w:tc>
        <w:tc>
          <w:tcPr>
            <w:tcW w:w="992" w:type="dxa"/>
            <w:vAlign w:val="center"/>
          </w:tcPr>
          <w:p>
            <w:pPr>
              <w:pStyle w:val="12"/>
            </w:pPr>
          </w:p>
        </w:tc>
        <w:tc>
          <w:tcPr>
            <w:tcW w:w="1559" w:type="dxa"/>
            <w:vAlign w:val="center"/>
          </w:tcPr>
          <w:p>
            <w:pPr>
              <w:pStyle w:val="12"/>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992" w:type="dxa"/>
            <w:vAlign w:val="center"/>
          </w:tcPr>
          <w:p>
            <w:pPr>
              <w:pStyle w:val="12"/>
            </w:pPr>
          </w:p>
        </w:tc>
        <w:tc>
          <w:tcPr>
            <w:tcW w:w="4535" w:type="dxa"/>
            <w:vAlign w:val="center"/>
          </w:tcPr>
          <w:p>
            <w:pPr>
              <w:pStyle w:val="12"/>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唐山市丰润区土地储备开发中心2022年单位预算信息公开情况说明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按照《预算法》、《地方预决算公开操作规程》和《关于进一步推进预算公开工作的实施意见》规定，现将唐山市丰润区土地储备开发中心2022年单位预算公开如下：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唐山市丰润区土地储备开发中心</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2022年，唐山市丰润区土地储备开发中心安排政府采购预算0.00万元。具体内容见下表。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唐山市丰润区土地储备开发中心上年末固定资产金额为0.00万元（详见下表）。本年度拟购置固定资产总额为0.00万元，已按要求列入政府采购预算，详见政府采购预算表。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334003唐山市丰润区土地储备开发中心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dkYjVlM2NkODIwNmQ0NDE2N2JhYmRkNjRiYzI0NGMifQ=="/>
  </w:docVars>
  <w:rsids>
    <w:rsidRoot w:val="003513FB"/>
    <w:rsid w:val="003513FB"/>
    <w:rsid w:val="003D7404"/>
    <w:rsid w:val="00630EF9"/>
    <w:rsid w:val="00670CE4"/>
    <w:rsid w:val="00BA59D9"/>
    <w:rsid w:val="00BF1694"/>
    <w:rsid w:val="00D04113"/>
    <w:rsid w:val="0FA21F01"/>
    <w:rsid w:val="4DA5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uiPriority w:val="99"/>
    <w:pPr>
      <w:tabs>
        <w:tab w:val="center" w:pos="4153"/>
        <w:tab w:val="right" w:pos="8306"/>
      </w:tabs>
      <w:snapToGrid w:val="0"/>
    </w:pPr>
    <w:rPr>
      <w:sz w:val="18"/>
      <w:szCs w:val="18"/>
    </w:rPr>
  </w:style>
  <w:style w:type="paragraph" w:styleId="3">
    <w:name w:val="header"/>
    <w:basedOn w:val="1"/>
    <w:link w:val="3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8c57ef93-9e42-482c-bb2d-5407594009dc"/>
    <w:qFormat/>
    <w:uiPriority w:val="0"/>
    <w:rPr>
      <w:rFonts w:ascii="Times New Roman" w:hAnsi="Times New Roman" w:eastAsia="Times New Roman" w:cs="Times New Roman"/>
      <w:sz w:val="24"/>
      <w:szCs w:val="24"/>
      <w:lang w:val="en-US" w:eastAsia="uk-UA" w:bidi="ar-SA"/>
    </w:rPr>
  </w:style>
  <w:style w:type="paragraph" w:customStyle="1" w:styleId="25">
    <w:name w:val="单元格样式1_f94b12df-66ce-4381-b983-66ae79e29a9a"/>
    <w:basedOn w:val="1"/>
    <w:qFormat/>
    <w:uiPriority w:val="0"/>
    <w:pPr>
      <w:jc w:val="center"/>
    </w:pPr>
    <w:rPr>
      <w:rFonts w:ascii="方正书宋_GBK" w:hAnsi="方正书宋_GBK" w:eastAsia="方正书宋_GBK" w:cs="方正书宋_GBK"/>
      <w:b/>
      <w:sz w:val="21"/>
    </w:rPr>
  </w:style>
  <w:style w:type="paragraph" w:customStyle="1" w:styleId="26">
    <w:name w:val="单元格样式2_93e51137-0efe-40ca-804f-8b5da5cb34a6"/>
    <w:basedOn w:val="1"/>
    <w:qFormat/>
    <w:uiPriority w:val="0"/>
    <w:rPr>
      <w:rFonts w:ascii="方正书宋_GBK" w:hAnsi="方正书宋_GBK" w:eastAsia="方正书宋_GBK" w:cs="方正书宋_GBK"/>
      <w:sz w:val="21"/>
    </w:rPr>
  </w:style>
  <w:style w:type="paragraph" w:customStyle="1" w:styleId="27">
    <w:name w:val="单元格样式3_0e201502-fa03-4404-8100-c5a8d41f00f3"/>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3">
    <w:name w:val="TOC 2"/>
    <w:basedOn w:val="1"/>
    <w:autoRedefine/>
    <w:qFormat/>
    <w:uiPriority w:val="0"/>
    <w:pPr>
      <w:ind w:left="240"/>
    </w:pPr>
  </w:style>
  <w:style w:type="paragraph" w:customStyle="1" w:styleId="34">
    <w:name w:val="TOC 3"/>
    <w:basedOn w:val="1"/>
    <w:autoRedefine/>
    <w:qFormat/>
    <w:uiPriority w:val="0"/>
    <w:pPr>
      <w:ind w:left="480"/>
    </w:pPr>
  </w:style>
  <w:style w:type="paragraph" w:customStyle="1" w:styleId="35">
    <w:name w:val="TOC 4"/>
    <w:basedOn w:val="1"/>
    <w:autoRedefine/>
    <w:qFormat/>
    <w:uiPriority w:val="0"/>
    <w:pPr>
      <w:ind w:left="720"/>
    </w:pPr>
  </w:style>
  <w:style w:type="paragraph" w:customStyle="1" w:styleId="36">
    <w:name w:val="TOC 1"/>
    <w:basedOn w:val="1"/>
    <w:autoRedefine/>
    <w:qFormat/>
    <w:uiPriority w:val="0"/>
    <w:pPr>
      <w:spacing w:before="120"/>
      <w:ind w:firstLine="560"/>
    </w:pPr>
    <w:rPr>
      <w:rFonts w:eastAsia="方正仿宋_GBK"/>
      <w:color w:val="000000"/>
      <w:sz w:val="28"/>
    </w:rPr>
  </w:style>
  <w:style w:type="character" w:customStyle="1" w:styleId="37">
    <w:name w:val="页眉 Char"/>
    <w:basedOn w:val="6"/>
    <w:link w:val="3"/>
    <w:semiHidden/>
    <w:uiPriority w:val="99"/>
    <w:rPr>
      <w:rFonts w:eastAsia="Times New Roman"/>
      <w:sz w:val="18"/>
      <w:szCs w:val="18"/>
      <w:lang w:eastAsia="uk-UA"/>
    </w:rPr>
  </w:style>
  <w:style w:type="character" w:customStyle="1" w:styleId="38">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2022-02-15T14:44:42Z</dcterms:created>
  <dcterms:modified xsi:type="dcterms:W3CDTF">2022-02-15T06:44:42Z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2022-02-15T14:44:40Z</dcterms:created>
  <dcterms:modified xsi:type="dcterms:W3CDTF">2022-02-15T06:44:40Z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2022-02-15T14:44:03Z</dcterms:created>
  <dcterms:modified xsi:type="dcterms:W3CDTF">2022-02-15T06:44:03Z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2022-02-15T14:43:39Z</dcterms:created>
  <dcterms:modified xsi:type="dcterms:W3CDTF">2022-02-15T06:43:39Z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2022-02-15T14:44:36Z</dcterms:created>
  <dcterms:modified xsi:type="dcterms:W3CDTF">2022-02-15T06:44:36Z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2022-02-15T14:44:09Z</dcterms:created>
  <dcterms:modified xsi:type="dcterms:W3CDTF">2022-02-15T06:44:09Z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CDBB2BE-225A-4C5A-88D1-F9CD3454F87F}">
  <ds:schemaRefs/>
</ds:datastoreItem>
</file>

<file path=customXml/itemProps10.xml><?xml version="1.0" encoding="utf-8"?>
<ds:datastoreItem xmlns:ds="http://schemas.openxmlformats.org/officeDocument/2006/customXml" ds:itemID="{B03A2B8C-0221-43CC-93E6-ADA4B6E57E3A}">
  <ds:schemaRefs/>
</ds:datastoreItem>
</file>

<file path=customXml/itemProps11.xml><?xml version="1.0" encoding="utf-8"?>
<ds:datastoreItem xmlns:ds="http://schemas.openxmlformats.org/officeDocument/2006/customXml" ds:itemID="{497D0404-A96A-423A-83CD-BF103CFCE84E}">
  <ds:schemaRefs/>
</ds:datastoreItem>
</file>

<file path=customXml/itemProps12.xml><?xml version="1.0" encoding="utf-8"?>
<ds:datastoreItem xmlns:ds="http://schemas.openxmlformats.org/officeDocument/2006/customXml" ds:itemID="{D9894775-04D6-45B4-830B-B88681D16272}">
  <ds:schemaRefs/>
</ds:datastoreItem>
</file>

<file path=customXml/itemProps2.xml><?xml version="1.0" encoding="utf-8"?>
<ds:datastoreItem xmlns:ds="http://schemas.openxmlformats.org/officeDocument/2006/customXml" ds:itemID="{E2F7627A-C5A4-48D4-9D0B-A58CAE929ADF}">
  <ds:schemaRefs/>
</ds:datastoreItem>
</file>

<file path=customXml/itemProps3.xml><?xml version="1.0" encoding="utf-8"?>
<ds:datastoreItem xmlns:ds="http://schemas.openxmlformats.org/officeDocument/2006/customXml" ds:itemID="{7816AD2B-EDDE-4D16-8490-A96D4A7EA22F}">
  <ds:schemaRefs/>
</ds:datastoreItem>
</file>

<file path=customXml/itemProps4.xml><?xml version="1.0" encoding="utf-8"?>
<ds:datastoreItem xmlns:ds="http://schemas.openxmlformats.org/officeDocument/2006/customXml" ds:itemID="{2362202F-DF1D-4E6D-BAA2-10051AFCFFD8}">
  <ds:schemaRefs/>
</ds:datastoreItem>
</file>

<file path=customXml/itemProps5.xml><?xml version="1.0" encoding="utf-8"?>
<ds:datastoreItem xmlns:ds="http://schemas.openxmlformats.org/officeDocument/2006/customXml" ds:itemID="{2C18F2C3-2A49-48BE-9A73-A997C82BB582}">
  <ds:schemaRefs/>
</ds:datastoreItem>
</file>

<file path=customXml/itemProps6.xml><?xml version="1.0" encoding="utf-8"?>
<ds:datastoreItem xmlns:ds="http://schemas.openxmlformats.org/officeDocument/2006/customXml" ds:itemID="{54AE7678-0E2D-4CD4-ABC5-980A2CBBF961}">
  <ds:schemaRefs/>
</ds:datastoreItem>
</file>

<file path=customXml/itemProps7.xml><?xml version="1.0" encoding="utf-8"?>
<ds:datastoreItem xmlns:ds="http://schemas.openxmlformats.org/officeDocument/2006/customXml" ds:itemID="{4AAFD38D-FD4C-496E-B089-B67319E921BA}">
  <ds:schemaRefs/>
</ds:datastoreItem>
</file>

<file path=customXml/itemProps8.xml><?xml version="1.0" encoding="utf-8"?>
<ds:datastoreItem xmlns:ds="http://schemas.openxmlformats.org/officeDocument/2006/customXml" ds:itemID="{F9C67E93-1742-4C41-806E-808A932850D7}">
  <ds:schemaRefs/>
</ds:datastoreItem>
</file>

<file path=customXml/itemProps9.xml><?xml version="1.0" encoding="utf-8"?>
<ds:datastoreItem xmlns:ds="http://schemas.openxmlformats.org/officeDocument/2006/customXml" ds:itemID="{96EE0A21-8B97-48E0-B866-C0072CD7C971}">
  <ds:schemaRefs/>
</ds:datastoreItem>
</file>

<file path=docProps/app.xml><?xml version="1.0" encoding="utf-8"?>
<Properties xmlns="http://schemas.openxmlformats.org/officeDocument/2006/extended-properties" xmlns:vt="http://schemas.openxmlformats.org/officeDocument/2006/docPropsVTypes">
  <Template>Normal</Template>
  <Pages>94</Pages>
  <Words>7626</Words>
  <Characters>43469</Characters>
  <Lines>362</Lines>
  <Paragraphs>101</Paragraphs>
  <TotalTime>9</TotalTime>
  <ScaleCrop>false</ScaleCrop>
  <LinksUpToDate>false</LinksUpToDate>
  <CharactersWithSpaces>50994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2022-02-15T06:47:00Z</dcterms:created>
  <dc:creator>Administrator</dc:creator>
  <cp:lastModifiedBy>Administrator</cp:lastModifiedBy>
  <dcterms:modified xsi:type="dcterms:W3CDTF">2024-03-20T06:18:12Z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E4AB0139AF0B4073B2C1C233A0748FBC_12</vt:lpwstr>
  </property>
</Properties>
</file>