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4"/>
      </w:pPr>
      <w:r>
        <w:rPr>
          <w:rFonts w:ascii="方正小标宋_GBK" w:hAnsi="方正小标宋_GBK" w:eastAsia="方正小标宋_GBK" w:cs="方正小标宋_GBK"/>
          <w:color w:val="000000"/>
          <w:sz w:val="44"/>
        </w:rPr>
        <w:t>唐山市丰润区军队离休退休干部休养所2022年单位预算信息公开情况说明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0" w:name="_GoBack"/>
      <w:bookmarkEnd w:id="0"/>
      <w:r>
        <w:rPr>
          <w:rFonts w:eastAsia="方正仿宋_GBK"/>
          <w:color w:val="000000"/>
          <w:sz w:val="28"/>
        </w:rPr>
        <w:t>预算法》、《地方预决算公开操作规程》和《关于进一步推进预算公开工作的实施意见》规定，现将唐山市丰润区军队离休退休干部休养所2022年单位预算公开如下：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r>
        <w:rPr>
          <w:rFonts w:hint="eastAsia" w:ascii="方正楷体_GBK" w:hAnsi="方正楷体_GBK" w:eastAsia="方正楷体_GBK" w:cs="方正楷体_GBK"/>
          <w:b/>
          <w:color w:val="000000"/>
          <w:sz w:val="32"/>
        </w:rPr>
        <w:t>丰润区干休所隶属于丰润区退役军人事务局，其性质是财政全额拨款事业单位，其主要职能是：执行党和国家的各项方针、政策及上级有关文件精神，做好军队离退休干部、退休志愿兵、伤残士官、无军籍职工的接收和服务管理工作，严格按照政策规定发放军队离退休干部生活费、各项补贴及其他经费，落实好老干部的政治、生活待遇，解决老干部生活中遇到的困难，负责离休干部和伤残士官建、购房事宜，做好军队离退休干部的医疗保健工作，定期为老干部进行体检，对危重病人及时组织抢救和治疗；做好去世军休人员的善后工作，落实好遗属的生活待遇。</w:t>
      </w:r>
    </w:p>
    <w:p>
      <w:pPr>
        <w:pStyle w:val="4"/>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5"/>
            </w:pPr>
            <w:r>
              <w:t>单位名称</w:t>
            </w:r>
          </w:p>
        </w:tc>
        <w:tc>
          <w:tcPr>
            <w:tcW w:w="1843" w:type="dxa"/>
            <w:noWrap w:val="0"/>
            <w:vAlign w:val="center"/>
          </w:tcPr>
          <w:p>
            <w:pPr>
              <w:pStyle w:val="5"/>
            </w:pPr>
            <w:r>
              <w:t>单位性质</w:t>
            </w:r>
          </w:p>
        </w:tc>
        <w:tc>
          <w:tcPr>
            <w:tcW w:w="2126" w:type="dxa"/>
            <w:noWrap w:val="0"/>
            <w:vAlign w:val="center"/>
          </w:tcPr>
          <w:p>
            <w:pPr>
              <w:pStyle w:val="5"/>
            </w:pPr>
            <w:r>
              <w:t>单位规格</w:t>
            </w:r>
          </w:p>
        </w:tc>
        <w:tc>
          <w:tcPr>
            <w:tcW w:w="3827" w:type="dxa"/>
            <w:noWrap w:val="0"/>
            <w:vAlign w:val="center"/>
          </w:tcPr>
          <w:p>
            <w:pPr>
              <w:pStyle w:val="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6"/>
            </w:pPr>
            <w:r>
              <w:t>唐山市丰润区军队离休退休干部休养所</w:t>
            </w:r>
          </w:p>
        </w:tc>
        <w:tc>
          <w:tcPr>
            <w:tcW w:w="1843" w:type="dxa"/>
            <w:noWrap w:val="0"/>
            <w:vAlign w:val="center"/>
          </w:tcPr>
          <w:p>
            <w:pPr>
              <w:pStyle w:val="7"/>
            </w:pPr>
            <w:r>
              <w:t>事业</w:t>
            </w:r>
          </w:p>
        </w:tc>
        <w:tc>
          <w:tcPr>
            <w:tcW w:w="2126" w:type="dxa"/>
            <w:noWrap w:val="0"/>
            <w:vAlign w:val="center"/>
          </w:tcPr>
          <w:p>
            <w:pPr>
              <w:pStyle w:val="7"/>
            </w:pPr>
            <w:r>
              <w:t>股级</w:t>
            </w:r>
          </w:p>
        </w:tc>
        <w:tc>
          <w:tcPr>
            <w:tcW w:w="3827" w:type="dxa"/>
            <w:noWrap w:val="0"/>
            <w:vAlign w:val="center"/>
          </w:tcPr>
          <w:p>
            <w:pPr>
              <w:pStyle w:val="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hint="eastAsia" w:eastAsia="方正仿宋_GBK"/>
          <w:color w:val="000000"/>
          <w:sz w:val="28"/>
        </w:rPr>
      </w:pPr>
      <w:r>
        <w:rPr>
          <w:rFonts w:hint="eastAsia" w:eastAsia="方正仿宋_GBK"/>
          <w:color w:val="000000"/>
          <w:sz w:val="28"/>
        </w:rPr>
        <w:t>1、2022年本年收入</w:t>
      </w:r>
      <w:r>
        <w:rPr>
          <w:rFonts w:hint="eastAsia" w:eastAsia="方正仿宋_GBK"/>
          <w:color w:val="000000"/>
          <w:sz w:val="28"/>
          <w:lang w:val="en-US" w:eastAsia="zh-CN"/>
        </w:rPr>
        <w:t>546.65</w:t>
      </w:r>
      <w:r>
        <w:rPr>
          <w:rFonts w:hint="eastAsia" w:eastAsia="方正仿宋_GBK"/>
          <w:color w:val="000000"/>
          <w:sz w:val="28"/>
        </w:rPr>
        <w:t>万元：其中一般公共预算拨款收入</w:t>
      </w:r>
      <w:r>
        <w:rPr>
          <w:rFonts w:hint="eastAsia" w:eastAsia="方正仿宋_GBK"/>
          <w:color w:val="000000"/>
          <w:sz w:val="28"/>
          <w:lang w:val="en-US" w:eastAsia="zh-CN"/>
        </w:rPr>
        <w:t>546.65</w:t>
      </w:r>
      <w:r>
        <w:rPr>
          <w:rFonts w:hint="eastAsia" w:eastAsia="方正仿宋_GBK"/>
          <w:color w:val="000000"/>
          <w:sz w:val="28"/>
        </w:rPr>
        <w:t>万元。其中：财政拨款</w:t>
      </w:r>
      <w:r>
        <w:rPr>
          <w:rFonts w:hint="eastAsia" w:eastAsia="方正仿宋_GBK"/>
          <w:color w:val="000000"/>
          <w:sz w:val="28"/>
          <w:lang w:val="en-US" w:eastAsia="zh-CN"/>
        </w:rPr>
        <w:t>85.05</w:t>
      </w:r>
      <w:r>
        <w:rPr>
          <w:rFonts w:hint="eastAsia" w:eastAsia="方正仿宋_GBK"/>
          <w:color w:val="000000"/>
          <w:sz w:val="28"/>
        </w:rPr>
        <w:t>万元，上级一般公共预算安排转移支付</w:t>
      </w:r>
      <w:r>
        <w:rPr>
          <w:rFonts w:hint="eastAsia" w:eastAsia="方正仿宋_GBK"/>
          <w:color w:val="000000"/>
          <w:sz w:val="28"/>
          <w:lang w:val="en-US" w:eastAsia="zh-CN"/>
        </w:rPr>
        <w:t>461.6</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2、2022年根据本单位职责和工作任务规划，共安排部门预算支出</w:t>
      </w:r>
      <w:r>
        <w:rPr>
          <w:rFonts w:hint="eastAsia" w:eastAsia="方正仿宋_GBK"/>
          <w:color w:val="000000"/>
          <w:sz w:val="28"/>
          <w:lang w:val="en-US" w:eastAsia="zh-CN"/>
        </w:rPr>
        <w:t>546.65</w:t>
      </w:r>
      <w:r>
        <w:rPr>
          <w:rFonts w:hint="eastAsia" w:eastAsia="方正仿宋_GBK"/>
          <w:color w:val="000000"/>
          <w:sz w:val="28"/>
        </w:rPr>
        <w:t>万元。其中：人员经费支出</w:t>
      </w:r>
      <w:r>
        <w:rPr>
          <w:rFonts w:hint="eastAsia" w:eastAsia="方正仿宋_GBK"/>
          <w:color w:val="000000"/>
          <w:sz w:val="28"/>
          <w:lang w:val="en-US" w:eastAsia="zh-CN"/>
        </w:rPr>
        <w:t>65.57</w:t>
      </w:r>
      <w:r>
        <w:rPr>
          <w:rFonts w:hint="eastAsia" w:eastAsia="方正仿宋_GBK"/>
          <w:color w:val="000000"/>
          <w:sz w:val="28"/>
        </w:rPr>
        <w:t>万元，日常公用经费支出</w:t>
      </w:r>
      <w:r>
        <w:rPr>
          <w:rFonts w:hint="eastAsia" w:eastAsia="方正仿宋_GBK"/>
          <w:color w:val="000000"/>
          <w:sz w:val="28"/>
          <w:lang w:val="en-US" w:eastAsia="zh-CN"/>
        </w:rPr>
        <w:t>3.88</w:t>
      </w:r>
      <w:r>
        <w:rPr>
          <w:rFonts w:hint="eastAsia" w:eastAsia="方正仿宋_GBK"/>
          <w:color w:val="000000"/>
          <w:sz w:val="28"/>
        </w:rPr>
        <w:t>万元，项目支出</w:t>
      </w:r>
      <w:r>
        <w:rPr>
          <w:rFonts w:hint="eastAsia" w:eastAsia="方正仿宋_GBK"/>
          <w:color w:val="000000"/>
          <w:sz w:val="28"/>
          <w:lang w:val="en-US" w:eastAsia="zh-CN"/>
        </w:rPr>
        <w:t>477.2</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3、2022年预算支出为</w:t>
      </w:r>
      <w:r>
        <w:rPr>
          <w:rFonts w:hint="eastAsia" w:eastAsia="方正仿宋_GBK"/>
          <w:color w:val="000000"/>
          <w:sz w:val="28"/>
          <w:lang w:val="en-US" w:eastAsia="zh-CN"/>
        </w:rPr>
        <w:t>546.65</w:t>
      </w:r>
      <w:r>
        <w:rPr>
          <w:rFonts w:hint="eastAsia" w:eastAsia="方正仿宋_GBK"/>
          <w:color w:val="000000"/>
          <w:sz w:val="28"/>
        </w:rPr>
        <w:t>万元，与2021年相比较，</w:t>
      </w:r>
      <w:r>
        <w:rPr>
          <w:rFonts w:hint="eastAsia" w:eastAsia="方正仿宋_GBK"/>
          <w:color w:val="000000"/>
          <w:sz w:val="28"/>
          <w:lang w:eastAsia="zh-CN"/>
        </w:rPr>
        <w:t>减少</w:t>
      </w:r>
      <w:r>
        <w:rPr>
          <w:rFonts w:hint="eastAsia" w:eastAsia="方正仿宋_GBK"/>
          <w:color w:val="000000"/>
          <w:sz w:val="28"/>
        </w:rPr>
        <w:t>了</w:t>
      </w:r>
      <w:r>
        <w:rPr>
          <w:rFonts w:hint="eastAsia" w:eastAsia="方正仿宋_GBK"/>
          <w:color w:val="000000"/>
          <w:sz w:val="28"/>
          <w:lang w:val="en-US" w:eastAsia="zh-CN"/>
        </w:rPr>
        <w:t>465.36</w:t>
      </w:r>
      <w:r>
        <w:rPr>
          <w:rFonts w:hint="eastAsia" w:eastAsia="方正仿宋_GBK"/>
          <w:color w:val="000000"/>
          <w:sz w:val="28"/>
        </w:rPr>
        <w:t>万元，其中：人员经费支出减少了</w:t>
      </w:r>
      <w:r>
        <w:rPr>
          <w:rFonts w:hint="eastAsia" w:eastAsia="方正仿宋_GBK"/>
          <w:color w:val="000000"/>
          <w:sz w:val="28"/>
          <w:lang w:val="en-US" w:eastAsia="zh-CN"/>
        </w:rPr>
        <w:t>434.81</w:t>
      </w:r>
      <w:r>
        <w:rPr>
          <w:rFonts w:hint="eastAsia" w:eastAsia="方正仿宋_GBK"/>
          <w:color w:val="000000"/>
          <w:sz w:val="28"/>
        </w:rPr>
        <w:t>万元；日常公用经费支出增加了</w:t>
      </w:r>
      <w:r>
        <w:rPr>
          <w:rFonts w:hint="eastAsia" w:eastAsia="方正仿宋_GBK"/>
          <w:color w:val="000000"/>
          <w:sz w:val="28"/>
          <w:lang w:val="en-US" w:eastAsia="zh-CN"/>
        </w:rPr>
        <w:t>0.49</w:t>
      </w:r>
      <w:r>
        <w:rPr>
          <w:rFonts w:hint="eastAsia" w:eastAsia="方正仿宋_GBK"/>
          <w:color w:val="000000"/>
          <w:sz w:val="28"/>
        </w:rPr>
        <w:t>万元；项目支出</w:t>
      </w:r>
      <w:r>
        <w:rPr>
          <w:rFonts w:hint="eastAsia" w:eastAsia="方正仿宋_GBK"/>
          <w:color w:val="000000"/>
          <w:sz w:val="28"/>
          <w:lang w:eastAsia="zh-CN"/>
        </w:rPr>
        <w:t>减少</w:t>
      </w:r>
      <w:r>
        <w:rPr>
          <w:rFonts w:hint="eastAsia" w:eastAsia="方正仿宋_GBK"/>
          <w:color w:val="000000"/>
          <w:sz w:val="28"/>
        </w:rPr>
        <w:t>了</w:t>
      </w:r>
      <w:r>
        <w:rPr>
          <w:rFonts w:hint="eastAsia" w:eastAsia="方正仿宋_GBK"/>
          <w:color w:val="000000"/>
          <w:sz w:val="28"/>
          <w:lang w:val="en-US" w:eastAsia="zh-CN"/>
        </w:rPr>
        <w:t>31.04</w:t>
      </w:r>
      <w:r>
        <w:rPr>
          <w:rFonts w:hint="eastAsia" w:eastAsia="方正仿宋_GBK"/>
          <w:color w:val="000000"/>
          <w:sz w:val="28"/>
        </w:rPr>
        <w:t>万元。</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8"/>
      </w:pPr>
    </w:p>
    <w:p>
      <w:pPr>
        <w:spacing w:before="10" w:after="10"/>
        <w:ind w:firstLine="640"/>
        <w:outlineLvl w:val="5"/>
      </w:pPr>
      <w:r>
        <w:rPr>
          <w:rFonts w:ascii="黑体" w:hAnsi="黑体" w:eastAsia="黑体" w:cs="黑体"/>
          <w:color w:val="000000"/>
          <w:sz w:val="32"/>
        </w:rPr>
        <w:t>三、机关运行经费安排情况</w:t>
      </w:r>
    </w:p>
    <w:p>
      <w:pPr>
        <w:widowControl/>
        <w:spacing w:line="540" w:lineRule="exact"/>
        <w:ind w:firstLine="640" w:firstLineChars="200"/>
        <w:rPr>
          <w:rFonts w:hint="eastAsia" w:ascii="仿宋" w:hAnsi="仿宋" w:eastAsia="仿宋"/>
          <w:sz w:val="32"/>
          <w:szCs w:val="32"/>
        </w:rPr>
      </w:pPr>
      <w:r>
        <w:rPr>
          <w:rFonts w:hint="eastAsia" w:ascii="仿宋" w:hAnsi="仿宋" w:eastAsia="仿宋"/>
          <w:sz w:val="32"/>
          <w:szCs w:val="32"/>
        </w:rPr>
        <w:t>日常公用经费支出总计</w:t>
      </w:r>
      <w:r>
        <w:rPr>
          <w:rFonts w:hint="eastAsia" w:ascii="仿宋" w:hAnsi="仿宋" w:eastAsia="仿宋"/>
          <w:sz w:val="32"/>
          <w:szCs w:val="32"/>
          <w:lang w:val="en-US" w:eastAsia="zh-CN"/>
        </w:rPr>
        <w:t>3.88</w:t>
      </w:r>
      <w:r>
        <w:rPr>
          <w:rFonts w:hint="eastAsia" w:ascii="仿宋" w:hAnsi="仿宋" w:eastAsia="仿宋"/>
          <w:sz w:val="32"/>
          <w:szCs w:val="32"/>
        </w:rPr>
        <w:t>万元。其中：</w:t>
      </w:r>
    </w:p>
    <w:p>
      <w:pPr>
        <w:widowControl/>
        <w:spacing w:line="540" w:lineRule="exact"/>
        <w:ind w:firstLine="640" w:firstLineChars="200"/>
        <w:rPr>
          <w:rFonts w:hint="eastAsia" w:ascii="仿宋" w:hAnsi="仿宋" w:eastAsia="仿宋"/>
          <w:sz w:val="32"/>
          <w:szCs w:val="32"/>
        </w:rPr>
      </w:pPr>
      <w:r>
        <w:rPr>
          <w:rFonts w:hint="eastAsia" w:ascii="仿宋" w:hAnsi="仿宋" w:eastAsia="仿宋"/>
          <w:sz w:val="32"/>
          <w:szCs w:val="32"/>
        </w:rPr>
        <w:t>1、办公费：</w:t>
      </w:r>
      <w:r>
        <w:rPr>
          <w:rFonts w:hint="eastAsia" w:ascii="仿宋" w:hAnsi="仿宋" w:eastAsia="仿宋"/>
          <w:sz w:val="32"/>
          <w:szCs w:val="32"/>
          <w:lang w:val="en-US" w:eastAsia="zh-CN"/>
        </w:rPr>
        <w:t>1.5</w:t>
      </w:r>
      <w:r>
        <w:rPr>
          <w:rFonts w:hint="eastAsia" w:ascii="仿宋" w:hAnsi="仿宋" w:eastAsia="仿宋"/>
          <w:sz w:val="32"/>
          <w:szCs w:val="32"/>
        </w:rPr>
        <w:t>万元。</w:t>
      </w:r>
    </w:p>
    <w:p>
      <w:pPr>
        <w:widowControl/>
        <w:spacing w:line="540" w:lineRule="exact"/>
        <w:ind w:firstLine="640" w:firstLineChars="200"/>
        <w:rPr>
          <w:rFonts w:hint="eastAsia" w:ascii="仿宋" w:hAnsi="仿宋" w:eastAsia="仿宋"/>
          <w:sz w:val="32"/>
          <w:szCs w:val="32"/>
        </w:rPr>
      </w:pPr>
      <w:r>
        <w:rPr>
          <w:rFonts w:hint="eastAsia" w:ascii="仿宋" w:hAnsi="仿宋" w:eastAsia="仿宋"/>
          <w:sz w:val="32"/>
          <w:szCs w:val="32"/>
        </w:rPr>
        <w:t>2、工会经费</w:t>
      </w:r>
      <w:r>
        <w:rPr>
          <w:rFonts w:hint="eastAsia" w:ascii="仿宋" w:hAnsi="仿宋" w:eastAsia="仿宋"/>
          <w:sz w:val="32"/>
          <w:szCs w:val="32"/>
          <w:lang w:val="en-US" w:eastAsia="zh-CN"/>
        </w:rPr>
        <w:t>0.18</w:t>
      </w:r>
      <w:r>
        <w:rPr>
          <w:rFonts w:hint="eastAsia" w:ascii="仿宋" w:hAnsi="仿宋" w:eastAsia="仿宋"/>
          <w:sz w:val="32"/>
          <w:szCs w:val="32"/>
        </w:rPr>
        <w:t>万元。全额拨款单位按在职职工每人每月</w:t>
      </w:r>
      <w:r>
        <w:rPr>
          <w:rFonts w:hint="eastAsia" w:ascii="仿宋" w:hAnsi="仿宋" w:eastAsia="仿宋"/>
          <w:sz w:val="32"/>
          <w:szCs w:val="32"/>
          <w:lang w:val="en-US" w:eastAsia="zh-CN"/>
        </w:rPr>
        <w:t>300</w:t>
      </w:r>
      <w:r>
        <w:rPr>
          <w:rFonts w:hint="eastAsia" w:ascii="仿宋" w:hAnsi="仿宋" w:eastAsia="仿宋"/>
          <w:sz w:val="32"/>
          <w:szCs w:val="32"/>
        </w:rPr>
        <w:t>元安排。</w:t>
      </w:r>
    </w:p>
    <w:p>
      <w:pPr>
        <w:widowControl/>
        <w:spacing w:line="540" w:lineRule="exact"/>
        <w:ind w:firstLine="636" w:firstLineChars="199"/>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、福利费：</w:t>
      </w:r>
      <w:r>
        <w:rPr>
          <w:rFonts w:hint="eastAsia" w:ascii="仿宋" w:hAnsi="仿宋" w:eastAsia="仿宋"/>
          <w:sz w:val="32"/>
          <w:szCs w:val="32"/>
          <w:lang w:val="en-US" w:eastAsia="zh-CN"/>
        </w:rPr>
        <w:t>0.2</w:t>
      </w:r>
      <w:r>
        <w:rPr>
          <w:rFonts w:hint="eastAsia" w:ascii="仿宋" w:hAnsi="仿宋" w:eastAsia="仿宋"/>
          <w:sz w:val="32"/>
          <w:szCs w:val="32"/>
        </w:rPr>
        <w:t>万元：按在职职工每人每年</w:t>
      </w:r>
      <w:r>
        <w:rPr>
          <w:rFonts w:hint="eastAsia" w:ascii="仿宋" w:hAnsi="仿宋" w:eastAsia="仿宋"/>
          <w:sz w:val="32"/>
          <w:szCs w:val="32"/>
          <w:lang w:val="en-US" w:eastAsia="zh-CN"/>
        </w:rPr>
        <w:t>300</w:t>
      </w:r>
      <w:r>
        <w:rPr>
          <w:rFonts w:hint="eastAsia" w:ascii="仿宋" w:hAnsi="仿宋" w:eastAsia="仿宋"/>
          <w:sz w:val="32"/>
          <w:szCs w:val="32"/>
        </w:rPr>
        <w:t>元安排。退休人员每年</w:t>
      </w:r>
      <w:r>
        <w:rPr>
          <w:rFonts w:hint="eastAsia" w:ascii="仿宋" w:hAnsi="仿宋" w:eastAsia="仿宋"/>
          <w:sz w:val="32"/>
          <w:szCs w:val="32"/>
          <w:lang w:val="en-US" w:eastAsia="zh-CN"/>
        </w:rPr>
        <w:t>50</w:t>
      </w:r>
      <w:r>
        <w:rPr>
          <w:rFonts w:hint="eastAsia" w:ascii="仿宋" w:hAnsi="仿宋" w:eastAsia="仿宋"/>
          <w:sz w:val="32"/>
          <w:szCs w:val="32"/>
        </w:rPr>
        <w:t>元安排。</w:t>
      </w:r>
    </w:p>
    <w:p>
      <w:pPr>
        <w:widowControl/>
        <w:spacing w:line="54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公务用车运行维护费：</w:t>
      </w:r>
      <w:r>
        <w:rPr>
          <w:rFonts w:hint="eastAsia" w:ascii="仿宋" w:hAnsi="仿宋" w:eastAsia="仿宋"/>
          <w:sz w:val="32"/>
          <w:szCs w:val="32"/>
          <w:lang w:val="en-US" w:eastAsia="zh-CN"/>
        </w:rPr>
        <w:t>2</w:t>
      </w:r>
      <w:r>
        <w:rPr>
          <w:rFonts w:hint="eastAsia" w:ascii="仿宋" w:hAnsi="仿宋" w:eastAsia="仿宋"/>
          <w:sz w:val="32"/>
          <w:szCs w:val="32"/>
        </w:rPr>
        <w:t>万元。</w:t>
      </w:r>
    </w:p>
    <w:p>
      <w:pPr>
        <w:spacing w:before="10" w:after="10"/>
        <w:ind w:firstLine="640"/>
        <w:outlineLvl w:val="5"/>
      </w:pPr>
      <w:r>
        <w:rPr>
          <w:rFonts w:ascii="黑体" w:hAnsi="黑体" w:eastAsia="黑体" w:cs="黑体"/>
          <w:color w:val="000000"/>
          <w:sz w:val="32"/>
        </w:rPr>
        <w:t>四、财政拨款“三公”经费预算情况及增减变化原因</w:t>
      </w:r>
    </w:p>
    <w:p>
      <w:pPr>
        <w:snapToGrid w:val="0"/>
        <w:spacing w:line="588" w:lineRule="exact"/>
        <w:ind w:firstLine="640" w:firstLineChars="200"/>
        <w:rPr>
          <w:rFonts w:hint="eastAsia" w:ascii="仿宋" w:hAnsi="仿宋" w:eastAsia="仿宋"/>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年“三公”经费预算安排</w:t>
      </w:r>
      <w:r>
        <w:rPr>
          <w:rFonts w:hint="eastAsia" w:ascii="仿宋_GB2312" w:hAnsi="宋体" w:eastAsia="仿宋_GB2312"/>
          <w:sz w:val="32"/>
          <w:szCs w:val="32"/>
          <w:lang w:val="en-US" w:eastAsia="zh-CN"/>
        </w:rPr>
        <w:t>2</w:t>
      </w:r>
      <w:r>
        <w:rPr>
          <w:rFonts w:hint="eastAsia" w:ascii="仿宋_GB2312" w:hAnsi="宋体" w:eastAsia="仿宋_GB2312"/>
          <w:sz w:val="32"/>
          <w:szCs w:val="32"/>
        </w:rPr>
        <w:t>万元,其中:</w:t>
      </w:r>
    </w:p>
    <w:p>
      <w:pPr>
        <w:widowControl/>
        <w:snapToGrid w:val="0"/>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1、202</w:t>
      </w:r>
      <w:r>
        <w:rPr>
          <w:rFonts w:hint="eastAsia" w:ascii="仿宋" w:hAnsi="仿宋" w:eastAsia="仿宋"/>
          <w:sz w:val="32"/>
          <w:szCs w:val="32"/>
          <w:lang w:val="en-US" w:eastAsia="zh-CN"/>
        </w:rPr>
        <w:t>2</w:t>
      </w:r>
      <w:r>
        <w:rPr>
          <w:rFonts w:hint="eastAsia" w:ascii="仿宋" w:hAnsi="仿宋" w:eastAsia="仿宋"/>
          <w:sz w:val="32"/>
          <w:szCs w:val="32"/>
        </w:rPr>
        <w:t>年</w:t>
      </w:r>
      <w:r>
        <w:rPr>
          <w:rFonts w:ascii="仿宋" w:hAnsi="仿宋" w:eastAsia="仿宋"/>
          <w:sz w:val="32"/>
          <w:szCs w:val="32"/>
        </w:rPr>
        <w:t>公务用车运行维护费为</w:t>
      </w:r>
      <w:r>
        <w:rPr>
          <w:rFonts w:hint="eastAsia" w:ascii="仿宋" w:hAnsi="仿宋" w:eastAsia="仿宋"/>
          <w:sz w:val="32"/>
          <w:szCs w:val="32"/>
          <w:lang w:val="en-US" w:eastAsia="zh-CN"/>
        </w:rPr>
        <w:t>2</w:t>
      </w:r>
      <w:r>
        <w:rPr>
          <w:rFonts w:hint="eastAsia" w:ascii="仿宋" w:hAnsi="仿宋" w:eastAsia="仿宋"/>
          <w:sz w:val="32"/>
          <w:szCs w:val="32"/>
        </w:rPr>
        <w:t>万</w:t>
      </w:r>
      <w:r>
        <w:rPr>
          <w:rFonts w:ascii="仿宋" w:hAnsi="仿宋" w:eastAsia="仿宋"/>
          <w:sz w:val="32"/>
          <w:szCs w:val="32"/>
        </w:rPr>
        <w:t>元，公务用车</w:t>
      </w:r>
      <w:r>
        <w:rPr>
          <w:rFonts w:hint="eastAsia" w:ascii="仿宋" w:hAnsi="仿宋" w:eastAsia="仿宋"/>
          <w:sz w:val="32"/>
          <w:szCs w:val="32"/>
          <w:lang w:val="en-US" w:eastAsia="zh-CN"/>
        </w:rPr>
        <w:t>1</w:t>
      </w:r>
      <w:r>
        <w:rPr>
          <w:rFonts w:ascii="仿宋" w:hAnsi="仿宋" w:eastAsia="仿宋"/>
          <w:sz w:val="32"/>
          <w:szCs w:val="32"/>
        </w:rPr>
        <w:t>辆</w:t>
      </w:r>
      <w:r>
        <w:rPr>
          <w:rFonts w:hint="eastAsia" w:ascii="仿宋" w:hAnsi="仿宋" w:eastAsia="仿宋"/>
          <w:sz w:val="32"/>
          <w:szCs w:val="32"/>
        </w:rPr>
        <w:t>，</w:t>
      </w:r>
      <w:r>
        <w:rPr>
          <w:rFonts w:hint="eastAsia" w:ascii="仿宋_GB2312" w:hAnsi="宋体" w:eastAsia="仿宋_GB2312" w:cs="宋体"/>
          <w:sz w:val="32"/>
          <w:szCs w:val="32"/>
        </w:rPr>
        <w:t>与20</w:t>
      </w:r>
      <w:r>
        <w:rPr>
          <w:rFonts w:hint="eastAsia" w:ascii="仿宋_GB2312" w:hAnsi="宋体" w:eastAsia="仿宋_GB2312" w:cs="宋体"/>
          <w:sz w:val="32"/>
          <w:szCs w:val="32"/>
          <w:lang w:val="en-US" w:eastAsia="zh-CN"/>
        </w:rPr>
        <w:t>21</w:t>
      </w:r>
      <w:r>
        <w:rPr>
          <w:rFonts w:hint="eastAsia" w:ascii="仿宋_GB2312" w:hAnsi="宋体" w:eastAsia="仿宋_GB2312" w:cs="宋体"/>
          <w:sz w:val="32"/>
          <w:szCs w:val="32"/>
        </w:rPr>
        <w:t>年相比没有增减变化</w:t>
      </w:r>
      <w:r>
        <w:rPr>
          <w:rFonts w:hint="eastAsia" w:ascii="仿宋" w:hAnsi="仿宋" w:eastAsia="仿宋"/>
          <w:sz w:val="32"/>
          <w:szCs w:val="32"/>
          <w:lang w:eastAsia="zh-CN"/>
        </w:rPr>
        <w:t>。</w:t>
      </w:r>
    </w:p>
    <w:p>
      <w:pPr>
        <w:widowControl/>
        <w:snapToGrid w:val="0"/>
        <w:spacing w:line="588" w:lineRule="exact"/>
        <w:ind w:firstLine="640" w:firstLineChars="200"/>
        <w:rPr>
          <w:rFonts w:hint="eastAsia" w:ascii="仿宋" w:hAnsi="仿宋" w:eastAsia="仿宋"/>
          <w:sz w:val="32"/>
          <w:szCs w:val="32"/>
        </w:rPr>
      </w:pPr>
      <w:r>
        <w:rPr>
          <w:rFonts w:hint="eastAsia" w:ascii="仿宋" w:hAnsi="仿宋" w:eastAsia="仿宋"/>
          <w:sz w:val="32"/>
          <w:szCs w:val="32"/>
        </w:rPr>
        <w:t>2、202</w:t>
      </w:r>
      <w:r>
        <w:rPr>
          <w:rFonts w:hint="eastAsia" w:ascii="仿宋" w:hAnsi="仿宋" w:eastAsia="仿宋"/>
          <w:sz w:val="32"/>
          <w:szCs w:val="32"/>
          <w:lang w:val="en-US" w:eastAsia="zh-CN"/>
        </w:rPr>
        <w:t>2</w:t>
      </w:r>
      <w:r>
        <w:rPr>
          <w:rFonts w:hint="eastAsia" w:ascii="仿宋" w:hAnsi="仿宋" w:eastAsia="仿宋"/>
          <w:sz w:val="32"/>
          <w:szCs w:val="32"/>
        </w:rPr>
        <w:t>年无公务招待费，</w:t>
      </w:r>
      <w:r>
        <w:rPr>
          <w:rFonts w:hint="eastAsia" w:ascii="仿宋_GB2312" w:hAnsi="宋体" w:eastAsia="仿宋_GB2312" w:cs="宋体"/>
          <w:sz w:val="32"/>
          <w:szCs w:val="32"/>
        </w:rPr>
        <w:t>与20</w:t>
      </w:r>
      <w:r>
        <w:rPr>
          <w:rFonts w:hint="eastAsia" w:ascii="仿宋_GB2312" w:hAnsi="宋体" w:eastAsia="仿宋_GB2312" w:cs="宋体"/>
          <w:sz w:val="32"/>
          <w:szCs w:val="32"/>
          <w:lang w:val="en-US" w:eastAsia="zh-CN"/>
        </w:rPr>
        <w:t>21</w:t>
      </w:r>
      <w:r>
        <w:rPr>
          <w:rFonts w:hint="eastAsia" w:ascii="仿宋_GB2312" w:hAnsi="宋体" w:eastAsia="仿宋_GB2312" w:cs="宋体"/>
          <w:sz w:val="32"/>
          <w:szCs w:val="32"/>
        </w:rPr>
        <w:t>年相比没有增减变化</w:t>
      </w:r>
      <w:r>
        <w:rPr>
          <w:rFonts w:hint="eastAsia" w:ascii="仿宋" w:hAnsi="仿宋" w:eastAsia="仿宋"/>
          <w:sz w:val="32"/>
          <w:szCs w:val="32"/>
        </w:rPr>
        <w:t>。</w:t>
      </w:r>
    </w:p>
    <w:p>
      <w:pPr>
        <w:widowControl/>
        <w:snapToGrid w:val="0"/>
        <w:spacing w:line="588" w:lineRule="exact"/>
        <w:ind w:firstLine="640" w:firstLineChars="200"/>
        <w:rPr>
          <w:rFonts w:hint="eastAsia" w:ascii="仿宋_GB2312" w:hAnsi="宋体" w:eastAsia="仿宋_GB2312" w:cs="宋体"/>
          <w:sz w:val="32"/>
          <w:szCs w:val="32"/>
        </w:rPr>
      </w:pPr>
      <w:r>
        <w:rPr>
          <w:rFonts w:hint="eastAsia" w:ascii="仿宋" w:hAnsi="仿宋" w:eastAsia="仿宋"/>
          <w:sz w:val="32"/>
          <w:szCs w:val="32"/>
        </w:rPr>
        <w:t>3、202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_GB2312" w:eastAsia="仿宋_GB2312"/>
          <w:sz w:val="32"/>
          <w:szCs w:val="32"/>
        </w:rPr>
        <w:t>公务用车购置和</w:t>
      </w:r>
      <w:r>
        <w:rPr>
          <w:rFonts w:hint="eastAsia" w:ascii="仿宋_GB2312" w:hAnsi="宋体" w:eastAsia="仿宋_GB2312" w:cs="宋体"/>
          <w:sz w:val="32"/>
          <w:szCs w:val="32"/>
        </w:rPr>
        <w:t>因公出国</w:t>
      </w:r>
      <w:r>
        <w:rPr>
          <w:rFonts w:hint="eastAsia" w:ascii="仿宋_GB2312" w:hAnsi="宋体" w:eastAsia="仿宋_GB2312" w:cs="宋体"/>
          <w:sz w:val="32"/>
          <w:szCs w:val="32"/>
          <w:lang w:eastAsia="zh-CN"/>
        </w:rPr>
        <w:t>（境）</w:t>
      </w:r>
      <w:r>
        <w:rPr>
          <w:rFonts w:hint="eastAsia" w:ascii="仿宋_GB2312" w:hAnsi="宋体" w:eastAsia="仿宋_GB2312" w:cs="宋体"/>
          <w:sz w:val="32"/>
          <w:szCs w:val="32"/>
        </w:rPr>
        <w:t>经费0元，与20</w:t>
      </w:r>
      <w:r>
        <w:rPr>
          <w:rFonts w:hint="eastAsia" w:ascii="仿宋_GB2312" w:hAnsi="宋体" w:eastAsia="仿宋_GB2312" w:cs="宋体"/>
          <w:sz w:val="32"/>
          <w:szCs w:val="32"/>
          <w:lang w:val="en-US" w:eastAsia="zh-CN"/>
        </w:rPr>
        <w:t>21</w:t>
      </w:r>
      <w:r>
        <w:rPr>
          <w:rFonts w:hint="eastAsia" w:ascii="仿宋_GB2312" w:hAnsi="宋体" w:eastAsia="仿宋_GB2312" w:cs="宋体"/>
          <w:sz w:val="32"/>
          <w:szCs w:val="32"/>
        </w:rPr>
        <w:t>年相比没有增减变化。</w:t>
      </w:r>
    </w:p>
    <w:p>
      <w:pPr>
        <w:pStyle w:val="9"/>
      </w:pPr>
    </w:p>
    <w:p>
      <w:pPr>
        <w:spacing w:before="10" w:after="10"/>
        <w:ind w:firstLine="640"/>
        <w:outlineLvl w:val="5"/>
      </w:pPr>
      <w:r>
        <w:rPr>
          <w:rFonts w:ascii="黑体" w:hAnsi="黑体" w:eastAsia="黑体" w:cs="黑体"/>
          <w:color w:val="000000"/>
          <w:sz w:val="32"/>
        </w:rPr>
        <w:t>五、预算绩效信息</w:t>
      </w:r>
    </w:p>
    <w:p>
      <w:pPr>
        <w:pStyle w:val="10"/>
        <w:ind w:firstLine="560"/>
      </w:pPr>
      <w:r>
        <w:rPr>
          <w:rFonts w:ascii="方正仿宋_GBK" w:hAnsi="方正仿宋_GBK" w:eastAsia="方正仿宋_GBK" w:cs="方正仿宋_GBK"/>
          <w:b/>
          <w:color w:val="000000"/>
          <w:sz w:val="28"/>
        </w:rPr>
        <w:t>1、唐财社【2021】130号关于提前下达2022年省级退役安置补助经费预算的通知绩效目标表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1"/>
            </w:pPr>
            <w:r>
              <w:t>绩效目标</w:t>
            </w:r>
          </w:p>
        </w:tc>
        <w:tc>
          <w:tcPr>
            <w:tcW w:w="12756" w:type="dxa"/>
            <w:tcBorders>
              <w:bottom w:val="single" w:color="FFFFFF" w:sz="6" w:space="0"/>
            </w:tcBorders>
            <w:noWrap w:val="0"/>
            <w:vAlign w:val="center"/>
          </w:tcPr>
          <w:p>
            <w:pPr>
              <w:pStyle w:val="12"/>
            </w:pPr>
            <w:r>
              <w:t>1.按照规定时限申请拨付资金</w:t>
            </w:r>
          </w:p>
          <w:p>
            <w:pPr>
              <w:pStyle w:val="12"/>
            </w:pPr>
            <w:r>
              <w:t>2.保障军休人员政治生活待遇，医疗生活待遇。</w:t>
            </w:r>
          </w:p>
        </w:tc>
      </w:tr>
    </w:tbl>
    <w:p>
      <w:pPr>
        <w:pStyle w:val="10"/>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1"/>
            </w:pPr>
            <w:r>
              <w:t>一级指标</w:t>
            </w:r>
          </w:p>
        </w:tc>
        <w:tc>
          <w:tcPr>
            <w:tcW w:w="2268" w:type="dxa"/>
            <w:noWrap w:val="0"/>
            <w:vAlign w:val="center"/>
          </w:tcPr>
          <w:p>
            <w:pPr>
              <w:pStyle w:val="11"/>
            </w:pPr>
            <w:r>
              <w:t>二级指标</w:t>
            </w:r>
          </w:p>
        </w:tc>
        <w:tc>
          <w:tcPr>
            <w:tcW w:w="2835" w:type="dxa"/>
            <w:noWrap w:val="0"/>
            <w:vAlign w:val="center"/>
          </w:tcPr>
          <w:p>
            <w:pPr>
              <w:pStyle w:val="11"/>
            </w:pPr>
            <w:r>
              <w:t>三级指标</w:t>
            </w:r>
          </w:p>
        </w:tc>
        <w:tc>
          <w:tcPr>
            <w:tcW w:w="2835" w:type="dxa"/>
            <w:noWrap w:val="0"/>
            <w:vAlign w:val="center"/>
          </w:tcPr>
          <w:p>
            <w:pPr>
              <w:pStyle w:val="11"/>
            </w:pPr>
            <w:r>
              <w:t>绩效指标描述</w:t>
            </w:r>
          </w:p>
        </w:tc>
        <w:tc>
          <w:tcPr>
            <w:tcW w:w="2551" w:type="dxa"/>
            <w:noWrap w:val="0"/>
            <w:vAlign w:val="center"/>
          </w:tcPr>
          <w:p>
            <w:pPr>
              <w:pStyle w:val="11"/>
            </w:pPr>
            <w:r>
              <w:t>指标值</w:t>
            </w:r>
          </w:p>
        </w:tc>
        <w:tc>
          <w:tcPr>
            <w:tcW w:w="2268" w:type="dxa"/>
            <w:noWrap w:val="0"/>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军休人数</w:t>
            </w:r>
          </w:p>
        </w:tc>
        <w:tc>
          <w:tcPr>
            <w:tcW w:w="2835" w:type="dxa"/>
            <w:noWrap w:val="0"/>
            <w:vAlign w:val="center"/>
          </w:tcPr>
          <w:p>
            <w:pPr>
              <w:pStyle w:val="12"/>
            </w:pPr>
            <w:r>
              <w:t>军队离退休干部、无军籍职工及遗属人数</w:t>
            </w:r>
          </w:p>
        </w:tc>
        <w:tc>
          <w:tcPr>
            <w:tcW w:w="2551" w:type="dxa"/>
            <w:noWrap w:val="0"/>
            <w:vAlign w:val="center"/>
          </w:tcPr>
          <w:p>
            <w:pPr>
              <w:pStyle w:val="12"/>
            </w:pPr>
            <w:r>
              <w:t>≥37人</w:t>
            </w:r>
          </w:p>
        </w:tc>
        <w:tc>
          <w:tcPr>
            <w:tcW w:w="2268" w:type="dxa"/>
            <w:noWrap w:val="0"/>
            <w:vAlign w:val="center"/>
          </w:tcPr>
          <w:p>
            <w:pPr>
              <w:pStyle w:val="12"/>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0"/>
            </w:pPr>
          </w:p>
        </w:tc>
        <w:tc>
          <w:tcPr>
            <w:tcW w:w="2268" w:type="dxa"/>
            <w:noWrap w:val="0"/>
            <w:vAlign w:val="center"/>
          </w:tcPr>
          <w:p>
            <w:pPr>
              <w:pStyle w:val="12"/>
            </w:pPr>
            <w:r>
              <w:t>质量指标</w:t>
            </w:r>
          </w:p>
        </w:tc>
        <w:tc>
          <w:tcPr>
            <w:tcW w:w="2835" w:type="dxa"/>
            <w:noWrap w:val="0"/>
            <w:vAlign w:val="center"/>
          </w:tcPr>
          <w:p>
            <w:pPr>
              <w:pStyle w:val="12"/>
            </w:pPr>
            <w:r>
              <w:t>拨付率</w:t>
            </w:r>
          </w:p>
        </w:tc>
        <w:tc>
          <w:tcPr>
            <w:tcW w:w="2835" w:type="dxa"/>
            <w:noWrap w:val="0"/>
            <w:vAlign w:val="center"/>
          </w:tcPr>
          <w:p>
            <w:pPr>
              <w:pStyle w:val="12"/>
            </w:pPr>
            <w:r>
              <w:t>经费足额拨付率</w:t>
            </w:r>
          </w:p>
        </w:tc>
        <w:tc>
          <w:tcPr>
            <w:tcW w:w="2551" w:type="dxa"/>
            <w:noWrap w:val="0"/>
            <w:vAlign w:val="center"/>
          </w:tcPr>
          <w:p>
            <w:pPr>
              <w:pStyle w:val="12"/>
            </w:pPr>
            <w:r>
              <w:t>≥95%</w:t>
            </w:r>
          </w:p>
        </w:tc>
        <w:tc>
          <w:tcPr>
            <w:tcW w:w="2268" w:type="dxa"/>
            <w:noWrap w:val="0"/>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0"/>
            </w:pPr>
          </w:p>
        </w:tc>
        <w:tc>
          <w:tcPr>
            <w:tcW w:w="2268" w:type="dxa"/>
            <w:noWrap w:val="0"/>
            <w:vAlign w:val="center"/>
          </w:tcPr>
          <w:p>
            <w:pPr>
              <w:pStyle w:val="12"/>
            </w:pPr>
            <w:r>
              <w:t>时效指标</w:t>
            </w:r>
          </w:p>
        </w:tc>
        <w:tc>
          <w:tcPr>
            <w:tcW w:w="2835" w:type="dxa"/>
            <w:noWrap w:val="0"/>
            <w:vAlign w:val="center"/>
          </w:tcPr>
          <w:p>
            <w:pPr>
              <w:pStyle w:val="12"/>
            </w:pPr>
            <w:r>
              <w:t>及时性</w:t>
            </w:r>
          </w:p>
        </w:tc>
        <w:tc>
          <w:tcPr>
            <w:tcW w:w="2835" w:type="dxa"/>
            <w:noWrap w:val="0"/>
            <w:vAlign w:val="center"/>
          </w:tcPr>
          <w:p>
            <w:pPr>
              <w:pStyle w:val="12"/>
            </w:pPr>
            <w:r>
              <w:t>经费拨付时间的及时性</w:t>
            </w:r>
          </w:p>
        </w:tc>
        <w:tc>
          <w:tcPr>
            <w:tcW w:w="2551" w:type="dxa"/>
            <w:noWrap w:val="0"/>
            <w:vAlign w:val="center"/>
          </w:tcPr>
          <w:p>
            <w:pPr>
              <w:pStyle w:val="12"/>
            </w:pPr>
            <w:r>
              <w:t>每月16日前</w:t>
            </w:r>
          </w:p>
        </w:tc>
        <w:tc>
          <w:tcPr>
            <w:tcW w:w="2268" w:type="dxa"/>
            <w:noWrap w:val="0"/>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0"/>
            </w:pPr>
          </w:p>
        </w:tc>
        <w:tc>
          <w:tcPr>
            <w:tcW w:w="2268" w:type="dxa"/>
            <w:noWrap w:val="0"/>
            <w:vAlign w:val="center"/>
          </w:tcPr>
          <w:p>
            <w:pPr>
              <w:pStyle w:val="12"/>
            </w:pPr>
            <w:r>
              <w:t>成本指标</w:t>
            </w:r>
          </w:p>
        </w:tc>
        <w:tc>
          <w:tcPr>
            <w:tcW w:w="2835" w:type="dxa"/>
            <w:noWrap w:val="0"/>
            <w:vAlign w:val="center"/>
          </w:tcPr>
          <w:p>
            <w:pPr>
              <w:pStyle w:val="12"/>
            </w:pPr>
            <w:r>
              <w:t>每月成本</w:t>
            </w:r>
          </w:p>
        </w:tc>
        <w:tc>
          <w:tcPr>
            <w:tcW w:w="2835" w:type="dxa"/>
            <w:noWrap w:val="0"/>
            <w:vAlign w:val="center"/>
          </w:tcPr>
          <w:p>
            <w:pPr>
              <w:pStyle w:val="12"/>
            </w:pPr>
            <w:r>
              <w:t>每月每人发放成本</w:t>
            </w:r>
          </w:p>
        </w:tc>
        <w:tc>
          <w:tcPr>
            <w:tcW w:w="2551" w:type="dxa"/>
            <w:noWrap w:val="0"/>
            <w:vAlign w:val="center"/>
          </w:tcPr>
          <w:p>
            <w:pPr>
              <w:pStyle w:val="12"/>
            </w:pPr>
            <w:r>
              <w:t>≤770元/人、月</w:t>
            </w:r>
          </w:p>
        </w:tc>
        <w:tc>
          <w:tcPr>
            <w:tcW w:w="2268" w:type="dxa"/>
            <w:noWrap w:val="0"/>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社会稳定水平</w:t>
            </w:r>
          </w:p>
        </w:tc>
        <w:tc>
          <w:tcPr>
            <w:tcW w:w="2835" w:type="dxa"/>
            <w:noWrap w:val="0"/>
            <w:vAlign w:val="center"/>
          </w:tcPr>
          <w:p>
            <w:pPr>
              <w:pStyle w:val="12"/>
            </w:pPr>
            <w:r>
              <w:t>军休人员生活情况</w:t>
            </w:r>
          </w:p>
        </w:tc>
        <w:tc>
          <w:tcPr>
            <w:tcW w:w="2551" w:type="dxa"/>
            <w:noWrap w:val="0"/>
            <w:vAlign w:val="center"/>
          </w:tcPr>
          <w:p>
            <w:pPr>
              <w:pStyle w:val="12"/>
            </w:pPr>
            <w:r>
              <w:t>有效改善</w:t>
            </w:r>
          </w:p>
        </w:tc>
        <w:tc>
          <w:tcPr>
            <w:tcW w:w="2268" w:type="dxa"/>
            <w:noWrap w:val="0"/>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满意度</w:t>
            </w:r>
          </w:p>
        </w:tc>
        <w:tc>
          <w:tcPr>
            <w:tcW w:w="2835" w:type="dxa"/>
            <w:noWrap w:val="0"/>
            <w:vAlign w:val="center"/>
          </w:tcPr>
          <w:p>
            <w:pPr>
              <w:pStyle w:val="12"/>
            </w:pPr>
            <w:r>
              <w:t>军休人员满意度</w:t>
            </w:r>
          </w:p>
        </w:tc>
        <w:tc>
          <w:tcPr>
            <w:tcW w:w="2551" w:type="dxa"/>
            <w:noWrap w:val="0"/>
            <w:vAlign w:val="center"/>
          </w:tcPr>
          <w:p>
            <w:pPr>
              <w:pStyle w:val="12"/>
            </w:pPr>
            <w:r>
              <w:t>≥95%</w:t>
            </w:r>
          </w:p>
        </w:tc>
        <w:tc>
          <w:tcPr>
            <w:tcW w:w="2268" w:type="dxa"/>
            <w:noWrap w:val="0"/>
            <w:vAlign w:val="center"/>
          </w:tcPr>
          <w:p>
            <w:pPr>
              <w:pStyle w:val="12"/>
            </w:pPr>
            <w:r>
              <w:t>调查问卷</w:t>
            </w:r>
          </w:p>
        </w:tc>
      </w:tr>
    </w:tbl>
    <w:p>
      <w:pPr>
        <w:pStyle w:val="10"/>
      </w:pPr>
    </w:p>
    <w:p>
      <w:pPr>
        <w:pStyle w:val="10"/>
        <w:ind w:firstLine="560"/>
      </w:pPr>
      <w:r>
        <w:rPr>
          <w:rFonts w:ascii="方正仿宋_GBK" w:hAnsi="方正仿宋_GBK" w:eastAsia="方正仿宋_GBK" w:cs="方正仿宋_GBK"/>
          <w:b/>
          <w:color w:val="000000"/>
          <w:sz w:val="28"/>
        </w:rPr>
        <w:t>2、唐财社【2021】130号关于提前下达2022年省级退役安置补助经费预算的通知绩效目标表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1"/>
            </w:pPr>
            <w:r>
              <w:t>绩效目标</w:t>
            </w:r>
          </w:p>
        </w:tc>
        <w:tc>
          <w:tcPr>
            <w:tcW w:w="12756" w:type="dxa"/>
            <w:tcBorders>
              <w:bottom w:val="single" w:color="FFFFFF" w:sz="6" w:space="0"/>
            </w:tcBorders>
            <w:noWrap w:val="0"/>
            <w:vAlign w:val="center"/>
          </w:tcPr>
          <w:p>
            <w:pPr>
              <w:pStyle w:val="12"/>
            </w:pPr>
            <w:r>
              <w:t>1.按规定时限申请拨付资金</w:t>
            </w:r>
          </w:p>
          <w:p>
            <w:pPr>
              <w:pStyle w:val="12"/>
            </w:pPr>
            <w:r>
              <w:t>2.确保军休人员合法权益</w:t>
            </w:r>
          </w:p>
        </w:tc>
      </w:tr>
    </w:tbl>
    <w:p>
      <w:pPr>
        <w:pStyle w:val="10"/>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1"/>
            </w:pPr>
            <w:r>
              <w:t>一级指标</w:t>
            </w:r>
          </w:p>
        </w:tc>
        <w:tc>
          <w:tcPr>
            <w:tcW w:w="2268" w:type="dxa"/>
            <w:noWrap w:val="0"/>
            <w:vAlign w:val="center"/>
          </w:tcPr>
          <w:p>
            <w:pPr>
              <w:pStyle w:val="11"/>
            </w:pPr>
            <w:r>
              <w:t>二级指标</w:t>
            </w:r>
          </w:p>
        </w:tc>
        <w:tc>
          <w:tcPr>
            <w:tcW w:w="2835" w:type="dxa"/>
            <w:noWrap w:val="0"/>
            <w:vAlign w:val="center"/>
          </w:tcPr>
          <w:p>
            <w:pPr>
              <w:pStyle w:val="11"/>
            </w:pPr>
            <w:r>
              <w:t>三级指标</w:t>
            </w:r>
          </w:p>
        </w:tc>
        <w:tc>
          <w:tcPr>
            <w:tcW w:w="2835" w:type="dxa"/>
            <w:noWrap w:val="0"/>
            <w:vAlign w:val="center"/>
          </w:tcPr>
          <w:p>
            <w:pPr>
              <w:pStyle w:val="11"/>
            </w:pPr>
            <w:r>
              <w:t>绩效指标描述</w:t>
            </w:r>
          </w:p>
        </w:tc>
        <w:tc>
          <w:tcPr>
            <w:tcW w:w="2551" w:type="dxa"/>
            <w:noWrap w:val="0"/>
            <w:vAlign w:val="center"/>
          </w:tcPr>
          <w:p>
            <w:pPr>
              <w:pStyle w:val="11"/>
            </w:pPr>
            <w:r>
              <w:t>指标值</w:t>
            </w:r>
          </w:p>
        </w:tc>
        <w:tc>
          <w:tcPr>
            <w:tcW w:w="2268" w:type="dxa"/>
            <w:noWrap w:val="0"/>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军休人数</w:t>
            </w:r>
          </w:p>
        </w:tc>
        <w:tc>
          <w:tcPr>
            <w:tcW w:w="2835" w:type="dxa"/>
            <w:noWrap w:val="0"/>
            <w:vAlign w:val="center"/>
          </w:tcPr>
          <w:p>
            <w:pPr>
              <w:pStyle w:val="12"/>
            </w:pPr>
            <w:r>
              <w:t>军休人数</w:t>
            </w:r>
          </w:p>
        </w:tc>
        <w:tc>
          <w:tcPr>
            <w:tcW w:w="2551" w:type="dxa"/>
            <w:noWrap w:val="0"/>
            <w:vAlign w:val="center"/>
          </w:tcPr>
          <w:p>
            <w:pPr>
              <w:pStyle w:val="12"/>
            </w:pPr>
            <w:r>
              <w:t>≥37人</w:t>
            </w:r>
          </w:p>
        </w:tc>
        <w:tc>
          <w:tcPr>
            <w:tcW w:w="2268" w:type="dxa"/>
            <w:noWrap w:val="0"/>
            <w:vAlign w:val="center"/>
          </w:tcPr>
          <w:p>
            <w:pPr>
              <w:pStyle w:val="12"/>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0"/>
            </w:pPr>
          </w:p>
        </w:tc>
        <w:tc>
          <w:tcPr>
            <w:tcW w:w="2268" w:type="dxa"/>
            <w:noWrap w:val="0"/>
            <w:vAlign w:val="center"/>
          </w:tcPr>
          <w:p>
            <w:pPr>
              <w:pStyle w:val="12"/>
            </w:pPr>
            <w:r>
              <w:t>质量指标</w:t>
            </w:r>
          </w:p>
        </w:tc>
        <w:tc>
          <w:tcPr>
            <w:tcW w:w="2835" w:type="dxa"/>
            <w:noWrap w:val="0"/>
            <w:vAlign w:val="center"/>
          </w:tcPr>
          <w:p>
            <w:pPr>
              <w:pStyle w:val="12"/>
            </w:pPr>
            <w:r>
              <w:t>拨付率</w:t>
            </w:r>
          </w:p>
        </w:tc>
        <w:tc>
          <w:tcPr>
            <w:tcW w:w="2835" w:type="dxa"/>
            <w:noWrap w:val="0"/>
            <w:vAlign w:val="center"/>
          </w:tcPr>
          <w:p>
            <w:pPr>
              <w:pStyle w:val="12"/>
            </w:pPr>
            <w:r>
              <w:t>经费足额拨付率</w:t>
            </w:r>
          </w:p>
        </w:tc>
        <w:tc>
          <w:tcPr>
            <w:tcW w:w="2551" w:type="dxa"/>
            <w:noWrap w:val="0"/>
            <w:vAlign w:val="center"/>
          </w:tcPr>
          <w:p>
            <w:pPr>
              <w:pStyle w:val="12"/>
            </w:pPr>
            <w:r>
              <w:t>≥95%</w:t>
            </w:r>
          </w:p>
        </w:tc>
        <w:tc>
          <w:tcPr>
            <w:tcW w:w="2268" w:type="dxa"/>
            <w:noWrap w:val="0"/>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0"/>
            </w:pPr>
          </w:p>
        </w:tc>
        <w:tc>
          <w:tcPr>
            <w:tcW w:w="2268" w:type="dxa"/>
            <w:noWrap w:val="0"/>
            <w:vAlign w:val="center"/>
          </w:tcPr>
          <w:p>
            <w:pPr>
              <w:pStyle w:val="12"/>
            </w:pPr>
            <w:r>
              <w:t>时效指标</w:t>
            </w:r>
          </w:p>
        </w:tc>
        <w:tc>
          <w:tcPr>
            <w:tcW w:w="2835" w:type="dxa"/>
            <w:noWrap w:val="0"/>
            <w:vAlign w:val="center"/>
          </w:tcPr>
          <w:p>
            <w:pPr>
              <w:pStyle w:val="12"/>
            </w:pPr>
            <w:r>
              <w:t>及时性</w:t>
            </w:r>
          </w:p>
        </w:tc>
        <w:tc>
          <w:tcPr>
            <w:tcW w:w="2835" w:type="dxa"/>
            <w:noWrap w:val="0"/>
            <w:vAlign w:val="center"/>
          </w:tcPr>
          <w:p>
            <w:pPr>
              <w:pStyle w:val="12"/>
            </w:pPr>
            <w:r>
              <w:t>经费拨付时间的及时性</w:t>
            </w:r>
          </w:p>
        </w:tc>
        <w:tc>
          <w:tcPr>
            <w:tcW w:w="2551" w:type="dxa"/>
            <w:noWrap w:val="0"/>
            <w:vAlign w:val="center"/>
          </w:tcPr>
          <w:p>
            <w:pPr>
              <w:pStyle w:val="12"/>
            </w:pPr>
            <w:r>
              <w:t>每月16日前</w:t>
            </w:r>
          </w:p>
        </w:tc>
        <w:tc>
          <w:tcPr>
            <w:tcW w:w="2268" w:type="dxa"/>
            <w:noWrap w:val="0"/>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0"/>
            </w:pPr>
          </w:p>
        </w:tc>
        <w:tc>
          <w:tcPr>
            <w:tcW w:w="2268" w:type="dxa"/>
            <w:noWrap w:val="0"/>
            <w:vAlign w:val="center"/>
          </w:tcPr>
          <w:p>
            <w:pPr>
              <w:pStyle w:val="12"/>
            </w:pPr>
            <w:r>
              <w:t>成本指标</w:t>
            </w:r>
          </w:p>
        </w:tc>
        <w:tc>
          <w:tcPr>
            <w:tcW w:w="2835" w:type="dxa"/>
            <w:noWrap w:val="0"/>
            <w:vAlign w:val="center"/>
          </w:tcPr>
          <w:p>
            <w:pPr>
              <w:pStyle w:val="12"/>
            </w:pPr>
            <w:r>
              <w:t>补助成本</w:t>
            </w:r>
          </w:p>
        </w:tc>
        <w:tc>
          <w:tcPr>
            <w:tcW w:w="2835" w:type="dxa"/>
            <w:noWrap w:val="0"/>
            <w:vAlign w:val="center"/>
          </w:tcPr>
          <w:p>
            <w:pPr>
              <w:pStyle w:val="12"/>
            </w:pPr>
            <w:r>
              <w:t>军休经费补助每人成本</w:t>
            </w:r>
          </w:p>
        </w:tc>
        <w:tc>
          <w:tcPr>
            <w:tcW w:w="2551" w:type="dxa"/>
            <w:noWrap w:val="0"/>
            <w:vAlign w:val="center"/>
          </w:tcPr>
          <w:p>
            <w:pPr>
              <w:pStyle w:val="12"/>
            </w:pPr>
            <w:r>
              <w:t>≤20000元/人、月</w:t>
            </w:r>
          </w:p>
        </w:tc>
        <w:tc>
          <w:tcPr>
            <w:tcW w:w="2268" w:type="dxa"/>
            <w:noWrap w:val="0"/>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社会稳定水平</w:t>
            </w:r>
          </w:p>
        </w:tc>
        <w:tc>
          <w:tcPr>
            <w:tcW w:w="2835" w:type="dxa"/>
            <w:noWrap w:val="0"/>
            <w:vAlign w:val="center"/>
          </w:tcPr>
          <w:p>
            <w:pPr>
              <w:pStyle w:val="12"/>
            </w:pPr>
            <w:r>
              <w:t>军休人员生活情况</w:t>
            </w:r>
          </w:p>
        </w:tc>
        <w:tc>
          <w:tcPr>
            <w:tcW w:w="2551" w:type="dxa"/>
            <w:noWrap w:val="0"/>
            <w:vAlign w:val="center"/>
          </w:tcPr>
          <w:p>
            <w:pPr>
              <w:pStyle w:val="12"/>
            </w:pPr>
            <w:r>
              <w:t>有效改善</w:t>
            </w:r>
          </w:p>
        </w:tc>
        <w:tc>
          <w:tcPr>
            <w:tcW w:w="2268" w:type="dxa"/>
            <w:noWrap w:val="0"/>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满意度</w:t>
            </w:r>
          </w:p>
        </w:tc>
        <w:tc>
          <w:tcPr>
            <w:tcW w:w="2835" w:type="dxa"/>
            <w:noWrap w:val="0"/>
            <w:vAlign w:val="center"/>
          </w:tcPr>
          <w:p>
            <w:pPr>
              <w:pStyle w:val="12"/>
            </w:pPr>
            <w:r>
              <w:t>军休人员满意度</w:t>
            </w:r>
          </w:p>
        </w:tc>
        <w:tc>
          <w:tcPr>
            <w:tcW w:w="2551" w:type="dxa"/>
            <w:noWrap w:val="0"/>
            <w:vAlign w:val="center"/>
          </w:tcPr>
          <w:p>
            <w:pPr>
              <w:pStyle w:val="12"/>
            </w:pPr>
            <w:r>
              <w:t>≥95%</w:t>
            </w:r>
          </w:p>
        </w:tc>
        <w:tc>
          <w:tcPr>
            <w:tcW w:w="2268" w:type="dxa"/>
            <w:noWrap w:val="0"/>
            <w:vAlign w:val="center"/>
          </w:tcPr>
          <w:p>
            <w:pPr>
              <w:pStyle w:val="12"/>
            </w:pPr>
            <w:r>
              <w:t>问卷调查</w:t>
            </w:r>
          </w:p>
        </w:tc>
      </w:tr>
    </w:tbl>
    <w:p>
      <w:pPr>
        <w:pStyle w:val="10"/>
      </w:pPr>
    </w:p>
    <w:p>
      <w:pPr>
        <w:pStyle w:val="10"/>
        <w:ind w:firstLine="560"/>
      </w:pPr>
      <w:r>
        <w:rPr>
          <w:rFonts w:ascii="方正仿宋_GBK" w:hAnsi="方正仿宋_GBK" w:eastAsia="方正仿宋_GBK" w:cs="方正仿宋_GBK"/>
          <w:b/>
          <w:color w:val="000000"/>
          <w:sz w:val="28"/>
        </w:rPr>
        <w:t>3、唐财社【2021】142号关于提前下达2022年中央退役安置补助经费预算的通知绩效目标表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1"/>
            </w:pPr>
            <w:r>
              <w:t>绩效目标</w:t>
            </w:r>
          </w:p>
        </w:tc>
        <w:tc>
          <w:tcPr>
            <w:tcW w:w="12756" w:type="dxa"/>
            <w:tcBorders>
              <w:bottom w:val="single" w:color="FFFFFF" w:sz="6" w:space="0"/>
            </w:tcBorders>
            <w:noWrap w:val="0"/>
            <w:vAlign w:val="center"/>
          </w:tcPr>
          <w:p>
            <w:pPr>
              <w:pStyle w:val="12"/>
            </w:pPr>
            <w:r>
              <w:t>1.按规定时限申请拨付资金</w:t>
            </w:r>
          </w:p>
          <w:p>
            <w:pPr>
              <w:pStyle w:val="12"/>
            </w:pPr>
            <w:r>
              <w:t>2.军休人员生活得到保障</w:t>
            </w:r>
          </w:p>
        </w:tc>
      </w:tr>
    </w:tbl>
    <w:p>
      <w:pPr>
        <w:pStyle w:val="10"/>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1"/>
            </w:pPr>
            <w:r>
              <w:t>一级指标</w:t>
            </w:r>
          </w:p>
        </w:tc>
        <w:tc>
          <w:tcPr>
            <w:tcW w:w="2268" w:type="dxa"/>
            <w:noWrap w:val="0"/>
            <w:vAlign w:val="center"/>
          </w:tcPr>
          <w:p>
            <w:pPr>
              <w:pStyle w:val="11"/>
            </w:pPr>
            <w:r>
              <w:t>二级指标</w:t>
            </w:r>
          </w:p>
        </w:tc>
        <w:tc>
          <w:tcPr>
            <w:tcW w:w="2835" w:type="dxa"/>
            <w:noWrap w:val="0"/>
            <w:vAlign w:val="center"/>
          </w:tcPr>
          <w:p>
            <w:pPr>
              <w:pStyle w:val="11"/>
            </w:pPr>
            <w:r>
              <w:t>三级指标</w:t>
            </w:r>
          </w:p>
        </w:tc>
        <w:tc>
          <w:tcPr>
            <w:tcW w:w="2835" w:type="dxa"/>
            <w:noWrap w:val="0"/>
            <w:vAlign w:val="center"/>
          </w:tcPr>
          <w:p>
            <w:pPr>
              <w:pStyle w:val="11"/>
            </w:pPr>
            <w:r>
              <w:t>绩效指标描述</w:t>
            </w:r>
          </w:p>
        </w:tc>
        <w:tc>
          <w:tcPr>
            <w:tcW w:w="2551" w:type="dxa"/>
            <w:noWrap w:val="0"/>
            <w:vAlign w:val="center"/>
          </w:tcPr>
          <w:p>
            <w:pPr>
              <w:pStyle w:val="11"/>
            </w:pPr>
            <w:r>
              <w:t>指标值</w:t>
            </w:r>
          </w:p>
        </w:tc>
        <w:tc>
          <w:tcPr>
            <w:tcW w:w="2268" w:type="dxa"/>
            <w:noWrap w:val="0"/>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补助人数</w:t>
            </w:r>
          </w:p>
        </w:tc>
        <w:tc>
          <w:tcPr>
            <w:tcW w:w="2835" w:type="dxa"/>
            <w:noWrap w:val="0"/>
            <w:vAlign w:val="center"/>
          </w:tcPr>
          <w:p>
            <w:pPr>
              <w:pStyle w:val="12"/>
            </w:pPr>
            <w:r>
              <w:t>接收军休人员人数</w:t>
            </w:r>
          </w:p>
        </w:tc>
        <w:tc>
          <w:tcPr>
            <w:tcW w:w="2551" w:type="dxa"/>
            <w:noWrap w:val="0"/>
            <w:vAlign w:val="center"/>
          </w:tcPr>
          <w:p>
            <w:pPr>
              <w:pStyle w:val="12"/>
            </w:pPr>
            <w:r>
              <w:t>≥37人</w:t>
            </w:r>
          </w:p>
        </w:tc>
        <w:tc>
          <w:tcPr>
            <w:tcW w:w="2268" w:type="dxa"/>
            <w:noWrap w:val="0"/>
            <w:vAlign w:val="center"/>
          </w:tcPr>
          <w:p>
            <w:pPr>
              <w:pStyle w:val="12"/>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0"/>
            </w:pPr>
          </w:p>
        </w:tc>
        <w:tc>
          <w:tcPr>
            <w:tcW w:w="2268" w:type="dxa"/>
            <w:noWrap w:val="0"/>
            <w:vAlign w:val="center"/>
          </w:tcPr>
          <w:p>
            <w:pPr>
              <w:pStyle w:val="12"/>
            </w:pPr>
            <w:r>
              <w:t>质量指标</w:t>
            </w:r>
          </w:p>
        </w:tc>
        <w:tc>
          <w:tcPr>
            <w:tcW w:w="2835" w:type="dxa"/>
            <w:noWrap w:val="0"/>
            <w:vAlign w:val="center"/>
          </w:tcPr>
          <w:p>
            <w:pPr>
              <w:pStyle w:val="12"/>
            </w:pPr>
            <w:r>
              <w:t>保障率</w:t>
            </w:r>
          </w:p>
        </w:tc>
        <w:tc>
          <w:tcPr>
            <w:tcW w:w="2835" w:type="dxa"/>
            <w:noWrap w:val="0"/>
            <w:vAlign w:val="center"/>
          </w:tcPr>
          <w:p>
            <w:pPr>
              <w:pStyle w:val="12"/>
            </w:pPr>
            <w:r>
              <w:t>应接收军休人员保障率</w:t>
            </w:r>
          </w:p>
        </w:tc>
        <w:tc>
          <w:tcPr>
            <w:tcW w:w="2551" w:type="dxa"/>
            <w:noWrap w:val="0"/>
            <w:vAlign w:val="center"/>
          </w:tcPr>
          <w:p>
            <w:pPr>
              <w:pStyle w:val="12"/>
            </w:pPr>
            <w:r>
              <w:t>≥95%</w:t>
            </w:r>
          </w:p>
        </w:tc>
        <w:tc>
          <w:tcPr>
            <w:tcW w:w="2268" w:type="dxa"/>
            <w:noWrap w:val="0"/>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0"/>
            </w:pPr>
          </w:p>
        </w:tc>
        <w:tc>
          <w:tcPr>
            <w:tcW w:w="2268" w:type="dxa"/>
            <w:noWrap w:val="0"/>
            <w:vAlign w:val="center"/>
          </w:tcPr>
          <w:p>
            <w:pPr>
              <w:pStyle w:val="12"/>
            </w:pPr>
            <w:r>
              <w:t>时效指标</w:t>
            </w:r>
          </w:p>
        </w:tc>
        <w:tc>
          <w:tcPr>
            <w:tcW w:w="2835" w:type="dxa"/>
            <w:noWrap w:val="0"/>
            <w:vAlign w:val="center"/>
          </w:tcPr>
          <w:p>
            <w:pPr>
              <w:pStyle w:val="12"/>
            </w:pPr>
            <w:r>
              <w:t>及时性</w:t>
            </w:r>
          </w:p>
        </w:tc>
        <w:tc>
          <w:tcPr>
            <w:tcW w:w="2835" w:type="dxa"/>
            <w:noWrap w:val="0"/>
            <w:vAlign w:val="center"/>
          </w:tcPr>
          <w:p>
            <w:pPr>
              <w:pStyle w:val="12"/>
            </w:pPr>
            <w:r>
              <w:t>资金拨付时间及时性</w:t>
            </w:r>
          </w:p>
        </w:tc>
        <w:tc>
          <w:tcPr>
            <w:tcW w:w="2551" w:type="dxa"/>
            <w:noWrap w:val="0"/>
            <w:vAlign w:val="center"/>
          </w:tcPr>
          <w:p>
            <w:pPr>
              <w:pStyle w:val="12"/>
            </w:pPr>
            <w:r>
              <w:t>每月16日前</w:t>
            </w:r>
          </w:p>
        </w:tc>
        <w:tc>
          <w:tcPr>
            <w:tcW w:w="2268" w:type="dxa"/>
            <w:noWrap w:val="0"/>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0"/>
            </w:pPr>
          </w:p>
        </w:tc>
        <w:tc>
          <w:tcPr>
            <w:tcW w:w="2268" w:type="dxa"/>
            <w:noWrap w:val="0"/>
            <w:vAlign w:val="center"/>
          </w:tcPr>
          <w:p>
            <w:pPr>
              <w:pStyle w:val="12"/>
            </w:pPr>
            <w:r>
              <w:t>成本指标</w:t>
            </w:r>
          </w:p>
        </w:tc>
        <w:tc>
          <w:tcPr>
            <w:tcW w:w="2835" w:type="dxa"/>
            <w:noWrap w:val="0"/>
            <w:vAlign w:val="center"/>
          </w:tcPr>
          <w:p>
            <w:pPr>
              <w:pStyle w:val="12"/>
            </w:pPr>
            <w:r>
              <w:t>每人成本</w:t>
            </w:r>
          </w:p>
        </w:tc>
        <w:tc>
          <w:tcPr>
            <w:tcW w:w="2835" w:type="dxa"/>
            <w:noWrap w:val="0"/>
            <w:vAlign w:val="center"/>
          </w:tcPr>
          <w:p>
            <w:pPr>
              <w:pStyle w:val="12"/>
            </w:pPr>
            <w:r>
              <w:t>每月每人发放成本</w:t>
            </w:r>
          </w:p>
        </w:tc>
        <w:tc>
          <w:tcPr>
            <w:tcW w:w="2551" w:type="dxa"/>
            <w:noWrap w:val="0"/>
            <w:vAlign w:val="center"/>
          </w:tcPr>
          <w:p>
            <w:pPr>
              <w:pStyle w:val="12"/>
            </w:pPr>
            <w:r>
              <w:t>≤21000元/人、月</w:t>
            </w:r>
          </w:p>
        </w:tc>
        <w:tc>
          <w:tcPr>
            <w:tcW w:w="2268" w:type="dxa"/>
            <w:noWrap w:val="0"/>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社会稳定水平</w:t>
            </w:r>
          </w:p>
        </w:tc>
        <w:tc>
          <w:tcPr>
            <w:tcW w:w="2835" w:type="dxa"/>
            <w:noWrap w:val="0"/>
            <w:vAlign w:val="center"/>
          </w:tcPr>
          <w:p>
            <w:pPr>
              <w:pStyle w:val="12"/>
            </w:pPr>
            <w:r>
              <w:t>军休人员生活情况</w:t>
            </w:r>
          </w:p>
        </w:tc>
        <w:tc>
          <w:tcPr>
            <w:tcW w:w="2551" w:type="dxa"/>
            <w:noWrap w:val="0"/>
            <w:vAlign w:val="center"/>
          </w:tcPr>
          <w:p>
            <w:pPr>
              <w:pStyle w:val="12"/>
            </w:pPr>
            <w:r>
              <w:t>有效改善</w:t>
            </w:r>
          </w:p>
        </w:tc>
        <w:tc>
          <w:tcPr>
            <w:tcW w:w="2268" w:type="dxa"/>
            <w:noWrap w:val="0"/>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满意度</w:t>
            </w:r>
          </w:p>
        </w:tc>
        <w:tc>
          <w:tcPr>
            <w:tcW w:w="2835" w:type="dxa"/>
            <w:noWrap w:val="0"/>
            <w:vAlign w:val="center"/>
          </w:tcPr>
          <w:p>
            <w:pPr>
              <w:pStyle w:val="12"/>
            </w:pPr>
            <w:r>
              <w:t>军休人员满意度</w:t>
            </w:r>
          </w:p>
        </w:tc>
        <w:tc>
          <w:tcPr>
            <w:tcW w:w="2551" w:type="dxa"/>
            <w:noWrap w:val="0"/>
            <w:vAlign w:val="center"/>
          </w:tcPr>
          <w:p>
            <w:pPr>
              <w:pStyle w:val="12"/>
            </w:pPr>
            <w:r>
              <w:t>≥90%</w:t>
            </w:r>
          </w:p>
        </w:tc>
        <w:tc>
          <w:tcPr>
            <w:tcW w:w="2268" w:type="dxa"/>
            <w:noWrap w:val="0"/>
            <w:vAlign w:val="center"/>
          </w:tcPr>
          <w:p>
            <w:pPr>
              <w:pStyle w:val="12"/>
            </w:pPr>
            <w:r>
              <w:t>问卷调查</w:t>
            </w:r>
          </w:p>
        </w:tc>
      </w:tr>
    </w:tbl>
    <w:p>
      <w:pPr>
        <w:pStyle w:val="10"/>
      </w:pPr>
    </w:p>
    <w:p>
      <w:pPr>
        <w:pStyle w:val="10"/>
        <w:ind w:firstLine="560"/>
      </w:pPr>
      <w:r>
        <w:rPr>
          <w:rFonts w:ascii="方正仿宋_GBK" w:hAnsi="方正仿宋_GBK" w:eastAsia="方正仿宋_GBK" w:cs="方正仿宋_GBK"/>
          <w:b/>
          <w:color w:val="000000"/>
          <w:sz w:val="28"/>
        </w:rPr>
        <w:t>4、唐财社【2021】142号关于提前下达2022年中央退役安置补助经费预算的通知绩效目标表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1"/>
            </w:pPr>
            <w:r>
              <w:t>绩效目标</w:t>
            </w:r>
          </w:p>
        </w:tc>
        <w:tc>
          <w:tcPr>
            <w:tcW w:w="12756" w:type="dxa"/>
            <w:tcBorders>
              <w:bottom w:val="single" w:color="FFFFFF" w:sz="6" w:space="0"/>
            </w:tcBorders>
            <w:noWrap w:val="0"/>
            <w:vAlign w:val="center"/>
          </w:tcPr>
          <w:p>
            <w:pPr>
              <w:pStyle w:val="12"/>
            </w:pPr>
            <w:r>
              <w:t>1.按规定时限申请拨付资金</w:t>
            </w:r>
          </w:p>
          <w:p>
            <w:pPr>
              <w:pStyle w:val="12"/>
            </w:pPr>
            <w:r>
              <w:t>2.保障工作正常运转</w:t>
            </w:r>
          </w:p>
        </w:tc>
      </w:tr>
    </w:tbl>
    <w:p>
      <w:pPr>
        <w:pStyle w:val="10"/>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1"/>
            </w:pPr>
            <w:r>
              <w:t>一级指标</w:t>
            </w:r>
          </w:p>
        </w:tc>
        <w:tc>
          <w:tcPr>
            <w:tcW w:w="2268" w:type="dxa"/>
            <w:noWrap w:val="0"/>
            <w:vAlign w:val="center"/>
          </w:tcPr>
          <w:p>
            <w:pPr>
              <w:pStyle w:val="11"/>
            </w:pPr>
            <w:r>
              <w:t>二级指标</w:t>
            </w:r>
          </w:p>
        </w:tc>
        <w:tc>
          <w:tcPr>
            <w:tcW w:w="2835" w:type="dxa"/>
            <w:noWrap w:val="0"/>
            <w:vAlign w:val="center"/>
          </w:tcPr>
          <w:p>
            <w:pPr>
              <w:pStyle w:val="11"/>
            </w:pPr>
            <w:r>
              <w:t>三级指标</w:t>
            </w:r>
          </w:p>
        </w:tc>
        <w:tc>
          <w:tcPr>
            <w:tcW w:w="2835" w:type="dxa"/>
            <w:noWrap w:val="0"/>
            <w:vAlign w:val="center"/>
          </w:tcPr>
          <w:p>
            <w:pPr>
              <w:pStyle w:val="11"/>
            </w:pPr>
            <w:r>
              <w:t>绩效指标描述</w:t>
            </w:r>
          </w:p>
        </w:tc>
        <w:tc>
          <w:tcPr>
            <w:tcW w:w="2551" w:type="dxa"/>
            <w:noWrap w:val="0"/>
            <w:vAlign w:val="center"/>
          </w:tcPr>
          <w:p>
            <w:pPr>
              <w:pStyle w:val="11"/>
            </w:pPr>
            <w:r>
              <w:t>指标值</w:t>
            </w:r>
          </w:p>
        </w:tc>
        <w:tc>
          <w:tcPr>
            <w:tcW w:w="2268" w:type="dxa"/>
            <w:noWrap w:val="0"/>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补助人数</w:t>
            </w:r>
          </w:p>
        </w:tc>
        <w:tc>
          <w:tcPr>
            <w:tcW w:w="2835" w:type="dxa"/>
            <w:noWrap w:val="0"/>
            <w:vAlign w:val="center"/>
          </w:tcPr>
          <w:p>
            <w:pPr>
              <w:pStyle w:val="12"/>
            </w:pPr>
            <w:r>
              <w:t>机构经费补助人数</w:t>
            </w:r>
          </w:p>
        </w:tc>
        <w:tc>
          <w:tcPr>
            <w:tcW w:w="2551" w:type="dxa"/>
            <w:noWrap w:val="0"/>
            <w:vAlign w:val="center"/>
          </w:tcPr>
          <w:p>
            <w:pPr>
              <w:pStyle w:val="12"/>
            </w:pPr>
            <w:r>
              <w:t>≥6人</w:t>
            </w:r>
          </w:p>
        </w:tc>
        <w:tc>
          <w:tcPr>
            <w:tcW w:w="2268" w:type="dxa"/>
            <w:noWrap w:val="0"/>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0"/>
            </w:pPr>
          </w:p>
        </w:tc>
        <w:tc>
          <w:tcPr>
            <w:tcW w:w="2268" w:type="dxa"/>
            <w:noWrap w:val="0"/>
            <w:vAlign w:val="center"/>
          </w:tcPr>
          <w:p>
            <w:pPr>
              <w:pStyle w:val="12"/>
            </w:pPr>
            <w:r>
              <w:t>质量指标</w:t>
            </w:r>
          </w:p>
        </w:tc>
        <w:tc>
          <w:tcPr>
            <w:tcW w:w="2835" w:type="dxa"/>
            <w:noWrap w:val="0"/>
            <w:vAlign w:val="center"/>
          </w:tcPr>
          <w:p>
            <w:pPr>
              <w:pStyle w:val="12"/>
            </w:pPr>
            <w:r>
              <w:t>足额率</w:t>
            </w:r>
          </w:p>
        </w:tc>
        <w:tc>
          <w:tcPr>
            <w:tcW w:w="2835" w:type="dxa"/>
            <w:noWrap w:val="0"/>
            <w:vAlign w:val="center"/>
          </w:tcPr>
          <w:p>
            <w:pPr>
              <w:pStyle w:val="12"/>
            </w:pPr>
            <w:r>
              <w:t>经费足额拨付率</w:t>
            </w:r>
          </w:p>
        </w:tc>
        <w:tc>
          <w:tcPr>
            <w:tcW w:w="2551" w:type="dxa"/>
            <w:noWrap w:val="0"/>
            <w:vAlign w:val="center"/>
          </w:tcPr>
          <w:p>
            <w:pPr>
              <w:pStyle w:val="12"/>
            </w:pPr>
            <w:r>
              <w:t>≥95%</w:t>
            </w:r>
          </w:p>
        </w:tc>
        <w:tc>
          <w:tcPr>
            <w:tcW w:w="2268" w:type="dxa"/>
            <w:noWrap w:val="0"/>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0"/>
            </w:pPr>
          </w:p>
        </w:tc>
        <w:tc>
          <w:tcPr>
            <w:tcW w:w="2268" w:type="dxa"/>
            <w:noWrap w:val="0"/>
            <w:vAlign w:val="center"/>
          </w:tcPr>
          <w:p>
            <w:pPr>
              <w:pStyle w:val="12"/>
            </w:pPr>
            <w:r>
              <w:t>时效指标</w:t>
            </w:r>
          </w:p>
        </w:tc>
        <w:tc>
          <w:tcPr>
            <w:tcW w:w="2835" w:type="dxa"/>
            <w:noWrap w:val="0"/>
            <w:vAlign w:val="center"/>
          </w:tcPr>
          <w:p>
            <w:pPr>
              <w:pStyle w:val="12"/>
            </w:pPr>
            <w:r>
              <w:t>及时性</w:t>
            </w:r>
          </w:p>
        </w:tc>
        <w:tc>
          <w:tcPr>
            <w:tcW w:w="2835" w:type="dxa"/>
            <w:noWrap w:val="0"/>
            <w:vAlign w:val="center"/>
          </w:tcPr>
          <w:p>
            <w:pPr>
              <w:pStyle w:val="12"/>
            </w:pPr>
            <w:r>
              <w:t>经费拨付及时性</w:t>
            </w:r>
          </w:p>
        </w:tc>
        <w:tc>
          <w:tcPr>
            <w:tcW w:w="2551" w:type="dxa"/>
            <w:noWrap w:val="0"/>
            <w:vAlign w:val="center"/>
          </w:tcPr>
          <w:p>
            <w:pPr>
              <w:pStyle w:val="12"/>
            </w:pPr>
            <w:r>
              <w:t>按规定时间</w:t>
            </w:r>
          </w:p>
        </w:tc>
        <w:tc>
          <w:tcPr>
            <w:tcW w:w="2268" w:type="dxa"/>
            <w:noWrap w:val="0"/>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0"/>
            </w:pPr>
          </w:p>
        </w:tc>
        <w:tc>
          <w:tcPr>
            <w:tcW w:w="2268" w:type="dxa"/>
            <w:noWrap w:val="0"/>
            <w:vAlign w:val="center"/>
          </w:tcPr>
          <w:p>
            <w:pPr>
              <w:pStyle w:val="12"/>
            </w:pPr>
            <w:r>
              <w:t>成本指标</w:t>
            </w:r>
          </w:p>
        </w:tc>
        <w:tc>
          <w:tcPr>
            <w:tcW w:w="2835" w:type="dxa"/>
            <w:noWrap w:val="0"/>
            <w:vAlign w:val="center"/>
          </w:tcPr>
          <w:p>
            <w:pPr>
              <w:pStyle w:val="12"/>
            </w:pPr>
            <w:r>
              <w:t>每人成本</w:t>
            </w:r>
          </w:p>
        </w:tc>
        <w:tc>
          <w:tcPr>
            <w:tcW w:w="2835" w:type="dxa"/>
            <w:noWrap w:val="0"/>
            <w:vAlign w:val="center"/>
          </w:tcPr>
          <w:p>
            <w:pPr>
              <w:pStyle w:val="12"/>
            </w:pPr>
            <w:r>
              <w:t>机构经费使用成本</w:t>
            </w:r>
          </w:p>
        </w:tc>
        <w:tc>
          <w:tcPr>
            <w:tcW w:w="2551" w:type="dxa"/>
            <w:noWrap w:val="0"/>
            <w:vAlign w:val="center"/>
          </w:tcPr>
          <w:p>
            <w:pPr>
              <w:pStyle w:val="12"/>
            </w:pPr>
            <w:r>
              <w:t>≤2500元/人、月</w:t>
            </w:r>
          </w:p>
        </w:tc>
        <w:tc>
          <w:tcPr>
            <w:tcW w:w="2268" w:type="dxa"/>
            <w:noWrap w:val="0"/>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社会稳定水平</w:t>
            </w:r>
          </w:p>
        </w:tc>
        <w:tc>
          <w:tcPr>
            <w:tcW w:w="2835" w:type="dxa"/>
            <w:noWrap w:val="0"/>
            <w:vAlign w:val="center"/>
          </w:tcPr>
          <w:p>
            <w:pPr>
              <w:pStyle w:val="12"/>
            </w:pPr>
            <w:r>
              <w:t>军休人员生活情况</w:t>
            </w:r>
          </w:p>
        </w:tc>
        <w:tc>
          <w:tcPr>
            <w:tcW w:w="2551" w:type="dxa"/>
            <w:noWrap w:val="0"/>
            <w:vAlign w:val="center"/>
          </w:tcPr>
          <w:p>
            <w:pPr>
              <w:pStyle w:val="12"/>
            </w:pPr>
            <w:r>
              <w:t>有效改善</w:t>
            </w:r>
          </w:p>
        </w:tc>
        <w:tc>
          <w:tcPr>
            <w:tcW w:w="2268" w:type="dxa"/>
            <w:noWrap w:val="0"/>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满意度</w:t>
            </w:r>
          </w:p>
        </w:tc>
        <w:tc>
          <w:tcPr>
            <w:tcW w:w="2835" w:type="dxa"/>
            <w:noWrap w:val="0"/>
            <w:vAlign w:val="center"/>
          </w:tcPr>
          <w:p>
            <w:pPr>
              <w:pStyle w:val="12"/>
            </w:pPr>
            <w:r>
              <w:t>服务对象满意度</w:t>
            </w:r>
          </w:p>
        </w:tc>
        <w:tc>
          <w:tcPr>
            <w:tcW w:w="2551" w:type="dxa"/>
            <w:noWrap w:val="0"/>
            <w:vAlign w:val="center"/>
          </w:tcPr>
          <w:p>
            <w:pPr>
              <w:pStyle w:val="12"/>
            </w:pPr>
            <w:r>
              <w:t>≥90%</w:t>
            </w:r>
          </w:p>
        </w:tc>
        <w:tc>
          <w:tcPr>
            <w:tcW w:w="2268" w:type="dxa"/>
            <w:noWrap w:val="0"/>
            <w:vAlign w:val="center"/>
          </w:tcPr>
          <w:p>
            <w:pPr>
              <w:pStyle w:val="12"/>
            </w:pPr>
            <w:r>
              <w:t>问卷调查</w:t>
            </w:r>
          </w:p>
        </w:tc>
      </w:tr>
    </w:tbl>
    <w:p>
      <w:pPr>
        <w:pStyle w:val="10"/>
      </w:pPr>
    </w:p>
    <w:p>
      <w:pPr>
        <w:pStyle w:val="10"/>
        <w:ind w:firstLine="560"/>
      </w:pPr>
      <w:r>
        <w:rPr>
          <w:rFonts w:ascii="方正仿宋_GBK" w:hAnsi="方正仿宋_GBK" w:eastAsia="方正仿宋_GBK" w:cs="方正仿宋_GBK"/>
          <w:b/>
          <w:color w:val="000000"/>
          <w:sz w:val="28"/>
        </w:rPr>
        <w:t>5、唐财社【2021】81号中央退役安置补助经费第二批绩效目标表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1"/>
            </w:pPr>
            <w:r>
              <w:t>绩效目标</w:t>
            </w:r>
          </w:p>
        </w:tc>
        <w:tc>
          <w:tcPr>
            <w:tcW w:w="12756" w:type="dxa"/>
            <w:tcBorders>
              <w:bottom w:val="single" w:color="FFFFFF" w:sz="6" w:space="0"/>
            </w:tcBorders>
            <w:noWrap w:val="0"/>
            <w:vAlign w:val="center"/>
          </w:tcPr>
          <w:p>
            <w:pPr>
              <w:pStyle w:val="12"/>
            </w:pPr>
            <w:r>
              <w:t>1.按规定时限申请拨付资金</w:t>
            </w:r>
          </w:p>
          <w:p>
            <w:pPr>
              <w:pStyle w:val="12"/>
            </w:pPr>
            <w:r>
              <w:t>2.确保军休人员合法权益</w:t>
            </w:r>
          </w:p>
        </w:tc>
      </w:tr>
    </w:tbl>
    <w:p>
      <w:pPr>
        <w:pStyle w:val="10"/>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1"/>
            </w:pPr>
            <w:r>
              <w:t>一级指标</w:t>
            </w:r>
          </w:p>
        </w:tc>
        <w:tc>
          <w:tcPr>
            <w:tcW w:w="2268" w:type="dxa"/>
            <w:noWrap w:val="0"/>
            <w:vAlign w:val="center"/>
          </w:tcPr>
          <w:p>
            <w:pPr>
              <w:pStyle w:val="11"/>
            </w:pPr>
            <w:r>
              <w:t>二级指标</w:t>
            </w:r>
          </w:p>
        </w:tc>
        <w:tc>
          <w:tcPr>
            <w:tcW w:w="2835" w:type="dxa"/>
            <w:noWrap w:val="0"/>
            <w:vAlign w:val="center"/>
          </w:tcPr>
          <w:p>
            <w:pPr>
              <w:pStyle w:val="11"/>
            </w:pPr>
            <w:r>
              <w:t>三级指标</w:t>
            </w:r>
          </w:p>
        </w:tc>
        <w:tc>
          <w:tcPr>
            <w:tcW w:w="2835" w:type="dxa"/>
            <w:noWrap w:val="0"/>
            <w:vAlign w:val="center"/>
          </w:tcPr>
          <w:p>
            <w:pPr>
              <w:pStyle w:val="11"/>
            </w:pPr>
            <w:r>
              <w:t>绩效指标描述</w:t>
            </w:r>
          </w:p>
        </w:tc>
        <w:tc>
          <w:tcPr>
            <w:tcW w:w="2551" w:type="dxa"/>
            <w:noWrap w:val="0"/>
            <w:vAlign w:val="center"/>
          </w:tcPr>
          <w:p>
            <w:pPr>
              <w:pStyle w:val="11"/>
            </w:pPr>
            <w:r>
              <w:t>指标值</w:t>
            </w:r>
          </w:p>
        </w:tc>
        <w:tc>
          <w:tcPr>
            <w:tcW w:w="2268" w:type="dxa"/>
            <w:noWrap w:val="0"/>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军休人员数量</w:t>
            </w:r>
          </w:p>
        </w:tc>
        <w:tc>
          <w:tcPr>
            <w:tcW w:w="2835" w:type="dxa"/>
            <w:noWrap w:val="0"/>
            <w:vAlign w:val="center"/>
          </w:tcPr>
          <w:p>
            <w:pPr>
              <w:pStyle w:val="12"/>
            </w:pPr>
            <w:r>
              <w:t>反映接收军队离退休人员数量</w:t>
            </w:r>
          </w:p>
        </w:tc>
        <w:tc>
          <w:tcPr>
            <w:tcW w:w="2551" w:type="dxa"/>
            <w:noWrap w:val="0"/>
            <w:vAlign w:val="center"/>
          </w:tcPr>
          <w:p>
            <w:pPr>
              <w:pStyle w:val="12"/>
            </w:pPr>
            <w:r>
              <w:t>≥37人</w:t>
            </w:r>
          </w:p>
        </w:tc>
        <w:tc>
          <w:tcPr>
            <w:tcW w:w="2268" w:type="dxa"/>
            <w:noWrap w:val="0"/>
            <w:vAlign w:val="center"/>
          </w:tcPr>
          <w:p>
            <w:pPr>
              <w:pStyle w:val="12"/>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0"/>
            </w:pPr>
          </w:p>
        </w:tc>
        <w:tc>
          <w:tcPr>
            <w:tcW w:w="2268" w:type="dxa"/>
            <w:noWrap w:val="0"/>
            <w:vAlign w:val="center"/>
          </w:tcPr>
          <w:p>
            <w:pPr>
              <w:pStyle w:val="12"/>
            </w:pPr>
            <w:r>
              <w:t>质量指标</w:t>
            </w:r>
          </w:p>
        </w:tc>
        <w:tc>
          <w:tcPr>
            <w:tcW w:w="2835" w:type="dxa"/>
            <w:noWrap w:val="0"/>
            <w:vAlign w:val="center"/>
          </w:tcPr>
          <w:p>
            <w:pPr>
              <w:pStyle w:val="12"/>
            </w:pPr>
            <w:r>
              <w:t>拨付率</w:t>
            </w:r>
          </w:p>
        </w:tc>
        <w:tc>
          <w:tcPr>
            <w:tcW w:w="2835" w:type="dxa"/>
            <w:noWrap w:val="0"/>
            <w:vAlign w:val="center"/>
          </w:tcPr>
          <w:p>
            <w:pPr>
              <w:pStyle w:val="12"/>
            </w:pPr>
            <w:r>
              <w:t>经费足额拨付率</w:t>
            </w:r>
          </w:p>
        </w:tc>
        <w:tc>
          <w:tcPr>
            <w:tcW w:w="2551" w:type="dxa"/>
            <w:noWrap w:val="0"/>
            <w:vAlign w:val="center"/>
          </w:tcPr>
          <w:p>
            <w:pPr>
              <w:pStyle w:val="12"/>
            </w:pPr>
            <w:r>
              <w:t>≥95%</w:t>
            </w:r>
          </w:p>
        </w:tc>
        <w:tc>
          <w:tcPr>
            <w:tcW w:w="2268" w:type="dxa"/>
            <w:noWrap w:val="0"/>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0"/>
            </w:pPr>
          </w:p>
        </w:tc>
        <w:tc>
          <w:tcPr>
            <w:tcW w:w="2268" w:type="dxa"/>
            <w:noWrap w:val="0"/>
            <w:vAlign w:val="center"/>
          </w:tcPr>
          <w:p>
            <w:pPr>
              <w:pStyle w:val="12"/>
            </w:pPr>
            <w:r>
              <w:t>时效指标</w:t>
            </w:r>
          </w:p>
        </w:tc>
        <w:tc>
          <w:tcPr>
            <w:tcW w:w="2835" w:type="dxa"/>
            <w:noWrap w:val="0"/>
            <w:vAlign w:val="center"/>
          </w:tcPr>
          <w:p>
            <w:pPr>
              <w:pStyle w:val="12"/>
            </w:pPr>
            <w:r>
              <w:t>及时性</w:t>
            </w:r>
          </w:p>
        </w:tc>
        <w:tc>
          <w:tcPr>
            <w:tcW w:w="2835" w:type="dxa"/>
            <w:noWrap w:val="0"/>
            <w:vAlign w:val="center"/>
          </w:tcPr>
          <w:p>
            <w:pPr>
              <w:pStyle w:val="12"/>
            </w:pPr>
            <w:r>
              <w:t>经费发放时间的及时性</w:t>
            </w:r>
          </w:p>
        </w:tc>
        <w:tc>
          <w:tcPr>
            <w:tcW w:w="2551" w:type="dxa"/>
            <w:noWrap w:val="0"/>
            <w:vAlign w:val="center"/>
          </w:tcPr>
          <w:p>
            <w:pPr>
              <w:pStyle w:val="12"/>
            </w:pPr>
            <w:r>
              <w:t>每月16日前</w:t>
            </w:r>
          </w:p>
        </w:tc>
        <w:tc>
          <w:tcPr>
            <w:tcW w:w="2268" w:type="dxa"/>
            <w:noWrap w:val="0"/>
            <w:vAlign w:val="center"/>
          </w:tcPr>
          <w:p>
            <w:pPr>
              <w:pStyle w:val="12"/>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pStyle w:val="10"/>
            </w:pPr>
          </w:p>
        </w:tc>
        <w:tc>
          <w:tcPr>
            <w:tcW w:w="2268" w:type="dxa"/>
            <w:noWrap w:val="0"/>
            <w:vAlign w:val="center"/>
          </w:tcPr>
          <w:p>
            <w:pPr>
              <w:pStyle w:val="12"/>
            </w:pPr>
            <w:r>
              <w:t>成本指标</w:t>
            </w:r>
          </w:p>
        </w:tc>
        <w:tc>
          <w:tcPr>
            <w:tcW w:w="2835" w:type="dxa"/>
            <w:noWrap w:val="0"/>
            <w:vAlign w:val="center"/>
          </w:tcPr>
          <w:p>
            <w:pPr>
              <w:pStyle w:val="12"/>
            </w:pPr>
            <w:r>
              <w:t>发放成本</w:t>
            </w:r>
          </w:p>
        </w:tc>
        <w:tc>
          <w:tcPr>
            <w:tcW w:w="2835" w:type="dxa"/>
            <w:noWrap w:val="0"/>
            <w:vAlign w:val="center"/>
          </w:tcPr>
          <w:p>
            <w:pPr>
              <w:pStyle w:val="12"/>
            </w:pPr>
            <w:r>
              <w:t>每人发放成本</w:t>
            </w:r>
          </w:p>
        </w:tc>
        <w:tc>
          <w:tcPr>
            <w:tcW w:w="2551" w:type="dxa"/>
            <w:noWrap w:val="0"/>
            <w:vAlign w:val="center"/>
          </w:tcPr>
          <w:p>
            <w:pPr>
              <w:pStyle w:val="12"/>
            </w:pPr>
            <w:r>
              <w:t>≤5300元/人</w:t>
            </w:r>
          </w:p>
        </w:tc>
        <w:tc>
          <w:tcPr>
            <w:tcW w:w="2268" w:type="dxa"/>
            <w:noWrap w:val="0"/>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社会稳定水平</w:t>
            </w:r>
          </w:p>
        </w:tc>
        <w:tc>
          <w:tcPr>
            <w:tcW w:w="2835" w:type="dxa"/>
            <w:noWrap w:val="0"/>
            <w:vAlign w:val="center"/>
          </w:tcPr>
          <w:p>
            <w:pPr>
              <w:pStyle w:val="12"/>
            </w:pPr>
            <w:r>
              <w:t>军休人员生活情况</w:t>
            </w:r>
          </w:p>
        </w:tc>
        <w:tc>
          <w:tcPr>
            <w:tcW w:w="2551" w:type="dxa"/>
            <w:noWrap w:val="0"/>
            <w:vAlign w:val="center"/>
          </w:tcPr>
          <w:p>
            <w:pPr>
              <w:pStyle w:val="12"/>
            </w:pPr>
            <w:r>
              <w:t>有效改善</w:t>
            </w:r>
          </w:p>
        </w:tc>
        <w:tc>
          <w:tcPr>
            <w:tcW w:w="2268" w:type="dxa"/>
            <w:noWrap w:val="0"/>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满意度</w:t>
            </w:r>
          </w:p>
        </w:tc>
        <w:tc>
          <w:tcPr>
            <w:tcW w:w="2835" w:type="dxa"/>
            <w:noWrap w:val="0"/>
            <w:vAlign w:val="center"/>
          </w:tcPr>
          <w:p>
            <w:pPr>
              <w:pStyle w:val="12"/>
            </w:pPr>
            <w:r>
              <w:t>军休人员满意度</w:t>
            </w:r>
          </w:p>
        </w:tc>
        <w:tc>
          <w:tcPr>
            <w:tcW w:w="2551" w:type="dxa"/>
            <w:noWrap w:val="0"/>
            <w:vAlign w:val="center"/>
          </w:tcPr>
          <w:p>
            <w:pPr>
              <w:pStyle w:val="12"/>
            </w:pPr>
            <w:r>
              <w:t>≥95%</w:t>
            </w:r>
          </w:p>
        </w:tc>
        <w:tc>
          <w:tcPr>
            <w:tcW w:w="2268" w:type="dxa"/>
            <w:noWrap w:val="0"/>
            <w:vAlign w:val="center"/>
          </w:tcPr>
          <w:p>
            <w:pPr>
              <w:pStyle w:val="12"/>
            </w:pPr>
            <w:r>
              <w:t>调查问卷</w:t>
            </w:r>
          </w:p>
        </w:tc>
      </w:tr>
    </w:tbl>
    <w:p>
      <w:pPr>
        <w:pStyle w:val="10"/>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2022年，唐山市丰润区军队离休退休干部休养所安排政府采购预算0.00万元。具体内容见下表。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4"/>
            </w:pPr>
            <w:r>
              <w:t>321002唐山市丰润区军队离休退休干部休养所</w:t>
            </w:r>
          </w:p>
        </w:tc>
        <w:tc>
          <w:tcPr>
            <w:tcW w:w="8674" w:type="dxa"/>
            <w:gridSpan w:val="9"/>
            <w:tcBorders>
              <w:top w:val="single" w:color="FFFFFF" w:sz="6" w:space="0"/>
              <w:left w:val="single" w:color="FFFFFF" w:sz="6" w:space="0"/>
              <w:right w:val="single" w:color="FFFFFF" w:sz="6" w:space="0"/>
            </w:tcBorders>
            <w:noWrap w:val="0"/>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5"/>
            </w:pPr>
            <w:r>
              <w:t>政府采购项目来源</w:t>
            </w:r>
          </w:p>
        </w:tc>
        <w:tc>
          <w:tcPr>
            <w:tcW w:w="1134" w:type="dxa"/>
            <w:vMerge w:val="restart"/>
            <w:noWrap w:val="0"/>
            <w:vAlign w:val="center"/>
          </w:tcPr>
          <w:p>
            <w:pPr>
              <w:pStyle w:val="5"/>
            </w:pPr>
            <w:r>
              <w:t>采购物品名称</w:t>
            </w:r>
          </w:p>
        </w:tc>
        <w:tc>
          <w:tcPr>
            <w:tcW w:w="1134" w:type="dxa"/>
            <w:vMerge w:val="restart"/>
            <w:noWrap w:val="0"/>
            <w:vAlign w:val="center"/>
          </w:tcPr>
          <w:p>
            <w:pPr>
              <w:pStyle w:val="5"/>
            </w:pPr>
            <w:r>
              <w:t>政府采购目录序号</w:t>
            </w:r>
          </w:p>
        </w:tc>
        <w:tc>
          <w:tcPr>
            <w:tcW w:w="709" w:type="dxa"/>
            <w:vMerge w:val="restart"/>
            <w:noWrap w:val="0"/>
            <w:vAlign w:val="center"/>
          </w:tcPr>
          <w:p>
            <w:pPr>
              <w:pStyle w:val="5"/>
            </w:pPr>
            <w:r>
              <w:t>计量  单位</w:t>
            </w:r>
          </w:p>
        </w:tc>
        <w:tc>
          <w:tcPr>
            <w:tcW w:w="850" w:type="dxa"/>
            <w:vMerge w:val="restart"/>
            <w:noWrap w:val="0"/>
            <w:vAlign w:val="center"/>
          </w:tcPr>
          <w:p>
            <w:pPr>
              <w:pStyle w:val="5"/>
            </w:pPr>
            <w:r>
              <w:t>数量</w:t>
            </w:r>
          </w:p>
        </w:tc>
        <w:tc>
          <w:tcPr>
            <w:tcW w:w="850" w:type="dxa"/>
            <w:vMerge w:val="restart"/>
            <w:noWrap w:val="0"/>
            <w:vAlign w:val="center"/>
          </w:tcPr>
          <w:p>
            <w:pPr>
              <w:pStyle w:val="5"/>
            </w:pPr>
            <w:r>
              <w:t>单价</w:t>
            </w:r>
          </w:p>
        </w:tc>
        <w:tc>
          <w:tcPr>
            <w:tcW w:w="7710" w:type="dxa"/>
            <w:gridSpan w:val="8"/>
            <w:noWrap w:val="0"/>
            <w:vAlign w:val="center"/>
          </w:tcPr>
          <w:p>
            <w:pPr>
              <w:pStyle w:val="5"/>
            </w:pPr>
            <w:r>
              <w:t>政府采购金额（当年部门预算安排资金）</w:t>
            </w:r>
          </w:p>
        </w:tc>
        <w:tc>
          <w:tcPr>
            <w:tcW w:w="964" w:type="dxa"/>
            <w:vMerge w:val="restart"/>
            <w:noWrap w:val="0"/>
            <w:vAlign w:val="center"/>
          </w:tcPr>
          <w:p>
            <w:pPr>
              <w:pStyle w:val="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5"/>
            </w:pPr>
            <w:r>
              <w:t>项目名称</w:t>
            </w:r>
          </w:p>
        </w:tc>
        <w:tc>
          <w:tcPr>
            <w:tcW w:w="964" w:type="dxa"/>
            <w:noWrap w:val="0"/>
            <w:vAlign w:val="center"/>
          </w:tcPr>
          <w:p>
            <w:pPr>
              <w:pStyle w:val="5"/>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5"/>
            </w:pPr>
            <w:r>
              <w:t>合计</w:t>
            </w:r>
          </w:p>
        </w:tc>
        <w:tc>
          <w:tcPr>
            <w:tcW w:w="964" w:type="dxa"/>
            <w:noWrap w:val="0"/>
            <w:vAlign w:val="center"/>
          </w:tcPr>
          <w:p>
            <w:pPr>
              <w:pStyle w:val="5"/>
            </w:pPr>
            <w:r>
              <w:t>一般公共预算拨款</w:t>
            </w:r>
          </w:p>
        </w:tc>
        <w:tc>
          <w:tcPr>
            <w:tcW w:w="964" w:type="dxa"/>
            <w:noWrap w:val="0"/>
            <w:vAlign w:val="center"/>
          </w:tcPr>
          <w:p>
            <w:pPr>
              <w:pStyle w:val="5"/>
            </w:pPr>
            <w:r>
              <w:t>基金预算拨款</w:t>
            </w:r>
          </w:p>
        </w:tc>
        <w:tc>
          <w:tcPr>
            <w:tcW w:w="964" w:type="dxa"/>
            <w:noWrap w:val="0"/>
            <w:vAlign w:val="center"/>
          </w:tcPr>
          <w:p>
            <w:pPr>
              <w:pStyle w:val="5"/>
            </w:pPr>
            <w:r>
              <w:t>国有资本经营预算拨款</w:t>
            </w:r>
          </w:p>
        </w:tc>
        <w:tc>
          <w:tcPr>
            <w:tcW w:w="964" w:type="dxa"/>
            <w:noWrap w:val="0"/>
            <w:vAlign w:val="center"/>
          </w:tcPr>
          <w:p>
            <w:pPr>
              <w:pStyle w:val="5"/>
            </w:pPr>
            <w:r>
              <w:t>财政专户核拨</w:t>
            </w:r>
          </w:p>
        </w:tc>
        <w:tc>
          <w:tcPr>
            <w:tcW w:w="964" w:type="dxa"/>
            <w:noWrap w:val="0"/>
            <w:vAlign w:val="center"/>
          </w:tcPr>
          <w:p>
            <w:pPr>
              <w:pStyle w:val="5"/>
            </w:pPr>
            <w:r>
              <w:t>单位    资金</w:t>
            </w:r>
          </w:p>
        </w:tc>
        <w:tc>
          <w:tcPr>
            <w:tcW w:w="964" w:type="dxa"/>
            <w:noWrap w:val="0"/>
            <w:vAlign w:val="center"/>
          </w:tcPr>
          <w:p>
            <w:pPr>
              <w:pStyle w:val="5"/>
            </w:pPr>
            <w:r>
              <w:t>财政拨    款结转</w:t>
            </w:r>
          </w:p>
        </w:tc>
        <w:tc>
          <w:tcPr>
            <w:tcW w:w="964" w:type="dxa"/>
            <w:noWrap w:val="0"/>
            <w:vAlign w:val="center"/>
          </w:tcPr>
          <w:p>
            <w:pPr>
              <w:pStyle w:val="5"/>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6"/>
            </w:pPr>
          </w:p>
        </w:tc>
        <w:tc>
          <w:tcPr>
            <w:tcW w:w="964" w:type="dxa"/>
            <w:noWrap w:val="0"/>
            <w:vAlign w:val="center"/>
          </w:tcPr>
          <w:p>
            <w:pPr>
              <w:pStyle w:val="16"/>
            </w:pPr>
          </w:p>
        </w:tc>
        <w:tc>
          <w:tcPr>
            <w:tcW w:w="1134" w:type="dxa"/>
            <w:noWrap w:val="0"/>
            <w:vAlign w:val="center"/>
          </w:tcPr>
          <w:p>
            <w:pPr>
              <w:pStyle w:val="6"/>
            </w:pPr>
          </w:p>
        </w:tc>
        <w:tc>
          <w:tcPr>
            <w:tcW w:w="1134" w:type="dxa"/>
            <w:noWrap w:val="0"/>
            <w:vAlign w:val="center"/>
          </w:tcPr>
          <w:p>
            <w:pPr>
              <w:pStyle w:val="6"/>
            </w:pPr>
          </w:p>
        </w:tc>
        <w:tc>
          <w:tcPr>
            <w:tcW w:w="709" w:type="dxa"/>
            <w:noWrap w:val="0"/>
            <w:vAlign w:val="center"/>
          </w:tcPr>
          <w:p>
            <w:pPr>
              <w:pStyle w:val="7"/>
            </w:pPr>
          </w:p>
        </w:tc>
        <w:tc>
          <w:tcPr>
            <w:tcW w:w="850" w:type="dxa"/>
            <w:noWrap w:val="0"/>
            <w:vAlign w:val="center"/>
          </w:tcPr>
          <w:p>
            <w:pPr>
              <w:pStyle w:val="16"/>
            </w:pPr>
          </w:p>
        </w:tc>
        <w:tc>
          <w:tcPr>
            <w:tcW w:w="850"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唐山市丰润区军队离休退休干部休养所上年末固定资产金额为</w:t>
      </w:r>
      <w:r>
        <w:rPr>
          <w:rFonts w:hint="eastAsia" w:eastAsia="方正仿宋_GBK"/>
          <w:color w:val="000000"/>
          <w:sz w:val="28"/>
          <w:lang w:val="en-US" w:eastAsia="zh-CN"/>
        </w:rPr>
        <w:t>32.27</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4"/>
            </w:pPr>
            <w:r>
              <w:t>321002唐山市丰润区军队离休退休干部休养所</w:t>
            </w:r>
          </w:p>
        </w:tc>
        <w:tc>
          <w:tcPr>
            <w:tcW w:w="5670" w:type="dxa"/>
            <w:gridSpan w:val="2"/>
            <w:tcBorders>
              <w:top w:val="single" w:color="FFFFFF" w:sz="6" w:space="0"/>
              <w:left w:val="single" w:color="FFFFFF" w:sz="6" w:space="0"/>
              <w:right w:val="single" w:color="FFFFFF" w:sz="6" w:space="0"/>
            </w:tcBorders>
            <w:noWrap w:val="0"/>
            <w:vAlign w:val="center"/>
          </w:tcPr>
          <w:p>
            <w:pPr>
              <w:pStyle w:val="1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5"/>
            </w:pPr>
            <w:r>
              <w:t>项   目</w:t>
            </w:r>
          </w:p>
        </w:tc>
        <w:tc>
          <w:tcPr>
            <w:tcW w:w="2835" w:type="dxa"/>
            <w:noWrap w:val="0"/>
            <w:vAlign w:val="center"/>
          </w:tcPr>
          <w:p>
            <w:pPr>
              <w:pStyle w:val="5"/>
            </w:pPr>
            <w:r>
              <w:t>数量</w:t>
            </w:r>
          </w:p>
        </w:tc>
        <w:tc>
          <w:tcPr>
            <w:tcW w:w="2835" w:type="dxa"/>
            <w:noWrap w:val="0"/>
            <w:vAlign w:val="center"/>
          </w:tcPr>
          <w:p>
            <w:pPr>
              <w:pStyle w:val="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6"/>
              <w:ind w:firstLine="0" w:firstLineChars="0"/>
              <w:rPr>
                <w:rFonts w:ascii="方正书宋_GBK" w:hAnsi="方正书宋_GBK" w:eastAsia="方正书宋_GBK" w:cs="方正书宋_GBK"/>
                <w:sz w:val="21"/>
                <w:szCs w:val="24"/>
                <w:lang w:val="en-US" w:eastAsia="uk-UA" w:bidi="ar-SA"/>
              </w:rPr>
            </w:pPr>
            <w:r>
              <w:rPr>
                <w:rFonts w:hint="eastAsia" w:ascii="新宋体" w:hAnsi="新宋体" w:eastAsia="新宋体"/>
                <w:sz w:val="24"/>
              </w:rPr>
              <w:t>固定资产总额：</w:t>
            </w:r>
          </w:p>
        </w:tc>
        <w:tc>
          <w:tcPr>
            <w:tcW w:w="2835" w:type="dxa"/>
            <w:noWrap w:val="0"/>
            <w:vAlign w:val="center"/>
          </w:tcPr>
          <w:p>
            <w:pPr>
              <w:pStyle w:val="7"/>
            </w:pPr>
          </w:p>
        </w:tc>
        <w:tc>
          <w:tcPr>
            <w:tcW w:w="2835" w:type="dxa"/>
            <w:noWrap w:val="0"/>
            <w:vAlign w:val="center"/>
          </w:tcPr>
          <w:p>
            <w:pPr>
              <w:pStyle w:val="16"/>
              <w:rPr>
                <w:rFonts w:hint="default" w:eastAsia="方正书宋_GBK"/>
                <w:lang w:val="en-US" w:eastAsia="zh-CN"/>
              </w:rPr>
            </w:pPr>
            <w:r>
              <w:rPr>
                <w:rFonts w:hint="eastAsia"/>
                <w:lang w:val="en-US" w:eastAsia="zh-CN"/>
              </w:rPr>
              <w:t>32.27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center"/>
          </w:tcPr>
          <w:p>
            <w:pPr>
              <w:pStyle w:val="6"/>
              <w:ind w:firstLine="0" w:firstLineChars="0"/>
              <w:rPr>
                <w:rFonts w:ascii="方正书宋_GBK" w:hAnsi="方正书宋_GBK" w:eastAsia="方正书宋_GBK" w:cs="方正书宋_GBK"/>
                <w:sz w:val="21"/>
                <w:szCs w:val="24"/>
                <w:lang w:val="en-US" w:eastAsia="uk-UA" w:bidi="ar-SA"/>
              </w:rPr>
            </w:pPr>
            <w:r>
              <w:rPr>
                <w:rFonts w:hint="eastAsia" w:ascii="新宋体" w:hAnsi="新宋体" w:eastAsia="新宋体"/>
                <w:sz w:val="24"/>
              </w:rPr>
              <w:t>1、房屋（平方米）</w:t>
            </w:r>
          </w:p>
        </w:tc>
        <w:tc>
          <w:tcPr>
            <w:tcW w:w="0" w:type="auto"/>
            <w:noWrap w:val="0"/>
            <w:vAlign w:val="top"/>
          </w:tcPr>
          <w:p>
            <w:pPr>
              <w:pStyle w:val="7"/>
              <w:rPr>
                <w:rFonts w:hint="default" w:eastAsia="方正书宋_GBK"/>
                <w:lang w:val="en-US" w:eastAsia="zh-CN"/>
              </w:rPr>
            </w:pPr>
            <w:r>
              <w:rPr>
                <w:rFonts w:hint="eastAsia"/>
                <w:lang w:val="en-US" w:eastAsia="zh-CN"/>
              </w:rPr>
              <w:t>68</w:t>
            </w:r>
          </w:p>
        </w:tc>
        <w:tc>
          <w:tcPr>
            <w:tcW w:w="0" w:type="auto"/>
            <w:noWrap w:val="0"/>
            <w:vAlign w:val="top"/>
          </w:tcPr>
          <w:p>
            <w:pPr>
              <w:pStyle w:val="16"/>
              <w:rPr>
                <w:rFonts w:hint="default" w:eastAsia="方正书宋_GBK"/>
                <w:lang w:val="en-US" w:eastAsia="zh-CN"/>
              </w:rPr>
            </w:pPr>
            <w:r>
              <w:rPr>
                <w:rFonts w:hint="eastAsia"/>
                <w:lang w:val="en-US" w:eastAsia="zh-CN"/>
              </w:rPr>
              <w:t>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top"/>
          </w:tcPr>
          <w:p>
            <w:pPr>
              <w:spacing w:line="500" w:lineRule="exact"/>
              <w:rPr>
                <w:rFonts w:hint="eastAsia" w:ascii="新宋体" w:hAnsi="新宋体" w:eastAsia="新宋体"/>
                <w:sz w:val="24"/>
                <w:szCs w:val="24"/>
                <w:lang w:val="en-US" w:eastAsia="uk-UA" w:bidi="ar-SA"/>
              </w:rPr>
            </w:pPr>
            <w:r>
              <w:rPr>
                <w:rFonts w:hint="eastAsia" w:ascii="新宋体" w:hAnsi="新宋体" w:eastAsia="新宋体"/>
                <w:sz w:val="24"/>
              </w:rPr>
              <w:t>2、车辆（台、辆）</w:t>
            </w:r>
          </w:p>
        </w:tc>
        <w:tc>
          <w:tcPr>
            <w:tcW w:w="0" w:type="auto"/>
            <w:noWrap w:val="0"/>
            <w:vAlign w:val="top"/>
          </w:tcPr>
          <w:p>
            <w:pPr>
              <w:pStyle w:val="7"/>
              <w:rPr>
                <w:rFonts w:hint="eastAsia" w:eastAsia="方正书宋_GBK"/>
                <w:lang w:val="en-US" w:eastAsia="zh-CN"/>
              </w:rPr>
            </w:pPr>
            <w:r>
              <w:rPr>
                <w:rFonts w:hint="eastAsia"/>
                <w:lang w:val="en-US" w:eastAsia="zh-CN"/>
              </w:rPr>
              <w:t>1</w:t>
            </w:r>
          </w:p>
        </w:tc>
        <w:tc>
          <w:tcPr>
            <w:tcW w:w="0" w:type="auto"/>
            <w:noWrap w:val="0"/>
            <w:vAlign w:val="top"/>
          </w:tcPr>
          <w:p>
            <w:pPr>
              <w:pStyle w:val="16"/>
              <w:rPr>
                <w:rFonts w:hint="default" w:eastAsia="方正书宋_GBK"/>
                <w:lang w:val="en-US" w:eastAsia="zh-CN"/>
              </w:rPr>
            </w:pPr>
            <w:r>
              <w:rPr>
                <w:rFonts w:hint="eastAsia"/>
                <w:lang w:val="en-US" w:eastAsia="zh-CN"/>
              </w:rPr>
              <w:t>23.86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top"/>
          </w:tcPr>
          <w:p>
            <w:pPr>
              <w:spacing w:line="500" w:lineRule="exact"/>
              <w:rPr>
                <w:rFonts w:hint="eastAsia" w:ascii="新宋体" w:hAnsi="新宋体" w:eastAsia="新宋体"/>
                <w:sz w:val="24"/>
                <w:szCs w:val="24"/>
                <w:lang w:val="en-US" w:eastAsia="uk-UA" w:bidi="ar-SA"/>
              </w:rPr>
            </w:pPr>
            <w:r>
              <w:rPr>
                <w:rFonts w:hint="eastAsia" w:ascii="新宋体" w:hAnsi="新宋体" w:eastAsia="新宋体"/>
                <w:sz w:val="24"/>
              </w:rPr>
              <w:t>3、单价在20万元以上设备</w:t>
            </w:r>
          </w:p>
        </w:tc>
        <w:tc>
          <w:tcPr>
            <w:tcW w:w="0" w:type="auto"/>
            <w:noWrap w:val="0"/>
            <w:vAlign w:val="top"/>
          </w:tcPr>
          <w:p>
            <w:pPr>
              <w:pStyle w:val="7"/>
            </w:pPr>
          </w:p>
        </w:tc>
        <w:tc>
          <w:tcPr>
            <w:tcW w:w="0" w:type="auto"/>
            <w:noWrap w:val="0"/>
            <w:vAlign w:val="top"/>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noWrap w:val="0"/>
            <w:vAlign w:val="center"/>
          </w:tcPr>
          <w:p>
            <w:pPr>
              <w:pStyle w:val="6"/>
              <w:ind w:firstLine="0" w:firstLineChars="0"/>
              <w:rPr>
                <w:rFonts w:ascii="方正书宋_GBK" w:hAnsi="方正书宋_GBK" w:eastAsia="方正书宋_GBK" w:cs="方正书宋_GBK"/>
                <w:sz w:val="21"/>
                <w:szCs w:val="24"/>
                <w:lang w:val="en-US" w:eastAsia="uk-UA" w:bidi="ar-SA"/>
              </w:rPr>
            </w:pPr>
            <w:r>
              <w:rPr>
                <w:rFonts w:hint="eastAsia" w:ascii="新宋体" w:hAnsi="新宋体" w:eastAsia="新宋体"/>
                <w:sz w:val="24"/>
              </w:rPr>
              <w:t>4、其他固定资产</w:t>
            </w:r>
          </w:p>
        </w:tc>
        <w:tc>
          <w:tcPr>
            <w:tcW w:w="0" w:type="auto"/>
            <w:noWrap w:val="0"/>
            <w:vAlign w:val="top"/>
          </w:tcPr>
          <w:p>
            <w:pPr>
              <w:pStyle w:val="7"/>
            </w:pPr>
          </w:p>
        </w:tc>
        <w:tc>
          <w:tcPr>
            <w:tcW w:w="0" w:type="auto"/>
            <w:noWrap w:val="0"/>
            <w:vAlign w:val="top"/>
          </w:tcPr>
          <w:p>
            <w:pPr>
              <w:pStyle w:val="16"/>
              <w:rPr>
                <w:rFonts w:hint="default" w:eastAsia="方正书宋_GBK"/>
                <w:lang w:val="en-US" w:eastAsia="zh-CN"/>
              </w:rPr>
            </w:pPr>
            <w:r>
              <w:rPr>
                <w:rFonts w:hint="eastAsia"/>
                <w:lang w:val="en-US" w:eastAsia="zh-CN"/>
              </w:rPr>
              <w:t>6.12</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ZDliMzE4MTc4NTA3MTA1MWZmMjI0ZjkwZDI4ZDAifQ=="/>
  </w:docVars>
  <w:rsids>
    <w:rsidRoot w:val="08230560"/>
    <w:rsid w:val="02163ADB"/>
    <w:rsid w:val="08230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5">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6">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7">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Normal_b3022959-2c32-4e9d-88f3-bb255008c42d"/>
    <w:autoRedefine/>
    <w:qFormat/>
    <w:uiPriority w:val="0"/>
    <w:rPr>
      <w:rFonts w:ascii="Times New Roman" w:hAnsi="Times New Roman" w:eastAsia="Times New Roman" w:cs="Times New Roman"/>
      <w:sz w:val="24"/>
      <w:szCs w:val="24"/>
      <w:lang w:val="en-US" w:eastAsia="uk-UA" w:bidi="ar-SA"/>
    </w:rPr>
  </w:style>
  <w:style w:type="paragraph" w:customStyle="1" w:styleId="11">
    <w:name w:val="单元格样式1_9cff3205-76d0-4d2d-b3f1-2c92e1688250"/>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2_bc0ca0dd-f6d7-4a52-9db9-288f1c06e30a"/>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_8d19736e-7681-4715-b75e-0aa8f25b4a52"/>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6">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2022-06-20T09:11:00Z</dcterms:created>
  <dc:creator>风清云淡</dc:creator>
  <cp:lastModifiedBy>风清云淡</cp:lastModifiedBy>
  <dcterms:modified xsi:type="dcterms:W3CDTF">2024-03-20T06:01:29Z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76F480D88B1A40D8AA940AD5FB69C144</vt:lpwstr>
  </property>
</Properties>
</file>