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pPr>
      <w:r>
        <w:rPr>
          <w:rFonts w:ascii="方正小标宋_GBK" w:hAnsi="方正小标宋_GBK" w:eastAsia="方正小标宋_GBK" w:cs="方正小标宋_GBK"/>
          <w:color w:val="000000"/>
          <w:sz w:val="44"/>
        </w:rPr>
        <w:t>丰润区退役军人事务局本级2022年单位预算信息公开情况说明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预算法》、《地方预决算公开操作规程》和《关于进一步推进预算公开工作的实施意见》规定，现将丰润区退役军人事务局本级2022年单位预算公开如下：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拟定全区退役军人思想政治、管理保障和安置优抚等工作政策并组织实施，褒扬彰显退役军人为党、国家和人民牺牲奉献的精神风范和价值</w:t>
      </w:r>
      <w:r>
        <w:rPr>
          <w:rFonts w:hint="eastAsia" w:ascii="方正楷体_GBK" w:hAnsi="方正楷体_GBK" w:eastAsia="方正楷体_GBK" w:cs="方正楷体_GBK"/>
          <w:b/>
          <w:color w:val="000000"/>
          <w:sz w:val="32"/>
          <w:lang w:eastAsia="zh-CN"/>
        </w:rPr>
        <w:t>导向</w:t>
      </w:r>
      <w:r>
        <w:rPr>
          <w:rFonts w:hint="eastAsia" w:ascii="方正楷体_GBK" w:hAnsi="方正楷体_GBK" w:eastAsia="方正楷体_GBK" w:cs="方正楷体_GBK"/>
          <w:b/>
          <w:color w:val="000000"/>
          <w:sz w:val="32"/>
        </w:rPr>
        <w:t>。负责全区军队转业、复员、离退休干部，退役士兵，符合条件消防员和无军籍退休退职职工的移交安置工作以及自主择业、就业退役军人的服务管理工作。组织指导退役军人教育培训工作，协调扶持退役军人和随军随调家属就业创业。保障优抚对象的各项待遇落实到位，使优抚对象的生活、住房、医疗困难得到有效解决，义务兵家庭优待工作全面落实；阳光安置，保障退役士兵合法权益；按时足额发放各类经济补助；全面落实军队离退休干部、退休士官和军队无军籍退休退职职工的政治和生活待遇；加快区级光荣院建设和维修改造，提高服务保障水平，确保优抚对象基本生活和医疗，光荣院达到国家建设标准；负责烈士纪念设施的保护和管理。</w:t>
      </w:r>
    </w:p>
    <w:p>
      <w:pPr>
        <w:pStyle w:val="4"/>
      </w:pPr>
    </w:p>
    <w:p>
      <w:pPr>
        <w:ind w:firstLine="640"/>
      </w:pPr>
      <w:r>
        <w:rPr>
          <w:rFonts w:ascii="方正楷体_GBK" w:hAnsi="方正楷体_GBK" w:eastAsia="方正楷体_GBK" w:cs="方正楷体_GBK"/>
          <w:b/>
          <w:color w:val="000000"/>
          <w:sz w:val="32"/>
        </w:rPr>
        <w:t>机构设置：</w:t>
      </w:r>
      <w:bookmarkStart w:id="0" w:name="_GoBack"/>
      <w:bookmarkEnd w:id="0"/>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5"/>
            </w:pPr>
            <w:r>
              <w:t>单位名称</w:t>
            </w:r>
          </w:p>
        </w:tc>
        <w:tc>
          <w:tcPr>
            <w:tcW w:w="1843" w:type="dxa"/>
            <w:noWrap w:val="0"/>
            <w:vAlign w:val="center"/>
          </w:tcPr>
          <w:p>
            <w:pPr>
              <w:pStyle w:val="5"/>
            </w:pPr>
            <w:r>
              <w:t>单位性质</w:t>
            </w:r>
          </w:p>
        </w:tc>
        <w:tc>
          <w:tcPr>
            <w:tcW w:w="2126" w:type="dxa"/>
            <w:noWrap w:val="0"/>
            <w:vAlign w:val="center"/>
          </w:tcPr>
          <w:p>
            <w:pPr>
              <w:pStyle w:val="5"/>
            </w:pPr>
            <w:r>
              <w:t>单位规格</w:t>
            </w:r>
          </w:p>
        </w:tc>
        <w:tc>
          <w:tcPr>
            <w:tcW w:w="3827" w:type="dxa"/>
            <w:noWrap w:val="0"/>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丰润区退役军人事务局本级</w:t>
            </w:r>
          </w:p>
        </w:tc>
        <w:tc>
          <w:tcPr>
            <w:tcW w:w="1843" w:type="dxa"/>
            <w:noWrap w:val="0"/>
            <w:vAlign w:val="center"/>
          </w:tcPr>
          <w:p>
            <w:pPr>
              <w:pStyle w:val="7"/>
            </w:pPr>
            <w:r>
              <w:t>行政</w:t>
            </w:r>
          </w:p>
        </w:tc>
        <w:tc>
          <w:tcPr>
            <w:tcW w:w="2126" w:type="dxa"/>
            <w:noWrap w:val="0"/>
            <w:vAlign w:val="center"/>
          </w:tcPr>
          <w:p>
            <w:pPr>
              <w:pStyle w:val="7"/>
            </w:pPr>
            <w:r>
              <w:t>正科级</w:t>
            </w:r>
          </w:p>
        </w:tc>
        <w:tc>
          <w:tcPr>
            <w:tcW w:w="3827" w:type="dxa"/>
            <w:noWrap w:val="0"/>
            <w:vAlign w:val="center"/>
          </w:tcPr>
          <w:p>
            <w:pPr>
              <w:pStyle w:val="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1、2022年本年收入</w:t>
      </w:r>
      <w:r>
        <w:rPr>
          <w:rFonts w:hint="eastAsia" w:eastAsia="方正仿宋_GBK"/>
          <w:color w:val="000000"/>
          <w:sz w:val="28"/>
          <w:lang w:val="en-US" w:eastAsia="zh-CN"/>
        </w:rPr>
        <w:t>20438.06</w:t>
      </w:r>
      <w:r>
        <w:rPr>
          <w:rFonts w:hint="eastAsia" w:eastAsia="方正仿宋_GBK"/>
          <w:color w:val="000000"/>
          <w:sz w:val="28"/>
        </w:rPr>
        <w:t>万元：其中一般公共预算拨款收入</w:t>
      </w:r>
      <w:r>
        <w:rPr>
          <w:rFonts w:hint="eastAsia" w:eastAsia="方正仿宋_GBK"/>
          <w:color w:val="000000"/>
          <w:sz w:val="28"/>
          <w:lang w:val="en-US" w:eastAsia="zh-CN"/>
        </w:rPr>
        <w:t>19665.72</w:t>
      </w:r>
      <w:r>
        <w:rPr>
          <w:rFonts w:hint="eastAsia" w:eastAsia="方正仿宋_GBK"/>
          <w:color w:val="000000"/>
          <w:sz w:val="28"/>
        </w:rPr>
        <w:t>万元，政府性基金预算拨款收入784.35万元。其中：财政拨款</w:t>
      </w:r>
      <w:r>
        <w:rPr>
          <w:rFonts w:hint="eastAsia" w:eastAsia="方正仿宋_GBK"/>
          <w:color w:val="000000"/>
          <w:sz w:val="28"/>
          <w:lang w:val="en-US" w:eastAsia="zh-CN"/>
        </w:rPr>
        <w:t>12405.96</w:t>
      </w:r>
      <w:r>
        <w:rPr>
          <w:rFonts w:hint="eastAsia" w:eastAsia="方正仿宋_GBK"/>
          <w:color w:val="000000"/>
          <w:sz w:val="28"/>
        </w:rPr>
        <w:t>万元，上级一般公共预算安排转移支付</w:t>
      </w:r>
      <w:r>
        <w:rPr>
          <w:rFonts w:hint="eastAsia" w:eastAsia="方正仿宋_GBK"/>
          <w:color w:val="000000"/>
          <w:sz w:val="28"/>
          <w:lang w:val="en-US" w:eastAsia="zh-CN"/>
        </w:rPr>
        <w:t>8032.1</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2、2022年根据本单位职责和工作任务规划，共安排部门预算支出</w:t>
      </w:r>
      <w:r>
        <w:rPr>
          <w:rFonts w:hint="eastAsia" w:eastAsia="方正仿宋_GBK"/>
          <w:color w:val="000000"/>
          <w:sz w:val="28"/>
          <w:lang w:val="en-US" w:eastAsia="zh-CN"/>
        </w:rPr>
        <w:t>20438.06</w:t>
      </w:r>
      <w:r>
        <w:rPr>
          <w:rFonts w:hint="eastAsia" w:eastAsia="方正仿宋_GBK"/>
          <w:color w:val="000000"/>
          <w:sz w:val="28"/>
        </w:rPr>
        <w:t>万元。其中：人员经费支出</w:t>
      </w:r>
      <w:r>
        <w:rPr>
          <w:rFonts w:hint="eastAsia" w:eastAsia="方正仿宋_GBK"/>
          <w:color w:val="000000"/>
          <w:sz w:val="28"/>
          <w:lang w:val="en-US" w:eastAsia="zh-CN"/>
        </w:rPr>
        <w:t>211.74</w:t>
      </w:r>
      <w:r>
        <w:rPr>
          <w:rFonts w:hint="eastAsia" w:eastAsia="方正仿宋_GBK"/>
          <w:color w:val="000000"/>
          <w:sz w:val="28"/>
        </w:rPr>
        <w:t>万元，日常公用经费支出</w:t>
      </w:r>
      <w:r>
        <w:rPr>
          <w:rFonts w:hint="eastAsia" w:eastAsia="方正仿宋_GBK"/>
          <w:color w:val="000000"/>
          <w:sz w:val="28"/>
          <w:lang w:val="en-US" w:eastAsia="zh-CN"/>
        </w:rPr>
        <w:t>18.15</w:t>
      </w:r>
      <w:r>
        <w:rPr>
          <w:rFonts w:hint="eastAsia" w:eastAsia="方正仿宋_GBK"/>
          <w:color w:val="000000"/>
          <w:sz w:val="28"/>
        </w:rPr>
        <w:t>万元，项目支出</w:t>
      </w:r>
      <w:r>
        <w:rPr>
          <w:rFonts w:hint="eastAsia" w:eastAsia="方正仿宋_GBK"/>
          <w:color w:val="000000"/>
          <w:sz w:val="28"/>
          <w:lang w:val="en-US" w:eastAsia="zh-CN"/>
        </w:rPr>
        <w:t>20208.17</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3、2022年预算支出为</w:t>
      </w:r>
      <w:r>
        <w:rPr>
          <w:rFonts w:hint="eastAsia" w:eastAsia="方正仿宋_GBK"/>
          <w:color w:val="000000"/>
          <w:sz w:val="28"/>
          <w:lang w:val="en-US" w:eastAsia="zh-CN"/>
        </w:rPr>
        <w:t>20438.06</w:t>
      </w:r>
      <w:r>
        <w:rPr>
          <w:rFonts w:hint="eastAsia" w:eastAsia="方正仿宋_GBK"/>
          <w:color w:val="000000"/>
          <w:sz w:val="28"/>
        </w:rPr>
        <w:t>万元，与2021年相比较，增加了</w:t>
      </w:r>
      <w:r>
        <w:rPr>
          <w:rFonts w:hint="eastAsia" w:eastAsia="方正仿宋_GBK"/>
          <w:color w:val="000000"/>
          <w:sz w:val="28"/>
          <w:lang w:val="en-US" w:eastAsia="zh-CN"/>
        </w:rPr>
        <w:t>10354.16</w:t>
      </w:r>
      <w:r>
        <w:rPr>
          <w:rFonts w:hint="eastAsia" w:eastAsia="方正仿宋_GBK"/>
          <w:color w:val="000000"/>
          <w:sz w:val="28"/>
        </w:rPr>
        <w:t>万元，其中：人员经费支出</w:t>
      </w:r>
      <w:r>
        <w:rPr>
          <w:rFonts w:hint="eastAsia" w:eastAsia="方正仿宋_GBK"/>
          <w:color w:val="000000"/>
          <w:sz w:val="28"/>
          <w:lang w:eastAsia="zh-CN"/>
        </w:rPr>
        <w:t>增加</w:t>
      </w:r>
      <w:r>
        <w:rPr>
          <w:rFonts w:hint="eastAsia" w:eastAsia="方正仿宋_GBK"/>
          <w:color w:val="000000"/>
          <w:sz w:val="28"/>
        </w:rPr>
        <w:t>了</w:t>
      </w:r>
      <w:r>
        <w:rPr>
          <w:rFonts w:hint="eastAsia" w:eastAsia="方正仿宋_GBK"/>
          <w:color w:val="000000"/>
          <w:sz w:val="28"/>
          <w:lang w:val="en-US" w:eastAsia="zh-CN"/>
        </w:rPr>
        <w:t>14.24</w:t>
      </w:r>
      <w:r>
        <w:rPr>
          <w:rFonts w:hint="eastAsia" w:eastAsia="方正仿宋_GBK"/>
          <w:color w:val="000000"/>
          <w:sz w:val="28"/>
        </w:rPr>
        <w:t>万元；日常公用经费支出增加了</w:t>
      </w:r>
      <w:r>
        <w:rPr>
          <w:rFonts w:hint="eastAsia" w:eastAsia="方正仿宋_GBK"/>
          <w:color w:val="000000"/>
          <w:sz w:val="28"/>
          <w:lang w:val="en-US" w:eastAsia="zh-CN"/>
        </w:rPr>
        <w:t>2.05</w:t>
      </w:r>
      <w:r>
        <w:rPr>
          <w:rFonts w:hint="eastAsia" w:eastAsia="方正仿宋_GBK"/>
          <w:color w:val="000000"/>
          <w:sz w:val="28"/>
        </w:rPr>
        <w:t>万元；项目支出增加了</w:t>
      </w:r>
      <w:r>
        <w:rPr>
          <w:rFonts w:hint="eastAsia" w:eastAsia="方正仿宋_GBK"/>
          <w:color w:val="000000"/>
          <w:sz w:val="28"/>
          <w:lang w:val="en-US" w:eastAsia="zh-CN"/>
        </w:rPr>
        <w:t>10337.87</w:t>
      </w:r>
      <w:r>
        <w:rPr>
          <w:rFonts w:hint="eastAsia" w:eastAsia="方正仿宋_GBK"/>
          <w:color w:val="000000"/>
          <w:sz w:val="28"/>
        </w:rPr>
        <w:t>万元。</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8"/>
      </w:pPr>
    </w:p>
    <w:p>
      <w:pPr>
        <w:spacing w:before="10" w:after="10"/>
        <w:ind w:firstLine="640"/>
        <w:outlineLvl w:val="5"/>
      </w:pPr>
      <w:r>
        <w:rPr>
          <w:rFonts w:ascii="黑体" w:hAnsi="黑体" w:eastAsia="黑体" w:cs="黑体"/>
          <w:color w:val="000000"/>
          <w:sz w:val="32"/>
        </w:rPr>
        <w:t>三、机关运行经费安排情况</w:t>
      </w:r>
    </w:p>
    <w:p>
      <w:pPr>
        <w:pStyle w:val="9"/>
        <w:rPr>
          <w:rFonts w:hint="eastAsia"/>
        </w:rPr>
      </w:pPr>
      <w:r>
        <w:rPr>
          <w:rFonts w:hint="eastAsia"/>
        </w:rPr>
        <w:t>日常公用经费支出总计</w:t>
      </w:r>
      <w:r>
        <w:rPr>
          <w:rFonts w:hint="eastAsia"/>
          <w:lang w:val="en-US" w:eastAsia="zh-CN"/>
        </w:rPr>
        <w:t>18.15</w:t>
      </w:r>
      <w:r>
        <w:rPr>
          <w:rFonts w:hint="eastAsia"/>
        </w:rPr>
        <w:t>万元。其中：</w:t>
      </w:r>
    </w:p>
    <w:p>
      <w:pPr>
        <w:pStyle w:val="9"/>
        <w:rPr>
          <w:rFonts w:hint="eastAsia"/>
        </w:rPr>
      </w:pPr>
      <w:r>
        <w:rPr>
          <w:rFonts w:hint="eastAsia"/>
        </w:rPr>
        <w:t>1、办公费：</w:t>
      </w:r>
      <w:r>
        <w:rPr>
          <w:rFonts w:hint="eastAsia"/>
          <w:lang w:val="en-US" w:eastAsia="zh-CN"/>
        </w:rPr>
        <w:t>4.25</w:t>
      </w:r>
      <w:r>
        <w:rPr>
          <w:rFonts w:hint="eastAsia"/>
        </w:rPr>
        <w:t>万元。</w:t>
      </w:r>
    </w:p>
    <w:p>
      <w:pPr>
        <w:pStyle w:val="9"/>
        <w:rPr>
          <w:rFonts w:hint="eastAsia"/>
        </w:rPr>
      </w:pPr>
      <w:r>
        <w:rPr>
          <w:rFonts w:hint="eastAsia"/>
        </w:rPr>
        <w:t>2、邮电费：3.8万元。</w:t>
      </w:r>
    </w:p>
    <w:p>
      <w:pPr>
        <w:pStyle w:val="9"/>
        <w:rPr>
          <w:rFonts w:hint="eastAsia"/>
        </w:rPr>
      </w:pPr>
      <w:r>
        <w:rPr>
          <w:rFonts w:hint="eastAsia"/>
        </w:rPr>
        <w:t>3、取暖费：2.69万元。用于机关办公楼。</w:t>
      </w:r>
    </w:p>
    <w:p>
      <w:pPr>
        <w:pStyle w:val="9"/>
        <w:rPr>
          <w:rFonts w:hint="eastAsia"/>
        </w:rPr>
      </w:pPr>
      <w:r>
        <w:rPr>
          <w:rFonts w:hint="eastAsia"/>
        </w:rPr>
        <w:t>4、工会经费</w:t>
      </w:r>
      <w:r>
        <w:rPr>
          <w:rFonts w:hint="eastAsia"/>
          <w:lang w:val="en-US" w:eastAsia="zh-CN"/>
        </w:rPr>
        <w:t>0.51</w:t>
      </w:r>
      <w:r>
        <w:rPr>
          <w:rFonts w:hint="eastAsia"/>
        </w:rPr>
        <w:t>万元。全额拨款单位按在职职工每人每月300元安排。</w:t>
      </w:r>
    </w:p>
    <w:p>
      <w:pPr>
        <w:pStyle w:val="9"/>
        <w:rPr>
          <w:rFonts w:hint="eastAsia"/>
        </w:rPr>
      </w:pPr>
      <w:r>
        <w:rPr>
          <w:rFonts w:hint="eastAsia"/>
        </w:rPr>
        <w:t>5、福利费：</w:t>
      </w:r>
      <w:r>
        <w:rPr>
          <w:rFonts w:hint="eastAsia"/>
          <w:lang w:val="en-US" w:eastAsia="zh-CN"/>
        </w:rPr>
        <w:t>0.52</w:t>
      </w:r>
      <w:r>
        <w:rPr>
          <w:rFonts w:hint="eastAsia"/>
        </w:rPr>
        <w:t>万元：按在职职工每人每年300元安排。退休人员每年50元安排。</w:t>
      </w:r>
    </w:p>
    <w:p>
      <w:pPr>
        <w:pStyle w:val="9"/>
        <w:rPr>
          <w:rFonts w:hint="eastAsia"/>
        </w:rPr>
      </w:pPr>
      <w:r>
        <w:rPr>
          <w:rFonts w:hint="eastAsia"/>
        </w:rPr>
        <w:t>6、公务用车运行维护费：</w:t>
      </w:r>
      <w:r>
        <w:rPr>
          <w:rFonts w:hint="eastAsia"/>
          <w:lang w:val="en-US" w:eastAsia="zh-CN"/>
        </w:rPr>
        <w:t>2</w:t>
      </w:r>
      <w:r>
        <w:rPr>
          <w:rFonts w:hint="eastAsia"/>
        </w:rPr>
        <w:t>万元。</w:t>
      </w:r>
    </w:p>
    <w:p>
      <w:pPr>
        <w:pStyle w:val="9"/>
      </w:pPr>
      <w:r>
        <w:rPr>
          <w:rFonts w:hint="eastAsia"/>
        </w:rPr>
        <w:t>7、其他交通费（公务交通补贴）：4.38万元。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0"/>
        <w:rPr>
          <w:rFonts w:hint="eastAsia"/>
        </w:rPr>
      </w:pPr>
      <w:r>
        <w:rPr>
          <w:rFonts w:hint="eastAsia"/>
        </w:rPr>
        <w:t>2022年“三公”经费预算安排</w:t>
      </w:r>
      <w:r>
        <w:rPr>
          <w:rFonts w:hint="eastAsia"/>
          <w:lang w:val="en-US" w:eastAsia="zh-CN"/>
        </w:rPr>
        <w:t>2</w:t>
      </w:r>
      <w:r>
        <w:rPr>
          <w:rFonts w:hint="eastAsia"/>
        </w:rPr>
        <w:t>万元,其中:</w:t>
      </w:r>
    </w:p>
    <w:p>
      <w:pPr>
        <w:pStyle w:val="10"/>
        <w:rPr>
          <w:rFonts w:hint="eastAsia"/>
        </w:rPr>
      </w:pPr>
      <w:r>
        <w:rPr>
          <w:rFonts w:hint="eastAsia"/>
        </w:rPr>
        <w:t>1、2022年公务用车运行维护费为</w:t>
      </w:r>
      <w:r>
        <w:rPr>
          <w:rFonts w:hint="eastAsia"/>
          <w:lang w:val="en-US" w:eastAsia="zh-CN"/>
        </w:rPr>
        <w:t>2</w:t>
      </w:r>
      <w:r>
        <w:rPr>
          <w:rFonts w:hint="eastAsia"/>
        </w:rPr>
        <w:t>万元，公务用车</w:t>
      </w:r>
      <w:r>
        <w:rPr>
          <w:rFonts w:hint="eastAsia"/>
          <w:lang w:val="en-US" w:eastAsia="zh-CN"/>
        </w:rPr>
        <w:t>1</w:t>
      </w:r>
      <w:r>
        <w:rPr>
          <w:rFonts w:hint="eastAsia"/>
        </w:rPr>
        <w:t>辆，与2021年相比没有增减变化。</w:t>
      </w:r>
    </w:p>
    <w:p>
      <w:pPr>
        <w:pStyle w:val="10"/>
        <w:rPr>
          <w:rFonts w:hint="eastAsia"/>
        </w:rPr>
      </w:pPr>
      <w:r>
        <w:rPr>
          <w:rFonts w:hint="eastAsia"/>
        </w:rPr>
        <w:t>2、2022年无公务招待费，与2021年相比没有增减变化。</w:t>
      </w:r>
    </w:p>
    <w:p>
      <w:pPr>
        <w:pStyle w:val="10"/>
      </w:pPr>
      <w:r>
        <w:rPr>
          <w:rFonts w:hint="eastAsia"/>
        </w:rPr>
        <w:t>3、2022年公务用车购置和因公出国（境）经费0元，与2021年相比减少17.98万元。</w:t>
      </w:r>
    </w:p>
    <w:p>
      <w:pPr>
        <w:spacing w:before="10" w:after="10"/>
        <w:ind w:firstLine="640"/>
        <w:outlineLvl w:val="5"/>
      </w:pPr>
      <w:r>
        <w:rPr>
          <w:rFonts w:ascii="黑体" w:hAnsi="黑体" w:eastAsia="黑体" w:cs="黑体"/>
          <w:color w:val="000000"/>
          <w:sz w:val="32"/>
        </w:rPr>
        <w:t>五、预算绩效信息</w:t>
      </w:r>
    </w:p>
    <w:p>
      <w:pPr>
        <w:pStyle w:val="11"/>
        <w:ind w:firstLine="560"/>
      </w:pPr>
      <w:r>
        <w:rPr>
          <w:rFonts w:ascii="方正仿宋_GBK" w:hAnsi="方正仿宋_GBK" w:eastAsia="方正仿宋_GBK" w:cs="方正仿宋_GBK"/>
          <w:b/>
          <w:color w:val="000000"/>
          <w:sz w:val="28"/>
        </w:rPr>
        <w:t>1、21年借款大学生应征入伍一次性奖励绩效目标表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1.通过发放大学生应征入伍奖励金，督促社会稳定发展</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奖励人数</w:t>
            </w:r>
          </w:p>
        </w:tc>
        <w:tc>
          <w:tcPr>
            <w:tcW w:w="2835" w:type="dxa"/>
            <w:noWrap w:val="0"/>
            <w:vAlign w:val="center"/>
          </w:tcPr>
          <w:p>
            <w:pPr>
              <w:pStyle w:val="13"/>
            </w:pPr>
            <w:r>
              <w:t>大学生应征入伍人数</w:t>
            </w:r>
          </w:p>
        </w:tc>
        <w:tc>
          <w:tcPr>
            <w:tcW w:w="2551" w:type="dxa"/>
            <w:noWrap w:val="0"/>
            <w:vAlign w:val="center"/>
          </w:tcPr>
          <w:p>
            <w:pPr>
              <w:pStyle w:val="13"/>
            </w:pPr>
            <w:r>
              <w:t>≥150人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资金足额拨付率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拨付时间及时性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人均成本</w:t>
            </w:r>
          </w:p>
        </w:tc>
        <w:tc>
          <w:tcPr>
            <w:tcW w:w="2835" w:type="dxa"/>
            <w:noWrap w:val="0"/>
            <w:vAlign w:val="center"/>
          </w:tcPr>
          <w:p>
            <w:pPr>
              <w:pStyle w:val="13"/>
            </w:pPr>
            <w:r>
              <w:t>补助每人成本</w:t>
            </w:r>
          </w:p>
        </w:tc>
        <w:tc>
          <w:tcPr>
            <w:tcW w:w="2551" w:type="dxa"/>
            <w:noWrap w:val="0"/>
            <w:vAlign w:val="center"/>
          </w:tcPr>
          <w:p>
            <w:pPr>
              <w:pStyle w:val="13"/>
            </w:pPr>
            <w:r>
              <w:t>≤17000元/人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义务兵家庭生活情况</w:t>
            </w:r>
          </w:p>
        </w:tc>
        <w:tc>
          <w:tcPr>
            <w:tcW w:w="2551" w:type="dxa"/>
            <w:noWrap w:val="0"/>
            <w:vAlign w:val="center"/>
          </w:tcPr>
          <w:p>
            <w:pPr>
              <w:pStyle w:val="13"/>
            </w:pPr>
            <w:r>
              <w:t>有效改善</w:t>
            </w:r>
          </w:p>
        </w:tc>
        <w:tc>
          <w:tcPr>
            <w:tcW w:w="2268" w:type="dxa"/>
            <w:noWrap w:val="0"/>
            <w:vAlign w:val="center"/>
          </w:tcPr>
          <w:p>
            <w:pPr>
              <w:pStyle w:val="13"/>
            </w:pPr>
            <w:r>
              <w:t>问卷调查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2、21年借款大学生应征入伍一次性奖励绩效目标表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1.通过发放大学生应征入伍奖励金，督促社会生活稳定发展</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奖励人数</w:t>
            </w:r>
          </w:p>
        </w:tc>
        <w:tc>
          <w:tcPr>
            <w:tcW w:w="2835" w:type="dxa"/>
            <w:noWrap w:val="0"/>
            <w:vAlign w:val="center"/>
          </w:tcPr>
          <w:p>
            <w:pPr>
              <w:pStyle w:val="13"/>
            </w:pPr>
            <w:r>
              <w:t>大学生应征入伍人数</w:t>
            </w:r>
          </w:p>
        </w:tc>
        <w:tc>
          <w:tcPr>
            <w:tcW w:w="2551" w:type="dxa"/>
            <w:noWrap w:val="0"/>
            <w:vAlign w:val="center"/>
          </w:tcPr>
          <w:p>
            <w:pPr>
              <w:pStyle w:val="13"/>
            </w:pPr>
            <w:r>
              <w:t>≥150人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资金足额拨付率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补助发放的及时性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发放成本</w:t>
            </w:r>
          </w:p>
        </w:tc>
        <w:tc>
          <w:tcPr>
            <w:tcW w:w="2835" w:type="dxa"/>
            <w:noWrap w:val="0"/>
            <w:vAlign w:val="center"/>
          </w:tcPr>
          <w:p>
            <w:pPr>
              <w:pStyle w:val="13"/>
            </w:pPr>
            <w:r>
              <w:t>补助每人成本</w:t>
            </w:r>
          </w:p>
        </w:tc>
        <w:tc>
          <w:tcPr>
            <w:tcW w:w="2551" w:type="dxa"/>
            <w:noWrap w:val="0"/>
            <w:vAlign w:val="center"/>
          </w:tcPr>
          <w:p>
            <w:pPr>
              <w:pStyle w:val="13"/>
            </w:pPr>
            <w:r>
              <w:t>≤17000元/人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义务兵家庭生活情况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3、21年借款涉核人员体检及待安置期间生活费等资金绩效目标表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体检人数</w:t>
            </w:r>
          </w:p>
        </w:tc>
        <w:tc>
          <w:tcPr>
            <w:tcW w:w="2835" w:type="dxa"/>
            <w:noWrap w:val="0"/>
            <w:vAlign w:val="center"/>
          </w:tcPr>
          <w:p>
            <w:pPr>
              <w:pStyle w:val="13"/>
            </w:pPr>
            <w:r>
              <w:t>符合条件参加体检人数</w:t>
            </w:r>
          </w:p>
        </w:tc>
        <w:tc>
          <w:tcPr>
            <w:tcW w:w="2551" w:type="dxa"/>
            <w:noWrap w:val="0"/>
            <w:vAlign w:val="center"/>
          </w:tcPr>
          <w:p>
            <w:pPr>
              <w:pStyle w:val="13"/>
            </w:pPr>
            <w:r>
              <w:t>≥430人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准确率</w:t>
            </w:r>
          </w:p>
        </w:tc>
        <w:tc>
          <w:tcPr>
            <w:tcW w:w="2835" w:type="dxa"/>
            <w:noWrap w:val="0"/>
            <w:vAlign w:val="center"/>
          </w:tcPr>
          <w:p>
            <w:pPr>
              <w:pStyle w:val="13"/>
            </w:pPr>
            <w:r>
              <w:t>符合体检要求标准的准确率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经费拨付的及时性</w:t>
            </w:r>
          </w:p>
        </w:tc>
        <w:tc>
          <w:tcPr>
            <w:tcW w:w="2551" w:type="dxa"/>
            <w:noWrap w:val="0"/>
            <w:vAlign w:val="center"/>
          </w:tcPr>
          <w:p>
            <w:pPr>
              <w:pStyle w:val="13"/>
            </w:pPr>
            <w:r>
              <w:t>每年11月底</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投入医疗补助的成本</w:t>
            </w:r>
          </w:p>
        </w:tc>
        <w:tc>
          <w:tcPr>
            <w:tcW w:w="2551" w:type="dxa"/>
            <w:noWrap w:val="0"/>
            <w:vAlign w:val="center"/>
          </w:tcPr>
          <w:p>
            <w:pPr>
              <w:pStyle w:val="13"/>
            </w:pPr>
            <w:r>
              <w:t>≤800元/人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4、（21年借款）12月优抚对象绩效目标表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1.按规定时限拨付资金，确保优抚对象合法权益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抚恤补助发放人数</w:t>
            </w:r>
          </w:p>
        </w:tc>
        <w:tc>
          <w:tcPr>
            <w:tcW w:w="2835" w:type="dxa"/>
            <w:noWrap w:val="0"/>
            <w:vAlign w:val="center"/>
          </w:tcPr>
          <w:p>
            <w:pPr>
              <w:pStyle w:val="13"/>
            </w:pPr>
            <w:r>
              <w:t>抚恤补助发放人数</w:t>
            </w:r>
          </w:p>
        </w:tc>
        <w:tc>
          <w:tcPr>
            <w:tcW w:w="2551" w:type="dxa"/>
            <w:noWrap w:val="0"/>
            <w:vAlign w:val="center"/>
          </w:tcPr>
          <w:p>
            <w:pPr>
              <w:pStyle w:val="13"/>
            </w:pPr>
            <w:r>
              <w:t>≥7900人</w:t>
            </w:r>
          </w:p>
        </w:tc>
        <w:tc>
          <w:tcPr>
            <w:tcW w:w="2268" w:type="dxa"/>
            <w:noWrap w:val="0"/>
            <w:vAlign w:val="center"/>
          </w:tcPr>
          <w:p>
            <w:pPr>
              <w:pStyle w:val="13"/>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补助足额拨付率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资金拨付及时性</w:t>
            </w:r>
          </w:p>
        </w:tc>
        <w:tc>
          <w:tcPr>
            <w:tcW w:w="2551" w:type="dxa"/>
            <w:noWrap w:val="0"/>
            <w:vAlign w:val="center"/>
          </w:tcPr>
          <w:p>
            <w:pPr>
              <w:pStyle w:val="13"/>
            </w:pPr>
            <w:r>
              <w:t>每月15日前</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投入优待抚恤成本</w:t>
            </w:r>
          </w:p>
        </w:tc>
        <w:tc>
          <w:tcPr>
            <w:tcW w:w="2551" w:type="dxa"/>
            <w:noWrap w:val="0"/>
            <w:vAlign w:val="center"/>
          </w:tcPr>
          <w:p>
            <w:pPr>
              <w:pStyle w:val="13"/>
            </w:pPr>
            <w:r>
              <w:t>≤4500元/人、月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5、春节、八一慰问优抚对象及驻区部队绩效目标表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慰问人数</w:t>
            </w:r>
          </w:p>
        </w:tc>
        <w:tc>
          <w:tcPr>
            <w:tcW w:w="2835" w:type="dxa"/>
            <w:noWrap w:val="0"/>
            <w:vAlign w:val="center"/>
          </w:tcPr>
          <w:p>
            <w:pPr>
              <w:pStyle w:val="13"/>
            </w:pPr>
            <w:r>
              <w:t>慰问优抚对象人数</w:t>
            </w:r>
          </w:p>
        </w:tc>
        <w:tc>
          <w:tcPr>
            <w:tcW w:w="2551" w:type="dxa"/>
            <w:noWrap w:val="0"/>
            <w:vAlign w:val="center"/>
          </w:tcPr>
          <w:p>
            <w:pPr>
              <w:pStyle w:val="13"/>
            </w:pPr>
            <w:r>
              <w:t>≥3995人</w:t>
            </w:r>
          </w:p>
        </w:tc>
        <w:tc>
          <w:tcPr>
            <w:tcW w:w="2268" w:type="dxa"/>
            <w:noWrap w:val="0"/>
            <w:vAlign w:val="center"/>
          </w:tcPr>
          <w:p>
            <w:pPr>
              <w:pStyle w:val="13"/>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走访部队完成率</w:t>
            </w:r>
          </w:p>
        </w:tc>
        <w:tc>
          <w:tcPr>
            <w:tcW w:w="2835" w:type="dxa"/>
            <w:noWrap w:val="0"/>
            <w:vAlign w:val="center"/>
          </w:tcPr>
          <w:p>
            <w:pPr>
              <w:pStyle w:val="13"/>
            </w:pPr>
            <w:r>
              <w:t>走访慰问驻区部队比例</w:t>
            </w:r>
          </w:p>
        </w:tc>
        <w:tc>
          <w:tcPr>
            <w:tcW w:w="2551" w:type="dxa"/>
            <w:noWrap w:val="0"/>
            <w:vAlign w:val="center"/>
          </w:tcPr>
          <w:p>
            <w:pPr>
              <w:pStyle w:val="13"/>
            </w:pPr>
            <w:r>
              <w:t>≥95%</w:t>
            </w:r>
          </w:p>
        </w:tc>
        <w:tc>
          <w:tcPr>
            <w:tcW w:w="2268" w:type="dxa"/>
            <w:noWrap w:val="0"/>
            <w:vAlign w:val="center"/>
          </w:tcPr>
          <w:p>
            <w:pPr>
              <w:pStyle w:val="13"/>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资金拨付及时性</w:t>
            </w:r>
          </w:p>
        </w:tc>
        <w:tc>
          <w:tcPr>
            <w:tcW w:w="2551" w:type="dxa"/>
            <w:noWrap w:val="0"/>
            <w:vAlign w:val="center"/>
          </w:tcPr>
          <w:p>
            <w:pPr>
              <w:pStyle w:val="13"/>
            </w:pPr>
            <w:r>
              <w:t>按规定时间</w:t>
            </w:r>
          </w:p>
        </w:tc>
        <w:tc>
          <w:tcPr>
            <w:tcW w:w="2268" w:type="dxa"/>
            <w:noWrap w:val="0"/>
            <w:vAlign w:val="center"/>
          </w:tcPr>
          <w:p>
            <w:pPr>
              <w:pStyle w:val="13"/>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慰问成本</w:t>
            </w:r>
          </w:p>
        </w:tc>
        <w:tc>
          <w:tcPr>
            <w:tcW w:w="2835" w:type="dxa"/>
            <w:noWrap w:val="0"/>
            <w:vAlign w:val="center"/>
          </w:tcPr>
          <w:p>
            <w:pPr>
              <w:pStyle w:val="13"/>
            </w:pPr>
            <w:r>
              <w:t>双节慰问重点优抚对象成本</w:t>
            </w:r>
          </w:p>
        </w:tc>
        <w:tc>
          <w:tcPr>
            <w:tcW w:w="2551" w:type="dxa"/>
            <w:noWrap w:val="0"/>
            <w:vAlign w:val="center"/>
          </w:tcPr>
          <w:p>
            <w:pPr>
              <w:pStyle w:val="13"/>
            </w:pPr>
            <w:r>
              <w:t>≤500元/人</w:t>
            </w:r>
          </w:p>
        </w:tc>
        <w:tc>
          <w:tcPr>
            <w:tcW w:w="2268" w:type="dxa"/>
            <w:noWrap w:val="0"/>
            <w:vAlign w:val="center"/>
          </w:tcPr>
          <w:p>
            <w:pPr>
              <w:pStyle w:val="13"/>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6、关于下达2021年中央财政优抚补助资金第四批唐财社【2021】80号绩效目标表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2.确保义务兵合法权益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发放户数</w:t>
            </w:r>
          </w:p>
        </w:tc>
        <w:tc>
          <w:tcPr>
            <w:tcW w:w="2835" w:type="dxa"/>
            <w:noWrap w:val="0"/>
            <w:vAlign w:val="center"/>
          </w:tcPr>
          <w:p>
            <w:pPr>
              <w:pStyle w:val="13"/>
            </w:pPr>
            <w:r>
              <w:t>义务兵优待金发放户数</w:t>
            </w:r>
          </w:p>
        </w:tc>
        <w:tc>
          <w:tcPr>
            <w:tcW w:w="2551" w:type="dxa"/>
            <w:noWrap w:val="0"/>
            <w:vAlign w:val="center"/>
          </w:tcPr>
          <w:p>
            <w:pPr>
              <w:pStyle w:val="13"/>
            </w:pPr>
            <w:r>
              <w:t>≥360户</w:t>
            </w:r>
          </w:p>
        </w:tc>
        <w:tc>
          <w:tcPr>
            <w:tcW w:w="2268" w:type="dxa"/>
            <w:noWrap w:val="0"/>
            <w:vAlign w:val="center"/>
          </w:tcPr>
          <w:p>
            <w:pPr>
              <w:pStyle w:val="13"/>
            </w:pPr>
            <w:r>
              <w:t>实际入伍名单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优待金实际拨付率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优待金发放及时性</w:t>
            </w:r>
          </w:p>
        </w:tc>
        <w:tc>
          <w:tcPr>
            <w:tcW w:w="2551" w:type="dxa"/>
            <w:noWrap w:val="0"/>
            <w:vAlign w:val="center"/>
          </w:tcPr>
          <w:p>
            <w:pPr>
              <w:pStyle w:val="13"/>
            </w:pPr>
            <w:r>
              <w:t>每年6月底前</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发放标准</w:t>
            </w:r>
          </w:p>
        </w:tc>
        <w:tc>
          <w:tcPr>
            <w:tcW w:w="2835" w:type="dxa"/>
            <w:noWrap w:val="0"/>
            <w:vAlign w:val="center"/>
          </w:tcPr>
          <w:p>
            <w:pPr>
              <w:pStyle w:val="13"/>
            </w:pPr>
            <w:r>
              <w:t>优待金实际发放标准</w:t>
            </w:r>
          </w:p>
        </w:tc>
        <w:tc>
          <w:tcPr>
            <w:tcW w:w="2551" w:type="dxa"/>
            <w:noWrap w:val="0"/>
            <w:vAlign w:val="center"/>
          </w:tcPr>
          <w:p>
            <w:pPr>
              <w:pStyle w:val="13"/>
            </w:pPr>
            <w:r>
              <w:t>≤40000元/人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7、烈士纪念专项经费绩效目标表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2.保障工作顺利完成</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举办活动次数</w:t>
            </w:r>
          </w:p>
        </w:tc>
        <w:tc>
          <w:tcPr>
            <w:tcW w:w="2835" w:type="dxa"/>
            <w:noWrap w:val="0"/>
            <w:vAlign w:val="center"/>
          </w:tcPr>
          <w:p>
            <w:pPr>
              <w:pStyle w:val="13"/>
            </w:pPr>
            <w:r>
              <w:t>举办纪念活动次数</w:t>
            </w:r>
          </w:p>
        </w:tc>
        <w:tc>
          <w:tcPr>
            <w:tcW w:w="2551" w:type="dxa"/>
            <w:noWrap w:val="0"/>
            <w:vAlign w:val="center"/>
          </w:tcPr>
          <w:p>
            <w:pPr>
              <w:pStyle w:val="13"/>
            </w:pPr>
            <w:r>
              <w:t>≥2次</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每年4月、9月底完成</w:t>
            </w:r>
          </w:p>
        </w:tc>
        <w:tc>
          <w:tcPr>
            <w:tcW w:w="2268" w:type="dxa"/>
            <w:noWrap w:val="0"/>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活动成本</w:t>
            </w:r>
          </w:p>
        </w:tc>
        <w:tc>
          <w:tcPr>
            <w:tcW w:w="2835" w:type="dxa"/>
            <w:noWrap w:val="0"/>
            <w:vAlign w:val="center"/>
          </w:tcPr>
          <w:p>
            <w:pPr>
              <w:pStyle w:val="13"/>
            </w:pPr>
            <w:r>
              <w:t>每次祭祀活动成本</w:t>
            </w:r>
          </w:p>
        </w:tc>
        <w:tc>
          <w:tcPr>
            <w:tcW w:w="2551" w:type="dxa"/>
            <w:noWrap w:val="0"/>
            <w:vAlign w:val="center"/>
          </w:tcPr>
          <w:p>
            <w:pPr>
              <w:pStyle w:val="13"/>
            </w:pPr>
            <w:r>
              <w:t>≤10000元/次</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8、涉核人员体检费绩效目标表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1.为原8023部队及其他参试人员健康体检</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体检人数</w:t>
            </w:r>
          </w:p>
        </w:tc>
        <w:tc>
          <w:tcPr>
            <w:tcW w:w="2835" w:type="dxa"/>
            <w:noWrap w:val="0"/>
            <w:vAlign w:val="center"/>
          </w:tcPr>
          <w:p>
            <w:pPr>
              <w:pStyle w:val="13"/>
            </w:pPr>
            <w:r>
              <w:t>符合条件参加体检人数</w:t>
            </w:r>
          </w:p>
        </w:tc>
        <w:tc>
          <w:tcPr>
            <w:tcW w:w="2551" w:type="dxa"/>
            <w:noWrap w:val="0"/>
            <w:vAlign w:val="center"/>
          </w:tcPr>
          <w:p>
            <w:pPr>
              <w:pStyle w:val="13"/>
            </w:pPr>
            <w:r>
              <w:t>≥430人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准确率</w:t>
            </w:r>
          </w:p>
        </w:tc>
        <w:tc>
          <w:tcPr>
            <w:tcW w:w="2835" w:type="dxa"/>
            <w:noWrap w:val="0"/>
            <w:vAlign w:val="center"/>
          </w:tcPr>
          <w:p>
            <w:pPr>
              <w:pStyle w:val="13"/>
            </w:pPr>
            <w:r>
              <w:t>符合体检要求标准的准确率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经费拨付的及时性</w:t>
            </w:r>
          </w:p>
        </w:tc>
        <w:tc>
          <w:tcPr>
            <w:tcW w:w="2551" w:type="dxa"/>
            <w:noWrap w:val="0"/>
            <w:vAlign w:val="center"/>
          </w:tcPr>
          <w:p>
            <w:pPr>
              <w:pStyle w:val="13"/>
            </w:pPr>
            <w:r>
              <w:t>每年11月底</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投入医疗补助的成本</w:t>
            </w:r>
          </w:p>
        </w:tc>
        <w:tc>
          <w:tcPr>
            <w:tcW w:w="2551" w:type="dxa"/>
            <w:noWrap w:val="0"/>
            <w:vAlign w:val="center"/>
          </w:tcPr>
          <w:p>
            <w:pPr>
              <w:pStyle w:val="13"/>
            </w:pPr>
            <w:r>
              <w:t>≤800元/人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9、视频一体化平台服务费及电路租赁费绩效目标表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2.确保视频网络通畅</w:t>
            </w:r>
          </w:p>
          <w:p>
            <w:pPr>
              <w:pStyle w:val="13"/>
            </w:pPr>
            <w:r>
              <w:t>3.保障工作顺利完成</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村居数量</w:t>
            </w:r>
          </w:p>
        </w:tc>
        <w:tc>
          <w:tcPr>
            <w:tcW w:w="2835" w:type="dxa"/>
            <w:noWrap w:val="0"/>
            <w:vAlign w:val="center"/>
          </w:tcPr>
          <w:p>
            <w:pPr>
              <w:pStyle w:val="13"/>
            </w:pPr>
            <w:r>
              <w:t>联通视频网络的村居数量</w:t>
            </w:r>
          </w:p>
        </w:tc>
        <w:tc>
          <w:tcPr>
            <w:tcW w:w="2551" w:type="dxa"/>
            <w:noWrap w:val="0"/>
            <w:vAlign w:val="center"/>
          </w:tcPr>
          <w:p>
            <w:pPr>
              <w:pStyle w:val="13"/>
            </w:pPr>
            <w:r>
              <w:t>≥550个</w:t>
            </w:r>
          </w:p>
        </w:tc>
        <w:tc>
          <w:tcPr>
            <w:tcW w:w="2268" w:type="dxa"/>
            <w:noWrap w:val="0"/>
            <w:vAlign w:val="center"/>
          </w:tcPr>
          <w:p>
            <w:pPr>
              <w:pStyle w:val="13"/>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完成率</w:t>
            </w:r>
          </w:p>
        </w:tc>
        <w:tc>
          <w:tcPr>
            <w:tcW w:w="2835" w:type="dxa"/>
            <w:noWrap w:val="0"/>
            <w:vAlign w:val="center"/>
          </w:tcPr>
          <w:p>
            <w:pPr>
              <w:pStyle w:val="13"/>
            </w:pPr>
            <w:r>
              <w:t>日常开展工作完成率</w:t>
            </w:r>
          </w:p>
        </w:tc>
        <w:tc>
          <w:tcPr>
            <w:tcW w:w="2551" w:type="dxa"/>
            <w:noWrap w:val="0"/>
            <w:vAlign w:val="center"/>
          </w:tcPr>
          <w:p>
            <w:pPr>
              <w:pStyle w:val="13"/>
            </w:pPr>
            <w:r>
              <w:t>≥95%</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按合同时限</w:t>
            </w:r>
          </w:p>
        </w:tc>
        <w:tc>
          <w:tcPr>
            <w:tcW w:w="2268" w:type="dxa"/>
            <w:noWrap w:val="0"/>
            <w:vAlign w:val="center"/>
          </w:tcPr>
          <w:p>
            <w:pPr>
              <w:pStyle w:val="13"/>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每条线路成本</w:t>
            </w:r>
          </w:p>
        </w:tc>
        <w:tc>
          <w:tcPr>
            <w:tcW w:w="2835" w:type="dxa"/>
            <w:noWrap w:val="0"/>
            <w:vAlign w:val="center"/>
          </w:tcPr>
          <w:p>
            <w:pPr>
              <w:pStyle w:val="13"/>
            </w:pPr>
            <w:r>
              <w:t>视频一体化平台服务成本</w:t>
            </w:r>
          </w:p>
        </w:tc>
        <w:tc>
          <w:tcPr>
            <w:tcW w:w="2551" w:type="dxa"/>
            <w:noWrap w:val="0"/>
            <w:vAlign w:val="center"/>
          </w:tcPr>
          <w:p>
            <w:pPr>
              <w:pStyle w:val="13"/>
            </w:pPr>
            <w:r>
              <w:t>≤8400元/条</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10、双拥工作站经费绩效目标表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2.确保双拥工作顺利进行</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双拥模范城个数</w:t>
            </w:r>
          </w:p>
        </w:tc>
        <w:tc>
          <w:tcPr>
            <w:tcW w:w="2835" w:type="dxa"/>
            <w:noWrap w:val="0"/>
            <w:vAlign w:val="center"/>
          </w:tcPr>
          <w:p>
            <w:pPr>
              <w:pStyle w:val="13"/>
            </w:pPr>
            <w:r>
              <w:t>双拥模范城督导检查个数</w:t>
            </w:r>
          </w:p>
        </w:tc>
        <w:tc>
          <w:tcPr>
            <w:tcW w:w="2551" w:type="dxa"/>
            <w:noWrap w:val="0"/>
            <w:vAlign w:val="center"/>
          </w:tcPr>
          <w:p>
            <w:pPr>
              <w:pStyle w:val="13"/>
            </w:pPr>
            <w:r>
              <w:t>≥27个</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资金拨付及时性</w:t>
            </w:r>
          </w:p>
        </w:tc>
        <w:tc>
          <w:tcPr>
            <w:tcW w:w="2551" w:type="dxa"/>
            <w:noWrap w:val="0"/>
            <w:vAlign w:val="center"/>
          </w:tcPr>
          <w:p>
            <w:pPr>
              <w:pStyle w:val="13"/>
            </w:pPr>
            <w:r>
              <w:t>12月底完成</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月均成本</w:t>
            </w:r>
          </w:p>
        </w:tc>
        <w:tc>
          <w:tcPr>
            <w:tcW w:w="2835" w:type="dxa"/>
            <w:noWrap w:val="0"/>
            <w:vAlign w:val="center"/>
          </w:tcPr>
          <w:p>
            <w:pPr>
              <w:pStyle w:val="13"/>
            </w:pPr>
            <w:r>
              <w:t>双拥工作服务标准每月成本</w:t>
            </w:r>
          </w:p>
        </w:tc>
        <w:tc>
          <w:tcPr>
            <w:tcW w:w="2551" w:type="dxa"/>
            <w:noWrap w:val="0"/>
            <w:vAlign w:val="center"/>
          </w:tcPr>
          <w:p>
            <w:pPr>
              <w:pStyle w:val="13"/>
            </w:pPr>
            <w:r>
              <w:t>≤2500元/月</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营造浓厚双拥氛围</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11、唐财社【2021】103号关于提前下达2022年市级优抚对象补助经费的通知绩效目标表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优抚医疗补助人数</w:t>
            </w:r>
          </w:p>
        </w:tc>
        <w:tc>
          <w:tcPr>
            <w:tcW w:w="2551" w:type="dxa"/>
            <w:noWrap w:val="0"/>
            <w:vAlign w:val="center"/>
          </w:tcPr>
          <w:p>
            <w:pPr>
              <w:pStyle w:val="13"/>
            </w:pPr>
            <w:r>
              <w:t>≥300人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每人补助成本</w:t>
            </w:r>
          </w:p>
        </w:tc>
        <w:tc>
          <w:tcPr>
            <w:tcW w:w="2551" w:type="dxa"/>
            <w:noWrap w:val="0"/>
            <w:vAlign w:val="center"/>
          </w:tcPr>
          <w:p>
            <w:pPr>
              <w:pStyle w:val="13"/>
            </w:pPr>
            <w:r>
              <w:t>≤5000元/人、次</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12、唐财社【2021】103号关于提前下达2022年市级优抚对象补助经费的通知绩效目标表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抚恤补助发放人数</w:t>
            </w:r>
          </w:p>
        </w:tc>
        <w:tc>
          <w:tcPr>
            <w:tcW w:w="2551" w:type="dxa"/>
            <w:noWrap w:val="0"/>
            <w:vAlign w:val="center"/>
          </w:tcPr>
          <w:p>
            <w:pPr>
              <w:pStyle w:val="13"/>
            </w:pPr>
            <w:r>
              <w:t>≥7900人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发放抚恤金成本</w:t>
            </w:r>
          </w:p>
        </w:tc>
        <w:tc>
          <w:tcPr>
            <w:tcW w:w="2551" w:type="dxa"/>
            <w:noWrap w:val="0"/>
            <w:vAlign w:val="center"/>
          </w:tcPr>
          <w:p>
            <w:pPr>
              <w:pStyle w:val="13"/>
            </w:pPr>
            <w:r>
              <w:t>≤2000元/人、月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13、唐财社【2021】103号关于提前下达2022年市级优抚对象补助经费的通知绩效目标表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2.保障义务兵合法权益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发放义务兵家庭优待金人数</w:t>
            </w:r>
          </w:p>
        </w:tc>
        <w:tc>
          <w:tcPr>
            <w:tcW w:w="2551" w:type="dxa"/>
            <w:noWrap w:val="0"/>
            <w:vAlign w:val="center"/>
          </w:tcPr>
          <w:p>
            <w:pPr>
              <w:pStyle w:val="13"/>
            </w:pPr>
            <w:r>
              <w:t>≥149人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每年6月底完成</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每人补助成本</w:t>
            </w:r>
          </w:p>
        </w:tc>
        <w:tc>
          <w:tcPr>
            <w:tcW w:w="2551" w:type="dxa"/>
            <w:noWrap w:val="0"/>
            <w:vAlign w:val="center"/>
          </w:tcPr>
          <w:p>
            <w:pPr>
              <w:pStyle w:val="13"/>
            </w:pPr>
            <w:r>
              <w:t>≤30000元/人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义务兵家庭生活情况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义务兵家庭满意度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14、唐财社【2021】109号关于提前通知2022市级退役安置补助资金的通知绩效目标表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2.保障退役士兵合法权益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自主就业、自谋职业人数</w:t>
            </w:r>
          </w:p>
        </w:tc>
        <w:tc>
          <w:tcPr>
            <w:tcW w:w="2551" w:type="dxa"/>
            <w:noWrap w:val="0"/>
            <w:vAlign w:val="center"/>
          </w:tcPr>
          <w:p>
            <w:pPr>
              <w:pStyle w:val="13"/>
            </w:pPr>
            <w:r>
              <w:t>≥159人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补助发放的每人成本</w:t>
            </w:r>
          </w:p>
        </w:tc>
        <w:tc>
          <w:tcPr>
            <w:tcW w:w="2551" w:type="dxa"/>
            <w:noWrap w:val="0"/>
            <w:vAlign w:val="center"/>
          </w:tcPr>
          <w:p>
            <w:pPr>
              <w:pStyle w:val="13"/>
            </w:pPr>
            <w:r>
              <w:t>≤4.5万元/人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退役士兵生活情况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退役士兵满意度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15、唐财社【2021】109号关于提前通知2022市级退役安置补助资金的通知绩效目标表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2.确保转业士官合法权益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转业士官人数</w:t>
            </w:r>
          </w:p>
        </w:tc>
        <w:tc>
          <w:tcPr>
            <w:tcW w:w="2551" w:type="dxa"/>
            <w:noWrap w:val="0"/>
            <w:vAlign w:val="center"/>
          </w:tcPr>
          <w:p>
            <w:pPr>
              <w:pStyle w:val="13"/>
            </w:pPr>
            <w:r>
              <w:t>≥30人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缴纳社会保险成本</w:t>
            </w:r>
          </w:p>
        </w:tc>
        <w:tc>
          <w:tcPr>
            <w:tcW w:w="2551" w:type="dxa"/>
            <w:noWrap w:val="0"/>
            <w:vAlign w:val="center"/>
          </w:tcPr>
          <w:p>
            <w:pPr>
              <w:pStyle w:val="13"/>
            </w:pPr>
            <w:r>
              <w:t>≤8000元/人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转业士官生活情况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转业士官满意度</w:t>
            </w:r>
          </w:p>
        </w:tc>
        <w:tc>
          <w:tcPr>
            <w:tcW w:w="2551" w:type="dxa"/>
            <w:noWrap w:val="0"/>
            <w:vAlign w:val="center"/>
          </w:tcPr>
          <w:p>
            <w:pPr>
              <w:pStyle w:val="13"/>
            </w:pPr>
            <w:r>
              <w:t>≥95%</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16、唐财社【2021】109号关于提前通知2022市级退役安置补助资金的通知绩效目标表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2.保障转业士官合法权益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生活费发放人数</w:t>
            </w:r>
          </w:p>
        </w:tc>
        <w:tc>
          <w:tcPr>
            <w:tcW w:w="2551" w:type="dxa"/>
            <w:noWrap w:val="0"/>
            <w:vAlign w:val="center"/>
          </w:tcPr>
          <w:p>
            <w:pPr>
              <w:pStyle w:val="13"/>
            </w:pPr>
            <w:r>
              <w:t>≥30人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发放成本</w:t>
            </w:r>
          </w:p>
        </w:tc>
        <w:tc>
          <w:tcPr>
            <w:tcW w:w="2835" w:type="dxa"/>
            <w:noWrap w:val="0"/>
            <w:vAlign w:val="center"/>
          </w:tcPr>
          <w:p>
            <w:pPr>
              <w:pStyle w:val="13"/>
            </w:pPr>
            <w:r>
              <w:t>生活费发放每人成本</w:t>
            </w:r>
          </w:p>
        </w:tc>
        <w:tc>
          <w:tcPr>
            <w:tcW w:w="2551" w:type="dxa"/>
            <w:noWrap w:val="0"/>
            <w:vAlign w:val="center"/>
          </w:tcPr>
          <w:p>
            <w:pPr>
              <w:pStyle w:val="13"/>
            </w:pPr>
            <w:r>
              <w:t>≤1900元/人、月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转业士官生活情况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转业士官满意度</w:t>
            </w:r>
          </w:p>
        </w:tc>
        <w:tc>
          <w:tcPr>
            <w:tcW w:w="2551" w:type="dxa"/>
            <w:noWrap w:val="0"/>
            <w:vAlign w:val="center"/>
          </w:tcPr>
          <w:p>
            <w:pPr>
              <w:pStyle w:val="13"/>
            </w:pPr>
            <w:r>
              <w:t>≥95%</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17、唐财社【2021】109号关于提前通知2022市级退役安置补助资金的通知绩效目标表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2.保障退役军人合法权益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自谋职业一次性经济补助人数</w:t>
            </w:r>
          </w:p>
        </w:tc>
        <w:tc>
          <w:tcPr>
            <w:tcW w:w="2551" w:type="dxa"/>
            <w:noWrap w:val="0"/>
            <w:vAlign w:val="center"/>
          </w:tcPr>
          <w:p>
            <w:pPr>
              <w:pStyle w:val="13"/>
            </w:pPr>
            <w:r>
              <w:t>≥10人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每人补助成本</w:t>
            </w:r>
          </w:p>
        </w:tc>
        <w:tc>
          <w:tcPr>
            <w:tcW w:w="2551" w:type="dxa"/>
            <w:noWrap w:val="0"/>
            <w:vAlign w:val="center"/>
          </w:tcPr>
          <w:p>
            <w:pPr>
              <w:pStyle w:val="13"/>
            </w:pPr>
            <w:r>
              <w:t>≤4.5万元/人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退役士兵生活情况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退役士兵满意度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18、唐财社【2021】130号关于提前下达2022年省级退役安置补助经费预算的通知绩效目标表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2.通过职业技能培训，实现高质量就业</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培训人数</w:t>
            </w:r>
          </w:p>
        </w:tc>
        <w:tc>
          <w:tcPr>
            <w:tcW w:w="2835" w:type="dxa"/>
            <w:noWrap w:val="0"/>
            <w:vAlign w:val="center"/>
          </w:tcPr>
          <w:p>
            <w:pPr>
              <w:pStyle w:val="13"/>
            </w:pPr>
            <w:r>
              <w:t>参加职业教育培训退役士兵人数</w:t>
            </w:r>
          </w:p>
        </w:tc>
        <w:tc>
          <w:tcPr>
            <w:tcW w:w="2551" w:type="dxa"/>
            <w:noWrap w:val="0"/>
            <w:vAlign w:val="center"/>
          </w:tcPr>
          <w:p>
            <w:pPr>
              <w:pStyle w:val="13"/>
            </w:pPr>
            <w:r>
              <w:t>≥149人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每年12月底完成</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参加培训的成本</w:t>
            </w:r>
          </w:p>
        </w:tc>
        <w:tc>
          <w:tcPr>
            <w:tcW w:w="2551" w:type="dxa"/>
            <w:noWrap w:val="0"/>
            <w:vAlign w:val="center"/>
          </w:tcPr>
          <w:p>
            <w:pPr>
              <w:pStyle w:val="13"/>
            </w:pPr>
            <w:r>
              <w:t>≤150元/人、次</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促进社会和谐</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退役士兵满意度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19、唐财社【2021】130号关于提前下达2022年省级退役安置补助经费预算的通知绩效目标表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2.保障自主就业退役士兵一次性经济补助及时发放</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自主就业退役士兵人数</w:t>
            </w:r>
          </w:p>
        </w:tc>
        <w:tc>
          <w:tcPr>
            <w:tcW w:w="2551" w:type="dxa"/>
            <w:noWrap w:val="0"/>
            <w:vAlign w:val="center"/>
          </w:tcPr>
          <w:p>
            <w:pPr>
              <w:pStyle w:val="13"/>
            </w:pPr>
            <w:r>
              <w:t>≥149人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每人发放就业金成本</w:t>
            </w:r>
          </w:p>
        </w:tc>
        <w:tc>
          <w:tcPr>
            <w:tcW w:w="2551" w:type="dxa"/>
            <w:noWrap w:val="0"/>
            <w:vAlign w:val="center"/>
          </w:tcPr>
          <w:p>
            <w:pPr>
              <w:pStyle w:val="13"/>
            </w:pPr>
            <w:r>
              <w:t>≤4.5万元/人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退役士兵就业生活等方面得到有效保障</w:t>
            </w:r>
          </w:p>
        </w:tc>
        <w:tc>
          <w:tcPr>
            <w:tcW w:w="2551" w:type="dxa"/>
            <w:noWrap w:val="0"/>
            <w:vAlign w:val="center"/>
          </w:tcPr>
          <w:p>
            <w:pPr>
              <w:pStyle w:val="13"/>
            </w:pPr>
            <w:r>
              <w:t>效果显著</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退役士兵满意度</w:t>
            </w:r>
          </w:p>
        </w:tc>
        <w:tc>
          <w:tcPr>
            <w:tcW w:w="2551" w:type="dxa"/>
            <w:noWrap w:val="0"/>
            <w:vAlign w:val="center"/>
          </w:tcPr>
          <w:p>
            <w:pPr>
              <w:pStyle w:val="13"/>
            </w:pPr>
            <w:r>
              <w:t>≥95%</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20、唐财社【2021】139号关于提前下达2022年省级优抚对象补助经费预算的通知绩效目标表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2.保障优抚对象合法权益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抚恤补助发放人数</w:t>
            </w:r>
          </w:p>
        </w:tc>
        <w:tc>
          <w:tcPr>
            <w:tcW w:w="2551" w:type="dxa"/>
            <w:noWrap w:val="0"/>
            <w:vAlign w:val="center"/>
          </w:tcPr>
          <w:p>
            <w:pPr>
              <w:pStyle w:val="13"/>
            </w:pPr>
            <w:r>
              <w:t>≥7900人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补助发放成本</w:t>
            </w:r>
          </w:p>
        </w:tc>
        <w:tc>
          <w:tcPr>
            <w:tcW w:w="2551" w:type="dxa"/>
            <w:noWrap w:val="0"/>
            <w:vAlign w:val="center"/>
          </w:tcPr>
          <w:p>
            <w:pPr>
              <w:pStyle w:val="13"/>
            </w:pPr>
            <w:r>
              <w:t>≤2000元/人、月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21、唐财社【2021】139号关于提前下达2022年省级优抚对象补助经费预算的通知绩效目标表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2.确保义务兵家庭合法权益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义务兵优待金发放人数</w:t>
            </w:r>
          </w:p>
        </w:tc>
        <w:tc>
          <w:tcPr>
            <w:tcW w:w="2551" w:type="dxa"/>
            <w:noWrap w:val="0"/>
            <w:vAlign w:val="center"/>
          </w:tcPr>
          <w:p>
            <w:pPr>
              <w:pStyle w:val="13"/>
            </w:pPr>
            <w:r>
              <w:t>≥149人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每年6月底完成</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义务兵发放的成本</w:t>
            </w:r>
          </w:p>
        </w:tc>
        <w:tc>
          <w:tcPr>
            <w:tcW w:w="2551" w:type="dxa"/>
            <w:noWrap w:val="0"/>
            <w:vAlign w:val="center"/>
          </w:tcPr>
          <w:p>
            <w:pPr>
              <w:pStyle w:val="13"/>
            </w:pPr>
            <w:r>
              <w:t>≤30000元/人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义务兵家庭生活情况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义务兵家庭满意度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22、唐财社【2021】139号关于提前下达2022年省级优抚对象补助经费预算的通知绩效目标表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抚恤补助发放人数</w:t>
            </w:r>
          </w:p>
        </w:tc>
        <w:tc>
          <w:tcPr>
            <w:tcW w:w="2551" w:type="dxa"/>
            <w:noWrap w:val="0"/>
            <w:vAlign w:val="center"/>
          </w:tcPr>
          <w:p>
            <w:pPr>
              <w:pStyle w:val="13"/>
            </w:pPr>
            <w:r>
              <w:t>≥7900人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抚恤补助发放成本</w:t>
            </w:r>
          </w:p>
        </w:tc>
        <w:tc>
          <w:tcPr>
            <w:tcW w:w="2551" w:type="dxa"/>
            <w:noWrap w:val="0"/>
            <w:vAlign w:val="center"/>
          </w:tcPr>
          <w:p>
            <w:pPr>
              <w:pStyle w:val="13"/>
            </w:pPr>
            <w:r>
              <w:t>≤2000元/人、月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23、唐财社【2021】139号关于提前下达2022年省级优抚对象补助经费预算的通知绩效目标表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优抚医疗补助人数</w:t>
            </w:r>
          </w:p>
        </w:tc>
        <w:tc>
          <w:tcPr>
            <w:tcW w:w="2551" w:type="dxa"/>
            <w:noWrap w:val="0"/>
            <w:vAlign w:val="center"/>
          </w:tcPr>
          <w:p>
            <w:pPr>
              <w:pStyle w:val="13"/>
            </w:pPr>
            <w:r>
              <w:t>≥140人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按规定时间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补助每人成本</w:t>
            </w:r>
          </w:p>
        </w:tc>
        <w:tc>
          <w:tcPr>
            <w:tcW w:w="2551" w:type="dxa"/>
            <w:noWrap w:val="0"/>
            <w:vAlign w:val="center"/>
          </w:tcPr>
          <w:p>
            <w:pPr>
              <w:pStyle w:val="13"/>
            </w:pPr>
            <w:r>
              <w:t>≤2000元/人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24、唐财社【2021】140号关于提前下达2022年中央企业军转干部生活困难补助经费预算的通知绩效目标表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2.保障企业军转干部生活</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享受解困补助人数</w:t>
            </w:r>
          </w:p>
        </w:tc>
        <w:tc>
          <w:tcPr>
            <w:tcW w:w="2551" w:type="dxa"/>
            <w:noWrap w:val="0"/>
            <w:vAlign w:val="center"/>
          </w:tcPr>
          <w:p>
            <w:pPr>
              <w:pStyle w:val="13"/>
            </w:pPr>
            <w:r>
              <w:t>≥139人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准确率</w:t>
            </w:r>
          </w:p>
        </w:tc>
        <w:tc>
          <w:tcPr>
            <w:tcW w:w="2835" w:type="dxa"/>
            <w:noWrap w:val="0"/>
            <w:vAlign w:val="center"/>
          </w:tcPr>
          <w:p>
            <w:pPr>
              <w:pStyle w:val="13"/>
            </w:pPr>
            <w:r>
              <w:t>经费核拨、使用符合政策规定的准确率</w:t>
            </w:r>
          </w:p>
        </w:tc>
        <w:tc>
          <w:tcPr>
            <w:tcW w:w="2551" w:type="dxa"/>
            <w:noWrap w:val="0"/>
            <w:vAlign w:val="center"/>
          </w:tcPr>
          <w:p>
            <w:pPr>
              <w:pStyle w:val="13"/>
            </w:pPr>
            <w:r>
              <w:t>≥95%</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经费拨付的及时性</w:t>
            </w:r>
          </w:p>
        </w:tc>
        <w:tc>
          <w:tcPr>
            <w:tcW w:w="2551" w:type="dxa"/>
            <w:noWrap w:val="0"/>
            <w:vAlign w:val="center"/>
          </w:tcPr>
          <w:p>
            <w:pPr>
              <w:pStyle w:val="13"/>
            </w:pPr>
            <w:r>
              <w:t>每年春节前、八一前</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每人发放成本</w:t>
            </w:r>
          </w:p>
        </w:tc>
        <w:tc>
          <w:tcPr>
            <w:tcW w:w="2835" w:type="dxa"/>
            <w:noWrap w:val="0"/>
            <w:vAlign w:val="center"/>
          </w:tcPr>
          <w:p>
            <w:pPr>
              <w:pStyle w:val="13"/>
            </w:pPr>
            <w:r>
              <w:t>解困资金每年发放成本</w:t>
            </w:r>
          </w:p>
        </w:tc>
        <w:tc>
          <w:tcPr>
            <w:tcW w:w="2551" w:type="dxa"/>
            <w:noWrap w:val="0"/>
            <w:vAlign w:val="center"/>
          </w:tcPr>
          <w:p>
            <w:pPr>
              <w:pStyle w:val="13"/>
            </w:pPr>
            <w:r>
              <w:t>≤2500元/人、年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做好企业军转干部生活保障工作</w:t>
            </w:r>
          </w:p>
        </w:tc>
        <w:tc>
          <w:tcPr>
            <w:tcW w:w="2551" w:type="dxa"/>
            <w:noWrap w:val="0"/>
            <w:vAlign w:val="center"/>
          </w:tcPr>
          <w:p>
            <w:pPr>
              <w:pStyle w:val="13"/>
            </w:pPr>
            <w:r>
              <w:t>效果显著</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企业军转干部满意度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25、唐财社【2021】141号关于提前下达2022年省级企业军转干部解困补助资金的通知绩效目标表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2.保障企业军转干部生活</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享受解困资金补助人数</w:t>
            </w:r>
          </w:p>
        </w:tc>
        <w:tc>
          <w:tcPr>
            <w:tcW w:w="2551" w:type="dxa"/>
            <w:noWrap w:val="0"/>
            <w:vAlign w:val="center"/>
          </w:tcPr>
          <w:p>
            <w:pPr>
              <w:pStyle w:val="13"/>
            </w:pPr>
            <w:r>
              <w:t>≥139人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准确率</w:t>
            </w:r>
          </w:p>
        </w:tc>
        <w:tc>
          <w:tcPr>
            <w:tcW w:w="2835" w:type="dxa"/>
            <w:noWrap w:val="0"/>
            <w:vAlign w:val="center"/>
          </w:tcPr>
          <w:p>
            <w:pPr>
              <w:pStyle w:val="13"/>
            </w:pPr>
            <w:r>
              <w:t>经费核拨、使用符合政策规定的准确率</w:t>
            </w:r>
          </w:p>
        </w:tc>
        <w:tc>
          <w:tcPr>
            <w:tcW w:w="2551" w:type="dxa"/>
            <w:noWrap w:val="0"/>
            <w:vAlign w:val="center"/>
          </w:tcPr>
          <w:p>
            <w:pPr>
              <w:pStyle w:val="13"/>
            </w:pPr>
            <w:r>
              <w:t>≥95%</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经费拨付及时性</w:t>
            </w:r>
          </w:p>
        </w:tc>
        <w:tc>
          <w:tcPr>
            <w:tcW w:w="2551" w:type="dxa"/>
            <w:noWrap w:val="0"/>
            <w:vAlign w:val="center"/>
          </w:tcPr>
          <w:p>
            <w:pPr>
              <w:pStyle w:val="13"/>
            </w:pPr>
            <w:r>
              <w:t>每年春节前、八一前</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补助每人每年发放成本</w:t>
            </w:r>
          </w:p>
        </w:tc>
        <w:tc>
          <w:tcPr>
            <w:tcW w:w="2551" w:type="dxa"/>
            <w:noWrap w:val="0"/>
            <w:vAlign w:val="center"/>
          </w:tcPr>
          <w:p>
            <w:pPr>
              <w:pStyle w:val="13"/>
            </w:pPr>
            <w:r>
              <w:t>≤2500元/人、年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做好企业军转干部生活保障工作</w:t>
            </w:r>
          </w:p>
        </w:tc>
        <w:tc>
          <w:tcPr>
            <w:tcW w:w="2551" w:type="dxa"/>
            <w:noWrap w:val="0"/>
            <w:vAlign w:val="center"/>
          </w:tcPr>
          <w:p>
            <w:pPr>
              <w:pStyle w:val="13"/>
            </w:pPr>
            <w:r>
              <w:t>效果显著</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企业军转干部满意率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26、唐财社【2021】93号关于提前下达2022年中央优抚对象补助经费预算的通知绩效目标表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1.及时足额拨付资金，确保优抚对象合法权益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抚恤补助发放人数</w:t>
            </w:r>
          </w:p>
        </w:tc>
        <w:tc>
          <w:tcPr>
            <w:tcW w:w="2835" w:type="dxa"/>
            <w:noWrap w:val="0"/>
            <w:vAlign w:val="center"/>
          </w:tcPr>
          <w:p>
            <w:pPr>
              <w:pStyle w:val="13"/>
            </w:pPr>
            <w:r>
              <w:t>抚恤补助发放的人数</w:t>
            </w:r>
          </w:p>
        </w:tc>
        <w:tc>
          <w:tcPr>
            <w:tcW w:w="2551" w:type="dxa"/>
            <w:noWrap w:val="0"/>
            <w:vAlign w:val="center"/>
          </w:tcPr>
          <w:p>
            <w:pPr>
              <w:pStyle w:val="13"/>
            </w:pPr>
            <w:r>
              <w:t>≥7900人</w:t>
            </w:r>
          </w:p>
        </w:tc>
        <w:tc>
          <w:tcPr>
            <w:tcW w:w="2268" w:type="dxa"/>
            <w:noWrap w:val="0"/>
            <w:vAlign w:val="center"/>
          </w:tcPr>
          <w:p>
            <w:pPr>
              <w:pStyle w:val="13"/>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补助足额拨付率</w:t>
            </w:r>
          </w:p>
        </w:tc>
        <w:tc>
          <w:tcPr>
            <w:tcW w:w="2835" w:type="dxa"/>
            <w:noWrap w:val="0"/>
            <w:vAlign w:val="center"/>
          </w:tcPr>
          <w:p>
            <w:pPr>
              <w:pStyle w:val="13"/>
            </w:pPr>
            <w:r>
              <w:t>实际发放金额占应发放金额的比例</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补助发放的及时性</w:t>
            </w:r>
          </w:p>
        </w:tc>
        <w:tc>
          <w:tcPr>
            <w:tcW w:w="2551" w:type="dxa"/>
            <w:noWrap w:val="0"/>
            <w:vAlign w:val="center"/>
          </w:tcPr>
          <w:p>
            <w:pPr>
              <w:pStyle w:val="13"/>
            </w:pPr>
            <w:r>
              <w:t>每月15日前</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每月发放成本</w:t>
            </w:r>
          </w:p>
        </w:tc>
        <w:tc>
          <w:tcPr>
            <w:tcW w:w="2835" w:type="dxa"/>
            <w:noWrap w:val="0"/>
            <w:vAlign w:val="center"/>
          </w:tcPr>
          <w:p>
            <w:pPr>
              <w:pStyle w:val="13"/>
            </w:pPr>
            <w:r>
              <w:t>投入抚恤的人均财政补助标准</w:t>
            </w:r>
          </w:p>
        </w:tc>
        <w:tc>
          <w:tcPr>
            <w:tcW w:w="2551" w:type="dxa"/>
            <w:noWrap w:val="0"/>
            <w:vAlign w:val="center"/>
          </w:tcPr>
          <w:p>
            <w:pPr>
              <w:pStyle w:val="13"/>
            </w:pPr>
            <w:r>
              <w:t>≤4500元/月、人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27、唐财社【2021】93号关于提前下达2022年中央优抚对象补助经费预算的通知绩效目标表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1.通过发放烈士、因公牺牲和病故军人家属抚恤金，使其基本生活得到保障</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抚恤补助发放人数</w:t>
            </w:r>
          </w:p>
        </w:tc>
        <w:tc>
          <w:tcPr>
            <w:tcW w:w="2835" w:type="dxa"/>
            <w:noWrap w:val="0"/>
            <w:vAlign w:val="center"/>
          </w:tcPr>
          <w:p>
            <w:pPr>
              <w:pStyle w:val="13"/>
            </w:pPr>
            <w:r>
              <w:t>享受发放抚恤金人数</w:t>
            </w:r>
          </w:p>
        </w:tc>
        <w:tc>
          <w:tcPr>
            <w:tcW w:w="2551" w:type="dxa"/>
            <w:noWrap w:val="0"/>
            <w:vAlign w:val="center"/>
          </w:tcPr>
          <w:p>
            <w:pPr>
              <w:pStyle w:val="13"/>
            </w:pPr>
            <w:r>
              <w:t>≥7900人</w:t>
            </w:r>
          </w:p>
        </w:tc>
        <w:tc>
          <w:tcPr>
            <w:tcW w:w="2268" w:type="dxa"/>
            <w:noWrap w:val="0"/>
            <w:vAlign w:val="center"/>
          </w:tcPr>
          <w:p>
            <w:pPr>
              <w:pStyle w:val="13"/>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补助足额拨付率</w:t>
            </w:r>
          </w:p>
        </w:tc>
        <w:tc>
          <w:tcPr>
            <w:tcW w:w="2835" w:type="dxa"/>
            <w:noWrap w:val="0"/>
            <w:vAlign w:val="center"/>
          </w:tcPr>
          <w:p>
            <w:pPr>
              <w:pStyle w:val="13"/>
            </w:pPr>
            <w:r>
              <w:t>反映实际发放金额占应发放金额的比例</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补助发放时间及时性</w:t>
            </w:r>
          </w:p>
        </w:tc>
        <w:tc>
          <w:tcPr>
            <w:tcW w:w="2551" w:type="dxa"/>
            <w:noWrap w:val="0"/>
            <w:vAlign w:val="center"/>
          </w:tcPr>
          <w:p>
            <w:pPr>
              <w:pStyle w:val="13"/>
            </w:pPr>
            <w:r>
              <w:t>每月15日前</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每月发放成本</w:t>
            </w:r>
          </w:p>
        </w:tc>
        <w:tc>
          <w:tcPr>
            <w:tcW w:w="2835" w:type="dxa"/>
            <w:noWrap w:val="0"/>
            <w:vAlign w:val="center"/>
          </w:tcPr>
          <w:p>
            <w:pPr>
              <w:pStyle w:val="13"/>
            </w:pPr>
            <w:r>
              <w:t>投入优待抚恤的人均财政补助标准</w:t>
            </w:r>
          </w:p>
        </w:tc>
        <w:tc>
          <w:tcPr>
            <w:tcW w:w="2551" w:type="dxa"/>
            <w:noWrap w:val="0"/>
            <w:vAlign w:val="center"/>
          </w:tcPr>
          <w:p>
            <w:pPr>
              <w:pStyle w:val="13"/>
            </w:pPr>
            <w:r>
              <w:t>≤2000元/人、月</w:t>
            </w:r>
          </w:p>
        </w:tc>
        <w:tc>
          <w:tcPr>
            <w:tcW w:w="2268" w:type="dxa"/>
            <w:noWrap w:val="0"/>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28、唐财社【2021】93号关于提前下达2022年中央优抚对象补助经费预算的通知绩效目标表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抚恤补助发放人数</w:t>
            </w:r>
          </w:p>
        </w:tc>
        <w:tc>
          <w:tcPr>
            <w:tcW w:w="2835" w:type="dxa"/>
            <w:noWrap w:val="0"/>
            <w:vAlign w:val="center"/>
          </w:tcPr>
          <w:p>
            <w:pPr>
              <w:pStyle w:val="13"/>
            </w:pPr>
            <w:r>
              <w:t>反映抚恤补助发放人数</w:t>
            </w:r>
          </w:p>
        </w:tc>
        <w:tc>
          <w:tcPr>
            <w:tcW w:w="2551" w:type="dxa"/>
            <w:noWrap w:val="0"/>
            <w:vAlign w:val="center"/>
          </w:tcPr>
          <w:p>
            <w:pPr>
              <w:pStyle w:val="13"/>
            </w:pPr>
            <w:r>
              <w:t>≥7900人</w:t>
            </w:r>
          </w:p>
        </w:tc>
        <w:tc>
          <w:tcPr>
            <w:tcW w:w="2268" w:type="dxa"/>
            <w:noWrap w:val="0"/>
            <w:vAlign w:val="center"/>
          </w:tcPr>
          <w:p>
            <w:pPr>
              <w:pStyle w:val="13"/>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补助足额拨付率</w:t>
            </w:r>
          </w:p>
        </w:tc>
        <w:tc>
          <w:tcPr>
            <w:tcW w:w="2835" w:type="dxa"/>
            <w:noWrap w:val="0"/>
            <w:vAlign w:val="center"/>
          </w:tcPr>
          <w:p>
            <w:pPr>
              <w:pStyle w:val="13"/>
            </w:pPr>
            <w:r>
              <w:t>实际发放金额占应发放金额的比例</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每月15日前</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每月发放成本</w:t>
            </w:r>
          </w:p>
        </w:tc>
        <w:tc>
          <w:tcPr>
            <w:tcW w:w="2835" w:type="dxa"/>
            <w:noWrap w:val="0"/>
            <w:vAlign w:val="center"/>
          </w:tcPr>
          <w:p>
            <w:pPr>
              <w:pStyle w:val="13"/>
            </w:pPr>
            <w:r>
              <w:t>投入优待抚恤的人均财政补助标准</w:t>
            </w:r>
          </w:p>
        </w:tc>
        <w:tc>
          <w:tcPr>
            <w:tcW w:w="2551" w:type="dxa"/>
            <w:noWrap w:val="0"/>
            <w:vAlign w:val="center"/>
          </w:tcPr>
          <w:p>
            <w:pPr>
              <w:pStyle w:val="13"/>
            </w:pPr>
            <w:r>
              <w:t>≤4500元/月、人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29、唐财社【2021】94号关于提前下达2022年中央优抚对象医疗保障经费预算的通知绩效目标表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1.规定时限拨付资金，确保优抚对象合法权益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医疗补助发放人数</w:t>
            </w:r>
          </w:p>
        </w:tc>
        <w:tc>
          <w:tcPr>
            <w:tcW w:w="2835" w:type="dxa"/>
            <w:noWrap w:val="0"/>
            <w:vAlign w:val="center"/>
          </w:tcPr>
          <w:p>
            <w:pPr>
              <w:pStyle w:val="13"/>
            </w:pPr>
            <w:r>
              <w:t>享受医疗待遇优抚对象人数</w:t>
            </w:r>
          </w:p>
        </w:tc>
        <w:tc>
          <w:tcPr>
            <w:tcW w:w="2551" w:type="dxa"/>
            <w:noWrap w:val="0"/>
            <w:vAlign w:val="center"/>
          </w:tcPr>
          <w:p>
            <w:pPr>
              <w:pStyle w:val="13"/>
            </w:pPr>
            <w:r>
              <w:t>≥300人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发放准确率</w:t>
            </w:r>
          </w:p>
        </w:tc>
        <w:tc>
          <w:tcPr>
            <w:tcW w:w="2835" w:type="dxa"/>
            <w:noWrap w:val="0"/>
            <w:vAlign w:val="center"/>
          </w:tcPr>
          <w:p>
            <w:pPr>
              <w:pStyle w:val="13"/>
            </w:pPr>
            <w:r>
              <w:t>反映符合发放医疗补助标准的准确率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补助发放的及时性</w:t>
            </w:r>
          </w:p>
        </w:tc>
        <w:tc>
          <w:tcPr>
            <w:tcW w:w="2551" w:type="dxa"/>
            <w:noWrap w:val="0"/>
            <w:vAlign w:val="center"/>
          </w:tcPr>
          <w:p>
            <w:pPr>
              <w:pStyle w:val="13"/>
            </w:pPr>
            <w:r>
              <w:t>按规定时间</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投入成本</w:t>
            </w:r>
          </w:p>
        </w:tc>
        <w:tc>
          <w:tcPr>
            <w:tcW w:w="2835" w:type="dxa"/>
            <w:noWrap w:val="0"/>
            <w:vAlign w:val="center"/>
          </w:tcPr>
          <w:p>
            <w:pPr>
              <w:pStyle w:val="13"/>
            </w:pPr>
            <w:r>
              <w:t>投入医疗补助的财政人均补助标准</w:t>
            </w:r>
          </w:p>
        </w:tc>
        <w:tc>
          <w:tcPr>
            <w:tcW w:w="2551" w:type="dxa"/>
            <w:noWrap w:val="0"/>
            <w:vAlign w:val="center"/>
          </w:tcPr>
          <w:p>
            <w:pPr>
              <w:pStyle w:val="13"/>
            </w:pPr>
            <w:r>
              <w:t>≤2000元/月、人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优抚对象医疗问题改善情况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30、唐财社【2021】95号下达2021年中央退役安置补助经费第三批绩效目标表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2.为自主就业退役士兵提供创业机会</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培训人数</w:t>
            </w:r>
          </w:p>
        </w:tc>
        <w:tc>
          <w:tcPr>
            <w:tcW w:w="2835" w:type="dxa"/>
            <w:noWrap w:val="0"/>
            <w:vAlign w:val="center"/>
          </w:tcPr>
          <w:p>
            <w:pPr>
              <w:pStyle w:val="13"/>
            </w:pPr>
            <w:r>
              <w:t>参加职业技能培训人数</w:t>
            </w:r>
          </w:p>
        </w:tc>
        <w:tc>
          <w:tcPr>
            <w:tcW w:w="2551" w:type="dxa"/>
            <w:noWrap w:val="0"/>
            <w:vAlign w:val="center"/>
          </w:tcPr>
          <w:p>
            <w:pPr>
              <w:pStyle w:val="13"/>
            </w:pPr>
            <w:r>
              <w:t>≥200人</w:t>
            </w:r>
          </w:p>
        </w:tc>
        <w:tc>
          <w:tcPr>
            <w:tcW w:w="2268" w:type="dxa"/>
            <w:noWrap w:val="0"/>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经费拨付及时性</w:t>
            </w:r>
          </w:p>
        </w:tc>
        <w:tc>
          <w:tcPr>
            <w:tcW w:w="2551" w:type="dxa"/>
            <w:noWrap w:val="0"/>
            <w:vAlign w:val="center"/>
          </w:tcPr>
          <w:p>
            <w:pPr>
              <w:pStyle w:val="13"/>
            </w:pPr>
            <w:r>
              <w:t>12月底完成</w:t>
            </w:r>
          </w:p>
        </w:tc>
        <w:tc>
          <w:tcPr>
            <w:tcW w:w="2268" w:type="dxa"/>
            <w:noWrap w:val="0"/>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人均成本</w:t>
            </w:r>
          </w:p>
        </w:tc>
        <w:tc>
          <w:tcPr>
            <w:tcW w:w="2835" w:type="dxa"/>
            <w:noWrap w:val="0"/>
            <w:vAlign w:val="center"/>
          </w:tcPr>
          <w:p>
            <w:pPr>
              <w:pStyle w:val="13"/>
            </w:pPr>
            <w:r>
              <w:t>每人完成培训成本</w:t>
            </w:r>
          </w:p>
        </w:tc>
        <w:tc>
          <w:tcPr>
            <w:tcW w:w="2551" w:type="dxa"/>
            <w:noWrap w:val="0"/>
            <w:vAlign w:val="center"/>
          </w:tcPr>
          <w:p>
            <w:pPr>
              <w:pStyle w:val="13"/>
            </w:pPr>
            <w:r>
              <w:t>≤375元/人、次</w:t>
            </w:r>
          </w:p>
        </w:tc>
        <w:tc>
          <w:tcPr>
            <w:tcW w:w="2268" w:type="dxa"/>
            <w:noWrap w:val="0"/>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31、退役公益性岗位工资及社会保险绩效目标表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2.确保退役军人合法权益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公益性岗位退役士兵人数</w:t>
            </w:r>
          </w:p>
        </w:tc>
        <w:tc>
          <w:tcPr>
            <w:tcW w:w="2551" w:type="dxa"/>
            <w:noWrap w:val="0"/>
            <w:vAlign w:val="center"/>
          </w:tcPr>
          <w:p>
            <w:pPr>
              <w:pStyle w:val="13"/>
            </w:pPr>
            <w:r>
              <w:t>≥1900人</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补助率</w:t>
            </w:r>
          </w:p>
        </w:tc>
        <w:tc>
          <w:tcPr>
            <w:tcW w:w="2835" w:type="dxa"/>
            <w:noWrap w:val="0"/>
            <w:vAlign w:val="center"/>
          </w:tcPr>
          <w:p>
            <w:pPr>
              <w:pStyle w:val="13"/>
            </w:pPr>
            <w:r>
              <w:t>公益性岗位人数占总人数的比例</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补助发放及时性</w:t>
            </w:r>
          </w:p>
        </w:tc>
        <w:tc>
          <w:tcPr>
            <w:tcW w:w="2551" w:type="dxa"/>
            <w:noWrap w:val="0"/>
            <w:vAlign w:val="center"/>
          </w:tcPr>
          <w:p>
            <w:pPr>
              <w:pStyle w:val="13"/>
            </w:pPr>
            <w:r>
              <w:t>按时发放</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发放成本</w:t>
            </w:r>
          </w:p>
        </w:tc>
        <w:tc>
          <w:tcPr>
            <w:tcW w:w="2835" w:type="dxa"/>
            <w:noWrap w:val="0"/>
            <w:vAlign w:val="center"/>
          </w:tcPr>
          <w:p>
            <w:pPr>
              <w:pStyle w:val="13"/>
            </w:pPr>
            <w:r>
              <w:t>公益性岗位退役士兵补助金额</w:t>
            </w:r>
          </w:p>
        </w:tc>
        <w:tc>
          <w:tcPr>
            <w:tcW w:w="2551" w:type="dxa"/>
            <w:noWrap w:val="0"/>
            <w:vAlign w:val="center"/>
          </w:tcPr>
          <w:p>
            <w:pPr>
              <w:pStyle w:val="13"/>
            </w:pPr>
            <w:r>
              <w:t>≤3800元/人、年</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符合公益性岗位退役士兵生活情况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退役士兵满意度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32、退役军人优待证、优抚对象医疗补助证绩效目标表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2.优抚对象合法权益得到保障</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制作数量</w:t>
            </w:r>
          </w:p>
        </w:tc>
        <w:tc>
          <w:tcPr>
            <w:tcW w:w="2835" w:type="dxa"/>
            <w:noWrap w:val="0"/>
            <w:vAlign w:val="center"/>
          </w:tcPr>
          <w:p>
            <w:pPr>
              <w:pStyle w:val="13"/>
            </w:pPr>
            <w:r>
              <w:t>优待证、医疗补助证制作数量</w:t>
            </w:r>
          </w:p>
        </w:tc>
        <w:tc>
          <w:tcPr>
            <w:tcW w:w="2551" w:type="dxa"/>
            <w:noWrap w:val="0"/>
            <w:vAlign w:val="center"/>
          </w:tcPr>
          <w:p>
            <w:pPr>
              <w:pStyle w:val="13"/>
            </w:pPr>
            <w:r>
              <w:t>≥2000本</w:t>
            </w:r>
          </w:p>
        </w:tc>
        <w:tc>
          <w:tcPr>
            <w:tcW w:w="2268" w:type="dxa"/>
            <w:noWrap w:val="0"/>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完成率</w:t>
            </w:r>
          </w:p>
        </w:tc>
        <w:tc>
          <w:tcPr>
            <w:tcW w:w="2835" w:type="dxa"/>
            <w:noWrap w:val="0"/>
            <w:vAlign w:val="center"/>
          </w:tcPr>
          <w:p>
            <w:pPr>
              <w:pStyle w:val="13"/>
            </w:pPr>
            <w:r>
              <w:t>发放两证完成率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发放两证及时性</w:t>
            </w:r>
          </w:p>
        </w:tc>
        <w:tc>
          <w:tcPr>
            <w:tcW w:w="2551" w:type="dxa"/>
            <w:noWrap w:val="0"/>
            <w:vAlign w:val="center"/>
          </w:tcPr>
          <w:p>
            <w:pPr>
              <w:pStyle w:val="13"/>
            </w:pPr>
            <w:r>
              <w:t>按需发放</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制作成本</w:t>
            </w:r>
          </w:p>
        </w:tc>
        <w:tc>
          <w:tcPr>
            <w:tcW w:w="2835" w:type="dxa"/>
            <w:noWrap w:val="0"/>
            <w:vAlign w:val="center"/>
          </w:tcPr>
          <w:p>
            <w:pPr>
              <w:pStyle w:val="13"/>
            </w:pPr>
            <w:r>
              <w:t>制作优待证、补助证成本</w:t>
            </w:r>
          </w:p>
        </w:tc>
        <w:tc>
          <w:tcPr>
            <w:tcW w:w="2551" w:type="dxa"/>
            <w:noWrap w:val="0"/>
            <w:vAlign w:val="center"/>
          </w:tcPr>
          <w:p>
            <w:pPr>
              <w:pStyle w:val="13"/>
            </w:pPr>
            <w:r>
              <w:t>≤10元/本</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33、退役士兵待安置期间接续保险费绩效目标表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2.确保退役士兵合法权益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实际享受接续保险退役士兵人数</w:t>
            </w:r>
          </w:p>
        </w:tc>
        <w:tc>
          <w:tcPr>
            <w:tcW w:w="2551" w:type="dxa"/>
            <w:noWrap w:val="0"/>
            <w:vAlign w:val="center"/>
          </w:tcPr>
          <w:p>
            <w:pPr>
              <w:pStyle w:val="13"/>
            </w:pPr>
            <w:r>
              <w:t>≥25人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落实率</w:t>
            </w:r>
          </w:p>
        </w:tc>
        <w:tc>
          <w:tcPr>
            <w:tcW w:w="2835" w:type="dxa"/>
            <w:noWrap w:val="0"/>
            <w:vAlign w:val="center"/>
          </w:tcPr>
          <w:p>
            <w:pPr>
              <w:pStyle w:val="13"/>
            </w:pPr>
            <w:r>
              <w:t>退役士官安置工作落实率</w:t>
            </w:r>
          </w:p>
        </w:tc>
        <w:tc>
          <w:tcPr>
            <w:tcW w:w="2551" w:type="dxa"/>
            <w:noWrap w:val="0"/>
            <w:vAlign w:val="center"/>
          </w:tcPr>
          <w:p>
            <w:pPr>
              <w:pStyle w:val="13"/>
            </w:pPr>
            <w:r>
              <w:t>≥95%</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保险接续时间的及时性</w:t>
            </w:r>
          </w:p>
        </w:tc>
        <w:tc>
          <w:tcPr>
            <w:tcW w:w="2551" w:type="dxa"/>
            <w:noWrap w:val="0"/>
            <w:vAlign w:val="center"/>
          </w:tcPr>
          <w:p>
            <w:pPr>
              <w:pStyle w:val="13"/>
            </w:pPr>
            <w:r>
              <w:t>按规定缴纳</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每人成本</w:t>
            </w:r>
          </w:p>
        </w:tc>
        <w:tc>
          <w:tcPr>
            <w:tcW w:w="2835" w:type="dxa"/>
            <w:noWrap w:val="0"/>
            <w:vAlign w:val="center"/>
          </w:tcPr>
          <w:p>
            <w:pPr>
              <w:pStyle w:val="13"/>
            </w:pPr>
            <w:r>
              <w:t>接续社会保险的成本</w:t>
            </w:r>
          </w:p>
        </w:tc>
        <w:tc>
          <w:tcPr>
            <w:tcW w:w="2551" w:type="dxa"/>
            <w:noWrap w:val="0"/>
            <w:vAlign w:val="center"/>
          </w:tcPr>
          <w:p>
            <w:pPr>
              <w:pStyle w:val="13"/>
            </w:pPr>
            <w:r>
              <w:t>≤11363元/人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退役士兵生活情况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34、退役士兵待安置期间生活费绩效目标表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2.确保退役士兵合法权益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符合政府安置工作退役士兵人数</w:t>
            </w:r>
          </w:p>
        </w:tc>
        <w:tc>
          <w:tcPr>
            <w:tcW w:w="2551" w:type="dxa"/>
            <w:noWrap w:val="0"/>
            <w:vAlign w:val="center"/>
          </w:tcPr>
          <w:p>
            <w:pPr>
              <w:pStyle w:val="13"/>
            </w:pPr>
            <w:r>
              <w:t>≥25人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落实率</w:t>
            </w:r>
          </w:p>
        </w:tc>
        <w:tc>
          <w:tcPr>
            <w:tcW w:w="2835" w:type="dxa"/>
            <w:noWrap w:val="0"/>
            <w:vAlign w:val="center"/>
          </w:tcPr>
          <w:p>
            <w:pPr>
              <w:pStyle w:val="13"/>
            </w:pPr>
            <w:r>
              <w:t>退役士官安置工作落实率</w:t>
            </w:r>
          </w:p>
        </w:tc>
        <w:tc>
          <w:tcPr>
            <w:tcW w:w="2551" w:type="dxa"/>
            <w:noWrap w:val="0"/>
            <w:vAlign w:val="center"/>
          </w:tcPr>
          <w:p>
            <w:pPr>
              <w:pStyle w:val="13"/>
            </w:pPr>
            <w:r>
              <w:t>≥95%</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按时拨付</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待安置期间生活补助标准</w:t>
            </w:r>
          </w:p>
        </w:tc>
        <w:tc>
          <w:tcPr>
            <w:tcW w:w="2551" w:type="dxa"/>
            <w:noWrap w:val="0"/>
            <w:vAlign w:val="center"/>
          </w:tcPr>
          <w:p>
            <w:pPr>
              <w:pStyle w:val="13"/>
            </w:pPr>
            <w:r>
              <w:t>≤1900元/人、月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待安置退役士兵生活情况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35、退役士兵自谋职业一次性经济补助资金绩效目标表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2.确保退役士兵合法权益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发放退役士兵自谋职业人数</w:t>
            </w:r>
          </w:p>
        </w:tc>
        <w:tc>
          <w:tcPr>
            <w:tcW w:w="2551" w:type="dxa"/>
            <w:noWrap w:val="0"/>
            <w:vAlign w:val="center"/>
          </w:tcPr>
          <w:p>
            <w:pPr>
              <w:pStyle w:val="13"/>
            </w:pPr>
            <w:r>
              <w:t>≥21人</w:t>
            </w:r>
          </w:p>
        </w:tc>
        <w:tc>
          <w:tcPr>
            <w:tcW w:w="2268" w:type="dxa"/>
            <w:noWrap w:val="0"/>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发放比例</w:t>
            </w:r>
          </w:p>
        </w:tc>
        <w:tc>
          <w:tcPr>
            <w:tcW w:w="2835" w:type="dxa"/>
            <w:noWrap w:val="0"/>
            <w:vAlign w:val="center"/>
          </w:tcPr>
          <w:p>
            <w:pPr>
              <w:pStyle w:val="13"/>
            </w:pPr>
            <w:r>
              <w:t>城镇退役士兵自谋职业补助率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发放补助时间的及时性</w:t>
            </w:r>
          </w:p>
        </w:tc>
        <w:tc>
          <w:tcPr>
            <w:tcW w:w="2551" w:type="dxa"/>
            <w:noWrap w:val="0"/>
            <w:vAlign w:val="center"/>
          </w:tcPr>
          <w:p>
            <w:pPr>
              <w:pStyle w:val="13"/>
            </w:pPr>
            <w:r>
              <w:t>按时发放</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发放自谋职业经济补助成本</w:t>
            </w:r>
          </w:p>
        </w:tc>
        <w:tc>
          <w:tcPr>
            <w:tcW w:w="2551" w:type="dxa"/>
            <w:noWrap w:val="0"/>
            <w:vAlign w:val="center"/>
          </w:tcPr>
          <w:p>
            <w:pPr>
              <w:pStyle w:val="13"/>
            </w:pPr>
            <w:r>
              <w:t>≤46895元/人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自谋职业退役士兵生活情况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36、信访维稳经费绩效目标表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2.确保稳控工作顺利进行</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信访数量</w:t>
            </w:r>
          </w:p>
        </w:tc>
        <w:tc>
          <w:tcPr>
            <w:tcW w:w="2835" w:type="dxa"/>
            <w:noWrap w:val="0"/>
            <w:vAlign w:val="center"/>
          </w:tcPr>
          <w:p>
            <w:pPr>
              <w:pStyle w:val="13"/>
            </w:pPr>
            <w:r>
              <w:t>政策范围内解决信访数量</w:t>
            </w:r>
          </w:p>
        </w:tc>
        <w:tc>
          <w:tcPr>
            <w:tcW w:w="2551" w:type="dxa"/>
            <w:noWrap w:val="0"/>
            <w:vAlign w:val="center"/>
          </w:tcPr>
          <w:p>
            <w:pPr>
              <w:pStyle w:val="13"/>
            </w:pPr>
            <w:r>
              <w:t>≥10例</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按时拨付</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人均成本</w:t>
            </w:r>
          </w:p>
        </w:tc>
        <w:tc>
          <w:tcPr>
            <w:tcW w:w="2835" w:type="dxa"/>
            <w:noWrap w:val="0"/>
            <w:vAlign w:val="center"/>
          </w:tcPr>
          <w:p>
            <w:pPr>
              <w:pStyle w:val="13"/>
            </w:pPr>
            <w:r>
              <w:t>投入信访资金人均成本</w:t>
            </w:r>
          </w:p>
        </w:tc>
        <w:tc>
          <w:tcPr>
            <w:tcW w:w="2551" w:type="dxa"/>
            <w:noWrap w:val="0"/>
            <w:vAlign w:val="center"/>
          </w:tcPr>
          <w:p>
            <w:pPr>
              <w:pStyle w:val="13"/>
            </w:pPr>
            <w:r>
              <w:t>≤650元/人、月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37、义务兵家庭优待金绩效目标表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2.确保义务兵合法权益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发放户数</w:t>
            </w:r>
          </w:p>
        </w:tc>
        <w:tc>
          <w:tcPr>
            <w:tcW w:w="2835" w:type="dxa"/>
            <w:noWrap w:val="0"/>
            <w:vAlign w:val="center"/>
          </w:tcPr>
          <w:p>
            <w:pPr>
              <w:pStyle w:val="13"/>
            </w:pPr>
            <w:r>
              <w:t>义务兵家庭优待金发放户数</w:t>
            </w:r>
          </w:p>
        </w:tc>
        <w:tc>
          <w:tcPr>
            <w:tcW w:w="2551" w:type="dxa"/>
            <w:noWrap w:val="0"/>
            <w:vAlign w:val="center"/>
          </w:tcPr>
          <w:p>
            <w:pPr>
              <w:pStyle w:val="13"/>
            </w:pPr>
            <w:r>
              <w:t>≥360户</w:t>
            </w:r>
          </w:p>
        </w:tc>
        <w:tc>
          <w:tcPr>
            <w:tcW w:w="2268" w:type="dxa"/>
            <w:noWrap w:val="0"/>
            <w:vAlign w:val="center"/>
          </w:tcPr>
          <w:p>
            <w:pPr>
              <w:pStyle w:val="13"/>
            </w:pPr>
            <w:r>
              <w:t>入伍名单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足额拨付率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每年6月底前</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发放成本</w:t>
            </w:r>
          </w:p>
        </w:tc>
        <w:tc>
          <w:tcPr>
            <w:tcW w:w="2835" w:type="dxa"/>
            <w:noWrap w:val="0"/>
            <w:vAlign w:val="center"/>
          </w:tcPr>
          <w:p>
            <w:pPr>
              <w:pStyle w:val="13"/>
            </w:pPr>
            <w:r>
              <w:t>优待金发放标准</w:t>
            </w:r>
          </w:p>
        </w:tc>
        <w:tc>
          <w:tcPr>
            <w:tcW w:w="2551" w:type="dxa"/>
            <w:noWrap w:val="0"/>
            <w:vAlign w:val="center"/>
          </w:tcPr>
          <w:p>
            <w:pPr>
              <w:pStyle w:val="13"/>
            </w:pPr>
            <w:r>
              <w:t>≤40000元/人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38、优抚对象取暖补贴绩效目标表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1.按照规定时限申请拨付资金</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城镇无工作单位优抚对象人数</w:t>
            </w:r>
          </w:p>
        </w:tc>
        <w:tc>
          <w:tcPr>
            <w:tcW w:w="2551" w:type="dxa"/>
            <w:noWrap w:val="0"/>
            <w:vAlign w:val="center"/>
          </w:tcPr>
          <w:p>
            <w:pPr>
              <w:pStyle w:val="13"/>
            </w:pPr>
            <w:r>
              <w:t>≥200人</w:t>
            </w:r>
          </w:p>
        </w:tc>
        <w:tc>
          <w:tcPr>
            <w:tcW w:w="2268" w:type="dxa"/>
            <w:noWrap w:val="0"/>
            <w:vAlign w:val="center"/>
          </w:tcPr>
          <w:p>
            <w:pPr>
              <w:pStyle w:val="13"/>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足额拨付率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每年11月底前</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发放成本</w:t>
            </w:r>
          </w:p>
        </w:tc>
        <w:tc>
          <w:tcPr>
            <w:tcW w:w="2835" w:type="dxa"/>
            <w:noWrap w:val="0"/>
            <w:vAlign w:val="center"/>
          </w:tcPr>
          <w:p>
            <w:pPr>
              <w:pStyle w:val="13"/>
            </w:pPr>
            <w:r>
              <w:t>取暖补贴发放标准</w:t>
            </w:r>
          </w:p>
        </w:tc>
        <w:tc>
          <w:tcPr>
            <w:tcW w:w="2551" w:type="dxa"/>
            <w:noWrap w:val="0"/>
            <w:vAlign w:val="center"/>
          </w:tcPr>
          <w:p>
            <w:pPr>
              <w:pStyle w:val="13"/>
            </w:pPr>
            <w:r>
              <w:t>≤800元/人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≥95%</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39、优抚对象医疗补助绩效目标表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补助人数</w:t>
            </w:r>
          </w:p>
        </w:tc>
        <w:tc>
          <w:tcPr>
            <w:tcW w:w="2835" w:type="dxa"/>
            <w:noWrap w:val="0"/>
            <w:vAlign w:val="center"/>
          </w:tcPr>
          <w:p>
            <w:pPr>
              <w:pStyle w:val="13"/>
            </w:pPr>
            <w:r>
              <w:t>优抚对象医疗补助人数</w:t>
            </w:r>
          </w:p>
        </w:tc>
        <w:tc>
          <w:tcPr>
            <w:tcW w:w="2551" w:type="dxa"/>
            <w:noWrap w:val="0"/>
            <w:vAlign w:val="center"/>
          </w:tcPr>
          <w:p>
            <w:pPr>
              <w:pStyle w:val="13"/>
            </w:pPr>
            <w:r>
              <w:t>≥300人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准确率</w:t>
            </w:r>
          </w:p>
        </w:tc>
        <w:tc>
          <w:tcPr>
            <w:tcW w:w="2835" w:type="dxa"/>
            <w:noWrap w:val="0"/>
            <w:vAlign w:val="center"/>
          </w:tcPr>
          <w:p>
            <w:pPr>
              <w:pStyle w:val="13"/>
            </w:pPr>
            <w:r>
              <w:t>符合医疗补助标准的准确率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补助资金拨付及时性</w:t>
            </w:r>
          </w:p>
        </w:tc>
        <w:tc>
          <w:tcPr>
            <w:tcW w:w="2551" w:type="dxa"/>
            <w:noWrap w:val="0"/>
            <w:vAlign w:val="center"/>
          </w:tcPr>
          <w:p>
            <w:pPr>
              <w:pStyle w:val="13"/>
            </w:pPr>
            <w:r>
              <w:t>按时拨付</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人均成本</w:t>
            </w:r>
          </w:p>
        </w:tc>
        <w:tc>
          <w:tcPr>
            <w:tcW w:w="2835" w:type="dxa"/>
            <w:noWrap w:val="0"/>
            <w:vAlign w:val="center"/>
          </w:tcPr>
          <w:p>
            <w:pPr>
              <w:pStyle w:val="13"/>
            </w:pPr>
            <w:r>
              <w:t>每年每人补助成本</w:t>
            </w:r>
          </w:p>
        </w:tc>
        <w:tc>
          <w:tcPr>
            <w:tcW w:w="2551" w:type="dxa"/>
            <w:noWrap w:val="0"/>
            <w:vAlign w:val="center"/>
          </w:tcPr>
          <w:p>
            <w:pPr>
              <w:pStyle w:val="13"/>
            </w:pPr>
            <w:r>
              <w:t>≤5000元/人、次</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40、在乡复退军人定补绩效目标表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2.确保优抚对象合法权益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抚恤补助发放人数</w:t>
            </w:r>
          </w:p>
        </w:tc>
        <w:tc>
          <w:tcPr>
            <w:tcW w:w="2551" w:type="dxa"/>
            <w:noWrap w:val="0"/>
            <w:vAlign w:val="center"/>
          </w:tcPr>
          <w:p>
            <w:pPr>
              <w:pStyle w:val="13"/>
            </w:pPr>
            <w:r>
              <w:t>≥7900人</w:t>
            </w:r>
          </w:p>
        </w:tc>
        <w:tc>
          <w:tcPr>
            <w:tcW w:w="2268" w:type="dxa"/>
            <w:noWrap w:val="0"/>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2835" w:type="dxa"/>
            <w:noWrap w:val="0"/>
            <w:vAlign w:val="center"/>
          </w:tcPr>
          <w:p>
            <w:pPr>
              <w:pStyle w:val="13"/>
            </w:pPr>
            <w:r>
              <w:t>经费足额拨付率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每月15日前</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每月成本</w:t>
            </w:r>
          </w:p>
        </w:tc>
        <w:tc>
          <w:tcPr>
            <w:tcW w:w="2835" w:type="dxa"/>
            <w:noWrap w:val="0"/>
            <w:vAlign w:val="center"/>
          </w:tcPr>
          <w:p>
            <w:pPr>
              <w:pStyle w:val="13"/>
            </w:pPr>
            <w:r>
              <w:t>投入优待抚恤的人均成本</w:t>
            </w:r>
          </w:p>
        </w:tc>
        <w:tc>
          <w:tcPr>
            <w:tcW w:w="2551" w:type="dxa"/>
            <w:noWrap w:val="0"/>
            <w:vAlign w:val="center"/>
          </w:tcPr>
          <w:p>
            <w:pPr>
              <w:pStyle w:val="13"/>
            </w:pPr>
            <w:r>
              <w:t>≤2000元/人、月</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优抚对象生活情况</w:t>
            </w:r>
          </w:p>
        </w:tc>
        <w:tc>
          <w:tcPr>
            <w:tcW w:w="2551" w:type="dxa"/>
            <w:noWrap w:val="0"/>
            <w:vAlign w:val="center"/>
          </w:tcPr>
          <w:p>
            <w:pPr>
              <w:pStyle w:val="13"/>
            </w:pPr>
            <w:r>
              <w:t>有效改善</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优抚对象满意度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pPr>
    </w:p>
    <w:p>
      <w:pPr>
        <w:pStyle w:val="11"/>
        <w:ind w:firstLine="560"/>
      </w:pPr>
      <w:r>
        <w:rPr>
          <w:rFonts w:ascii="方正仿宋_GBK" w:hAnsi="方正仿宋_GBK" w:eastAsia="方正仿宋_GBK" w:cs="方正仿宋_GBK"/>
          <w:b/>
          <w:color w:val="000000"/>
          <w:sz w:val="28"/>
        </w:rPr>
        <w:t>41、自主就业退役士兵一次性经济补助资金绩效目标表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2.确保退役士兵合法权益</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发放人数</w:t>
            </w:r>
          </w:p>
        </w:tc>
        <w:tc>
          <w:tcPr>
            <w:tcW w:w="2835" w:type="dxa"/>
            <w:noWrap w:val="0"/>
            <w:vAlign w:val="center"/>
          </w:tcPr>
          <w:p>
            <w:pPr>
              <w:pStyle w:val="13"/>
            </w:pPr>
            <w:r>
              <w:t>发放自主就业退役士兵补助人数</w:t>
            </w:r>
          </w:p>
        </w:tc>
        <w:tc>
          <w:tcPr>
            <w:tcW w:w="2551" w:type="dxa"/>
            <w:noWrap w:val="0"/>
            <w:vAlign w:val="center"/>
          </w:tcPr>
          <w:p>
            <w:pPr>
              <w:pStyle w:val="13"/>
            </w:pPr>
            <w:r>
              <w:t>≥260人</w:t>
            </w:r>
          </w:p>
        </w:tc>
        <w:tc>
          <w:tcPr>
            <w:tcW w:w="2268" w:type="dxa"/>
            <w:noWrap w:val="0"/>
            <w:vAlign w:val="center"/>
          </w:tcPr>
          <w:p>
            <w:pPr>
              <w:pStyle w:val="13"/>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补助率</w:t>
            </w:r>
          </w:p>
        </w:tc>
        <w:tc>
          <w:tcPr>
            <w:tcW w:w="2835" w:type="dxa"/>
            <w:noWrap w:val="0"/>
            <w:vAlign w:val="center"/>
          </w:tcPr>
          <w:p>
            <w:pPr>
              <w:pStyle w:val="13"/>
            </w:pPr>
            <w:r>
              <w:t>自主就业补助发放率</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补助发放时间的及时性</w:t>
            </w:r>
          </w:p>
        </w:tc>
        <w:tc>
          <w:tcPr>
            <w:tcW w:w="2551" w:type="dxa"/>
            <w:noWrap w:val="0"/>
            <w:vAlign w:val="center"/>
          </w:tcPr>
          <w:p>
            <w:pPr>
              <w:pStyle w:val="13"/>
            </w:pPr>
            <w:r>
              <w:t>7月底完成</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补助成本</w:t>
            </w:r>
          </w:p>
        </w:tc>
        <w:tc>
          <w:tcPr>
            <w:tcW w:w="2835" w:type="dxa"/>
            <w:noWrap w:val="0"/>
            <w:vAlign w:val="center"/>
          </w:tcPr>
          <w:p>
            <w:pPr>
              <w:pStyle w:val="13"/>
            </w:pPr>
            <w:r>
              <w:t>发放自主就业金的成本</w:t>
            </w:r>
          </w:p>
        </w:tc>
        <w:tc>
          <w:tcPr>
            <w:tcW w:w="2551" w:type="dxa"/>
            <w:noWrap w:val="0"/>
            <w:vAlign w:val="center"/>
          </w:tcPr>
          <w:p>
            <w:pPr>
              <w:pStyle w:val="13"/>
            </w:pPr>
            <w:r>
              <w:t>≤46895元/人</w:t>
            </w:r>
          </w:p>
        </w:tc>
        <w:tc>
          <w:tcPr>
            <w:tcW w:w="2268" w:type="dxa"/>
            <w:noWrap w:val="0"/>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自主就业退役士兵生活情况</w:t>
            </w:r>
          </w:p>
        </w:tc>
        <w:tc>
          <w:tcPr>
            <w:tcW w:w="2551" w:type="dxa"/>
            <w:noWrap w:val="0"/>
            <w:vAlign w:val="center"/>
          </w:tcPr>
          <w:p>
            <w:pPr>
              <w:pStyle w:val="13"/>
            </w:pPr>
            <w:r>
              <w:t>有效改善</w:t>
            </w:r>
          </w:p>
        </w:tc>
        <w:tc>
          <w:tcPr>
            <w:tcW w:w="2268" w:type="dxa"/>
            <w:noWrap w:val="0"/>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服务对象满意度</w:t>
            </w:r>
          </w:p>
        </w:tc>
        <w:tc>
          <w:tcPr>
            <w:tcW w:w="2551" w:type="dxa"/>
            <w:noWrap w:val="0"/>
            <w:vAlign w:val="center"/>
          </w:tcPr>
          <w:p>
            <w:pPr>
              <w:pStyle w:val="13"/>
            </w:pPr>
            <w:r>
              <w:t>≥90%</w:t>
            </w:r>
          </w:p>
        </w:tc>
        <w:tc>
          <w:tcPr>
            <w:tcW w:w="2268" w:type="dxa"/>
            <w:noWrap w:val="0"/>
            <w:vAlign w:val="center"/>
          </w:tcPr>
          <w:p>
            <w:pPr>
              <w:pStyle w:val="13"/>
            </w:pPr>
            <w:r>
              <w:t>调查问卷</w:t>
            </w:r>
          </w:p>
        </w:tc>
      </w:tr>
    </w:tbl>
    <w:p>
      <w:pPr>
        <w:pStyle w:val="11"/>
      </w:pPr>
    </w:p>
    <w:p>
      <w:pPr>
        <w:pStyle w:val="11"/>
        <w:ind w:firstLine="560"/>
      </w:pPr>
      <w:r>
        <w:rPr>
          <w:rFonts w:ascii="方正仿宋_GBK" w:hAnsi="方正仿宋_GBK" w:eastAsia="方正仿宋_GBK" w:cs="方正仿宋_GBK"/>
          <w:b/>
          <w:color w:val="000000"/>
          <w:sz w:val="28"/>
        </w:rPr>
        <w:t>42、自主就业退役士兵职业技能培训费及招聘会费用绩效目标表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3"/>
            </w:pPr>
            <w:r>
              <w:t>1.按规定时限申请拨付资金</w:t>
            </w:r>
          </w:p>
          <w:p>
            <w:pPr>
              <w:pStyle w:val="13"/>
            </w:pPr>
            <w:r>
              <w:t>2.保障工作顺利进行</w:t>
            </w:r>
          </w:p>
        </w:tc>
      </w:tr>
    </w:tbl>
    <w:p>
      <w:pPr>
        <w:pStyle w:val="11"/>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培训人数</w:t>
            </w:r>
          </w:p>
        </w:tc>
        <w:tc>
          <w:tcPr>
            <w:tcW w:w="2835" w:type="dxa"/>
            <w:noWrap w:val="0"/>
            <w:vAlign w:val="center"/>
          </w:tcPr>
          <w:p>
            <w:pPr>
              <w:pStyle w:val="13"/>
            </w:pPr>
            <w:r>
              <w:t>参加技能培训及招聘会退役士兵人数</w:t>
            </w:r>
          </w:p>
        </w:tc>
        <w:tc>
          <w:tcPr>
            <w:tcW w:w="2551" w:type="dxa"/>
            <w:noWrap w:val="0"/>
            <w:vAlign w:val="center"/>
          </w:tcPr>
          <w:p>
            <w:pPr>
              <w:pStyle w:val="13"/>
            </w:pPr>
            <w:r>
              <w:t>≥200人</w:t>
            </w:r>
          </w:p>
        </w:tc>
        <w:tc>
          <w:tcPr>
            <w:tcW w:w="2268" w:type="dxa"/>
            <w:noWrap w:val="0"/>
            <w:vAlign w:val="center"/>
          </w:tcPr>
          <w:p>
            <w:pPr>
              <w:pStyle w:val="13"/>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质量指标</w:t>
            </w:r>
          </w:p>
        </w:tc>
        <w:tc>
          <w:tcPr>
            <w:tcW w:w="2835" w:type="dxa"/>
            <w:noWrap w:val="0"/>
            <w:vAlign w:val="center"/>
          </w:tcPr>
          <w:p>
            <w:pPr>
              <w:pStyle w:val="13"/>
            </w:pPr>
            <w:r>
              <w:t>合格率</w:t>
            </w:r>
          </w:p>
        </w:tc>
        <w:tc>
          <w:tcPr>
            <w:tcW w:w="2835" w:type="dxa"/>
            <w:noWrap w:val="0"/>
            <w:vAlign w:val="center"/>
          </w:tcPr>
          <w:p>
            <w:pPr>
              <w:pStyle w:val="13"/>
            </w:pPr>
            <w:r>
              <w:t>培训合格人员的比例</w:t>
            </w:r>
          </w:p>
        </w:tc>
        <w:tc>
          <w:tcPr>
            <w:tcW w:w="2551" w:type="dxa"/>
            <w:noWrap w:val="0"/>
            <w:vAlign w:val="center"/>
          </w:tcPr>
          <w:p>
            <w:pPr>
              <w:pStyle w:val="13"/>
            </w:pPr>
            <w:r>
              <w:t>≥95%</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时效指标</w:t>
            </w:r>
          </w:p>
        </w:tc>
        <w:tc>
          <w:tcPr>
            <w:tcW w:w="2835" w:type="dxa"/>
            <w:noWrap w:val="0"/>
            <w:vAlign w:val="center"/>
          </w:tcPr>
          <w:p>
            <w:pPr>
              <w:pStyle w:val="13"/>
            </w:pPr>
            <w:r>
              <w:t>及时性</w:t>
            </w:r>
          </w:p>
        </w:tc>
        <w:tc>
          <w:tcPr>
            <w:tcW w:w="2835" w:type="dxa"/>
            <w:noWrap w:val="0"/>
            <w:vAlign w:val="center"/>
          </w:tcPr>
          <w:p>
            <w:pPr>
              <w:pStyle w:val="13"/>
            </w:pPr>
            <w:r>
              <w:t>经费拨付时间的及时性</w:t>
            </w:r>
          </w:p>
        </w:tc>
        <w:tc>
          <w:tcPr>
            <w:tcW w:w="2551" w:type="dxa"/>
            <w:noWrap w:val="0"/>
            <w:vAlign w:val="center"/>
          </w:tcPr>
          <w:p>
            <w:pPr>
              <w:pStyle w:val="13"/>
            </w:pPr>
            <w:r>
              <w:t>12月底完成</w:t>
            </w:r>
          </w:p>
        </w:tc>
        <w:tc>
          <w:tcPr>
            <w:tcW w:w="2268" w:type="dxa"/>
            <w:noWrap w:val="0"/>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1"/>
            </w:pPr>
          </w:p>
        </w:tc>
        <w:tc>
          <w:tcPr>
            <w:tcW w:w="2268" w:type="dxa"/>
            <w:noWrap w:val="0"/>
            <w:vAlign w:val="center"/>
          </w:tcPr>
          <w:p>
            <w:pPr>
              <w:pStyle w:val="13"/>
            </w:pPr>
            <w:r>
              <w:t>成本指标</w:t>
            </w:r>
          </w:p>
        </w:tc>
        <w:tc>
          <w:tcPr>
            <w:tcW w:w="2835" w:type="dxa"/>
            <w:noWrap w:val="0"/>
            <w:vAlign w:val="center"/>
          </w:tcPr>
          <w:p>
            <w:pPr>
              <w:pStyle w:val="13"/>
            </w:pPr>
            <w:r>
              <w:t>人均培训成本</w:t>
            </w:r>
          </w:p>
        </w:tc>
        <w:tc>
          <w:tcPr>
            <w:tcW w:w="2835" w:type="dxa"/>
            <w:noWrap w:val="0"/>
            <w:vAlign w:val="center"/>
          </w:tcPr>
          <w:p>
            <w:pPr>
              <w:pStyle w:val="13"/>
            </w:pPr>
            <w:r>
              <w:t>每人完成培训的成本</w:t>
            </w:r>
          </w:p>
        </w:tc>
        <w:tc>
          <w:tcPr>
            <w:tcW w:w="2551" w:type="dxa"/>
            <w:noWrap w:val="0"/>
            <w:vAlign w:val="center"/>
          </w:tcPr>
          <w:p>
            <w:pPr>
              <w:pStyle w:val="13"/>
            </w:pPr>
            <w:r>
              <w:t>≤375元/人、次</w:t>
            </w:r>
          </w:p>
        </w:tc>
        <w:tc>
          <w:tcPr>
            <w:tcW w:w="2268" w:type="dxa"/>
            <w:noWrap w:val="0"/>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社会稳定水平</w:t>
            </w:r>
          </w:p>
        </w:tc>
        <w:tc>
          <w:tcPr>
            <w:tcW w:w="2835" w:type="dxa"/>
            <w:noWrap w:val="0"/>
            <w:vAlign w:val="center"/>
          </w:tcPr>
          <w:p>
            <w:pPr>
              <w:pStyle w:val="13"/>
            </w:pPr>
            <w:r>
              <w:t>促进社会稳定水平逐步提高</w:t>
            </w:r>
          </w:p>
        </w:tc>
        <w:tc>
          <w:tcPr>
            <w:tcW w:w="2551" w:type="dxa"/>
            <w:noWrap w:val="0"/>
            <w:vAlign w:val="center"/>
          </w:tcPr>
          <w:p>
            <w:pPr>
              <w:pStyle w:val="13"/>
            </w:pPr>
            <w:r>
              <w:t>效果显著</w:t>
            </w:r>
          </w:p>
        </w:tc>
        <w:tc>
          <w:tcPr>
            <w:tcW w:w="2268" w:type="dxa"/>
            <w:noWrap w:val="0"/>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自主就业退役士兵满意度</w:t>
            </w:r>
          </w:p>
        </w:tc>
        <w:tc>
          <w:tcPr>
            <w:tcW w:w="2551" w:type="dxa"/>
            <w:noWrap w:val="0"/>
            <w:vAlign w:val="center"/>
          </w:tcPr>
          <w:p>
            <w:pPr>
              <w:pStyle w:val="13"/>
            </w:pPr>
            <w:r>
              <w:t>≥90%</w:t>
            </w:r>
          </w:p>
        </w:tc>
        <w:tc>
          <w:tcPr>
            <w:tcW w:w="2268" w:type="dxa"/>
            <w:noWrap w:val="0"/>
            <w:vAlign w:val="center"/>
          </w:tcPr>
          <w:p>
            <w:pPr>
              <w:pStyle w:val="13"/>
            </w:pPr>
            <w:r>
              <w:t>问卷调查</w:t>
            </w:r>
          </w:p>
        </w:tc>
      </w:tr>
    </w:tbl>
    <w:p>
      <w:pPr>
        <w:pStyle w:val="11"/>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2022年，丰润区退役军人事务局本级安排政府采购预算0.00万元。具体内容见下表。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5"/>
            </w:pPr>
            <w:r>
              <w:t>321001丰润区退役军人事务局本级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5"/>
            </w:pPr>
            <w:r>
              <w:t>政府采购项目来源</w:t>
            </w:r>
          </w:p>
        </w:tc>
        <w:tc>
          <w:tcPr>
            <w:tcW w:w="1134" w:type="dxa"/>
            <w:vMerge w:val="restart"/>
            <w:noWrap w:val="0"/>
            <w:vAlign w:val="center"/>
          </w:tcPr>
          <w:p>
            <w:pPr>
              <w:pStyle w:val="5"/>
            </w:pPr>
            <w:r>
              <w:t>采购物品名称</w:t>
            </w:r>
          </w:p>
        </w:tc>
        <w:tc>
          <w:tcPr>
            <w:tcW w:w="1134" w:type="dxa"/>
            <w:vMerge w:val="restart"/>
            <w:noWrap w:val="0"/>
            <w:vAlign w:val="center"/>
          </w:tcPr>
          <w:p>
            <w:pPr>
              <w:pStyle w:val="5"/>
            </w:pPr>
            <w:r>
              <w:t>政府采购目录序号</w:t>
            </w:r>
          </w:p>
        </w:tc>
        <w:tc>
          <w:tcPr>
            <w:tcW w:w="709" w:type="dxa"/>
            <w:vMerge w:val="restart"/>
            <w:noWrap w:val="0"/>
            <w:vAlign w:val="center"/>
          </w:tcPr>
          <w:p>
            <w:pPr>
              <w:pStyle w:val="5"/>
            </w:pPr>
            <w:r>
              <w:t>计量  单位</w:t>
            </w:r>
          </w:p>
        </w:tc>
        <w:tc>
          <w:tcPr>
            <w:tcW w:w="850" w:type="dxa"/>
            <w:vMerge w:val="restart"/>
            <w:noWrap w:val="0"/>
            <w:vAlign w:val="center"/>
          </w:tcPr>
          <w:p>
            <w:pPr>
              <w:pStyle w:val="5"/>
            </w:pPr>
            <w:r>
              <w:t>数量</w:t>
            </w:r>
          </w:p>
        </w:tc>
        <w:tc>
          <w:tcPr>
            <w:tcW w:w="850" w:type="dxa"/>
            <w:vMerge w:val="restart"/>
            <w:noWrap w:val="0"/>
            <w:vAlign w:val="center"/>
          </w:tcPr>
          <w:p>
            <w:pPr>
              <w:pStyle w:val="5"/>
            </w:pPr>
            <w:r>
              <w:t>单价</w:t>
            </w:r>
          </w:p>
        </w:tc>
        <w:tc>
          <w:tcPr>
            <w:tcW w:w="7710" w:type="dxa"/>
            <w:gridSpan w:val="8"/>
            <w:noWrap w:val="0"/>
            <w:vAlign w:val="center"/>
          </w:tcPr>
          <w:p>
            <w:pPr>
              <w:pStyle w:val="5"/>
            </w:pPr>
            <w:r>
              <w:t>政府采购金额（当年部门预算安排资金）</w:t>
            </w:r>
          </w:p>
        </w:tc>
        <w:tc>
          <w:tcPr>
            <w:tcW w:w="964" w:type="dxa"/>
            <w:vMerge w:val="restart"/>
            <w:noWrap w:val="0"/>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5"/>
            </w:pPr>
            <w:r>
              <w:t>项目名称</w:t>
            </w:r>
          </w:p>
        </w:tc>
        <w:tc>
          <w:tcPr>
            <w:tcW w:w="964" w:type="dxa"/>
            <w:noWrap w:val="0"/>
            <w:vAlign w:val="center"/>
          </w:tcPr>
          <w:p>
            <w:pPr>
              <w:pStyle w:val="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5"/>
            </w:pPr>
            <w:r>
              <w:t>合计</w:t>
            </w:r>
          </w:p>
        </w:tc>
        <w:tc>
          <w:tcPr>
            <w:tcW w:w="964" w:type="dxa"/>
            <w:noWrap w:val="0"/>
            <w:vAlign w:val="center"/>
          </w:tcPr>
          <w:p>
            <w:pPr>
              <w:pStyle w:val="5"/>
            </w:pPr>
            <w:r>
              <w:t>一般公共预算拨款</w:t>
            </w:r>
          </w:p>
        </w:tc>
        <w:tc>
          <w:tcPr>
            <w:tcW w:w="964" w:type="dxa"/>
            <w:noWrap w:val="0"/>
            <w:vAlign w:val="center"/>
          </w:tcPr>
          <w:p>
            <w:pPr>
              <w:pStyle w:val="5"/>
            </w:pPr>
            <w:r>
              <w:t>基金预算拨款</w:t>
            </w:r>
          </w:p>
        </w:tc>
        <w:tc>
          <w:tcPr>
            <w:tcW w:w="964" w:type="dxa"/>
            <w:noWrap w:val="0"/>
            <w:vAlign w:val="center"/>
          </w:tcPr>
          <w:p>
            <w:pPr>
              <w:pStyle w:val="5"/>
            </w:pPr>
            <w:r>
              <w:t>国有资本经营预算拨款</w:t>
            </w:r>
          </w:p>
        </w:tc>
        <w:tc>
          <w:tcPr>
            <w:tcW w:w="964" w:type="dxa"/>
            <w:noWrap w:val="0"/>
            <w:vAlign w:val="center"/>
          </w:tcPr>
          <w:p>
            <w:pPr>
              <w:pStyle w:val="5"/>
            </w:pPr>
            <w:r>
              <w:t>财政专户核拨</w:t>
            </w:r>
          </w:p>
        </w:tc>
        <w:tc>
          <w:tcPr>
            <w:tcW w:w="964" w:type="dxa"/>
            <w:noWrap w:val="0"/>
            <w:vAlign w:val="center"/>
          </w:tcPr>
          <w:p>
            <w:pPr>
              <w:pStyle w:val="5"/>
            </w:pPr>
            <w:r>
              <w:t>单位    资金</w:t>
            </w:r>
          </w:p>
        </w:tc>
        <w:tc>
          <w:tcPr>
            <w:tcW w:w="964" w:type="dxa"/>
            <w:noWrap w:val="0"/>
            <w:vAlign w:val="center"/>
          </w:tcPr>
          <w:p>
            <w:pPr>
              <w:pStyle w:val="5"/>
            </w:pPr>
            <w:r>
              <w:t>财政拨    款结转</w:t>
            </w:r>
          </w:p>
        </w:tc>
        <w:tc>
          <w:tcPr>
            <w:tcW w:w="964" w:type="dxa"/>
            <w:noWrap w:val="0"/>
            <w:vAlign w:val="center"/>
          </w:tcPr>
          <w:p>
            <w:pPr>
              <w:pStyle w:val="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6"/>
            </w:pPr>
          </w:p>
        </w:tc>
        <w:tc>
          <w:tcPr>
            <w:tcW w:w="964" w:type="dxa"/>
            <w:noWrap w:val="0"/>
            <w:vAlign w:val="center"/>
          </w:tcPr>
          <w:p>
            <w:pPr>
              <w:pStyle w:val="17"/>
            </w:pPr>
          </w:p>
        </w:tc>
        <w:tc>
          <w:tcPr>
            <w:tcW w:w="1134" w:type="dxa"/>
            <w:noWrap w:val="0"/>
            <w:vAlign w:val="center"/>
          </w:tcPr>
          <w:p>
            <w:pPr>
              <w:pStyle w:val="6"/>
            </w:pPr>
          </w:p>
        </w:tc>
        <w:tc>
          <w:tcPr>
            <w:tcW w:w="1134" w:type="dxa"/>
            <w:noWrap w:val="0"/>
            <w:vAlign w:val="center"/>
          </w:tcPr>
          <w:p>
            <w:pPr>
              <w:pStyle w:val="6"/>
            </w:pPr>
          </w:p>
        </w:tc>
        <w:tc>
          <w:tcPr>
            <w:tcW w:w="709" w:type="dxa"/>
            <w:noWrap w:val="0"/>
            <w:vAlign w:val="center"/>
          </w:tcPr>
          <w:p>
            <w:pPr>
              <w:pStyle w:val="7"/>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丰润区退役军人事务局本级</w:t>
      </w:r>
      <w:r>
        <w:rPr>
          <w:rFonts w:hint="eastAsia" w:eastAsia="方正仿宋_GBK"/>
          <w:color w:val="000000"/>
          <w:sz w:val="28"/>
          <w:lang w:val="en-US" w:eastAsia="zh-CN"/>
        </w:rPr>
        <w:t>2021</w:t>
      </w:r>
      <w:r>
        <w:rPr>
          <w:rFonts w:eastAsia="方正仿宋_GBK"/>
          <w:color w:val="000000"/>
          <w:sz w:val="28"/>
        </w:rPr>
        <w:t>年末固定资产金额为</w:t>
      </w:r>
      <w:r>
        <w:rPr>
          <w:rFonts w:hint="eastAsia" w:eastAsia="方正仿宋_GBK"/>
          <w:color w:val="000000"/>
          <w:sz w:val="28"/>
          <w:lang w:val="en-US" w:eastAsia="zh-CN"/>
        </w:rPr>
        <w:t>88.67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pPr>
            <w:r>
              <w:t>321001丰润区退役军人事务局本级</w:t>
            </w:r>
          </w:p>
        </w:tc>
        <w:tc>
          <w:tcPr>
            <w:tcW w:w="5670" w:type="dxa"/>
            <w:gridSpan w:val="2"/>
            <w:tcBorders>
              <w:top w:val="single" w:color="FFFFFF" w:sz="6" w:space="0"/>
              <w:left w:val="single" w:color="FFFFFF" w:sz="6" w:space="0"/>
              <w:right w:val="single" w:color="FFFFFF" w:sz="6" w:space="0"/>
            </w:tcBorders>
            <w:noWrap w:val="0"/>
            <w:vAlign w:val="center"/>
          </w:tcPr>
          <w:p>
            <w:pPr>
              <w:pStyle w:val="1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5"/>
            </w:pPr>
            <w:r>
              <w:t>项   目</w:t>
            </w:r>
          </w:p>
        </w:tc>
        <w:tc>
          <w:tcPr>
            <w:tcW w:w="2835" w:type="dxa"/>
            <w:noWrap w:val="0"/>
            <w:vAlign w:val="center"/>
          </w:tcPr>
          <w:p>
            <w:pPr>
              <w:pStyle w:val="5"/>
            </w:pPr>
            <w:r>
              <w:t>数量</w:t>
            </w:r>
          </w:p>
        </w:tc>
        <w:tc>
          <w:tcPr>
            <w:tcW w:w="2835" w:type="dxa"/>
            <w:noWrap w:val="0"/>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固定资产总额：</w:t>
            </w:r>
          </w:p>
        </w:tc>
        <w:tc>
          <w:tcPr>
            <w:tcW w:w="2835" w:type="dxa"/>
            <w:noWrap w:val="0"/>
            <w:vAlign w:val="center"/>
          </w:tcPr>
          <w:p>
            <w:pPr>
              <w:pStyle w:val="7"/>
            </w:pPr>
          </w:p>
        </w:tc>
        <w:tc>
          <w:tcPr>
            <w:tcW w:w="2835" w:type="dxa"/>
            <w:noWrap w:val="0"/>
            <w:vAlign w:val="center"/>
          </w:tcPr>
          <w:p>
            <w:pPr>
              <w:pStyle w:val="17"/>
              <w:rPr>
                <w:rFonts w:hint="default" w:eastAsia="方正书宋_GBK"/>
                <w:lang w:val="en-US" w:eastAsia="zh-CN"/>
              </w:rPr>
            </w:pPr>
            <w:r>
              <w:rPr>
                <w:rFonts w:hint="eastAsia"/>
                <w:lang w:val="en-US" w:eastAsia="zh-CN"/>
              </w:rPr>
              <w:t>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1、房屋（平方米）</w:t>
            </w:r>
          </w:p>
        </w:tc>
        <w:tc>
          <w:tcPr>
            <w:tcW w:w="2835" w:type="dxa"/>
            <w:noWrap w:val="0"/>
            <w:vAlign w:val="center"/>
          </w:tcPr>
          <w:p>
            <w:pPr>
              <w:pStyle w:val="7"/>
            </w:pPr>
          </w:p>
        </w:tc>
        <w:tc>
          <w:tcPr>
            <w:tcW w:w="2835"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2、车辆（台、辆）</w:t>
            </w:r>
          </w:p>
        </w:tc>
        <w:tc>
          <w:tcPr>
            <w:tcW w:w="2835" w:type="dxa"/>
            <w:noWrap w:val="0"/>
            <w:vAlign w:val="center"/>
          </w:tcPr>
          <w:p>
            <w:pPr>
              <w:pStyle w:val="7"/>
              <w:rPr>
                <w:rFonts w:hint="eastAsia" w:eastAsia="方正书宋_GBK"/>
                <w:lang w:val="en-US" w:eastAsia="zh-CN"/>
              </w:rPr>
            </w:pPr>
            <w:r>
              <w:rPr>
                <w:rFonts w:hint="eastAsia"/>
                <w:lang w:val="en-US" w:eastAsia="zh-CN"/>
              </w:rPr>
              <w:t>1</w:t>
            </w:r>
          </w:p>
        </w:tc>
        <w:tc>
          <w:tcPr>
            <w:tcW w:w="2835" w:type="dxa"/>
            <w:noWrap w:val="0"/>
            <w:vAlign w:val="center"/>
          </w:tcPr>
          <w:p>
            <w:pPr>
              <w:pStyle w:val="17"/>
              <w:rPr>
                <w:rFonts w:hint="default" w:eastAsia="方正书宋_GBK"/>
                <w:lang w:val="en-US" w:eastAsia="zh-CN"/>
              </w:rPr>
            </w:pPr>
            <w:r>
              <w:rPr>
                <w:rFonts w:hint="eastAsia"/>
                <w:lang w:val="en-US"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3、单价在20万元以上设备</w:t>
            </w:r>
          </w:p>
        </w:tc>
        <w:tc>
          <w:tcPr>
            <w:tcW w:w="2835" w:type="dxa"/>
            <w:noWrap w:val="0"/>
            <w:vAlign w:val="center"/>
          </w:tcPr>
          <w:p>
            <w:pPr>
              <w:pStyle w:val="7"/>
            </w:pPr>
          </w:p>
        </w:tc>
        <w:tc>
          <w:tcPr>
            <w:tcW w:w="2835"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4、其他固定资产</w:t>
            </w:r>
          </w:p>
        </w:tc>
        <w:tc>
          <w:tcPr>
            <w:tcW w:w="2835" w:type="dxa"/>
            <w:noWrap w:val="0"/>
            <w:vAlign w:val="center"/>
          </w:tcPr>
          <w:p>
            <w:pPr>
              <w:pStyle w:val="7"/>
            </w:pPr>
          </w:p>
        </w:tc>
        <w:tc>
          <w:tcPr>
            <w:tcW w:w="2835" w:type="dxa"/>
            <w:noWrap w:val="0"/>
            <w:vAlign w:val="center"/>
          </w:tcPr>
          <w:p>
            <w:pPr>
              <w:pStyle w:val="17"/>
              <w:rPr>
                <w:rFonts w:hint="default" w:eastAsia="方正书宋_GBK"/>
                <w:lang w:val="en-US" w:eastAsia="zh-CN"/>
              </w:rPr>
            </w:pPr>
            <w:r>
              <w:rPr>
                <w:rFonts w:hint="eastAsia"/>
                <w:lang w:val="en-US" w:eastAsia="zh-CN"/>
              </w:rPr>
              <w:t>70.69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553F0BCB"/>
    <w:rsid w:val="51187586"/>
    <w:rsid w:val="553F0BCB"/>
    <w:rsid w:val="5772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Normal_b3022959-2c32-4e9d-88f3-bb255008c42d"/>
    <w:autoRedefine/>
    <w:qFormat/>
    <w:uiPriority w:val="0"/>
    <w:rPr>
      <w:rFonts w:ascii="Times New Roman" w:hAnsi="Times New Roman" w:eastAsia="Times New Roman" w:cs="Times New Roman"/>
      <w:sz w:val="24"/>
      <w:szCs w:val="24"/>
      <w:lang w:val="en-US" w:eastAsia="uk-UA" w:bidi="ar-SA"/>
    </w:rPr>
  </w:style>
  <w:style w:type="paragraph" w:customStyle="1" w:styleId="12">
    <w:name w:val="单元格样式1_9cff3205-76d0-4d2d-b3f1-2c92e1688250"/>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2_bc0ca0dd-f6d7-4a52-9db9-288f1c06e30a"/>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_8d19736e-7681-4715-b75e-0aa8f25b4a52"/>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2022-06-20T09:10:00Z</dcterms:created>
  <dc:creator>风清云淡</dc:creator>
  <cp:lastModifiedBy>风清云淡</cp:lastModifiedBy>
  <dcterms:modified xsi:type="dcterms:W3CDTF">2024-03-20T02:37:22Z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68F298D6567A40939837FFBE168B7B90</vt:lpwstr>
  </property>
</Properties>
</file>