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唐山市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丰润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>腰岱山国营林场</w:t>
      </w:r>
      <w:r>
        <w:rPr>
          <w:rFonts w:ascii="方正小标宋_GBK" w:hAnsi="方正小标宋_GBK" w:eastAsia="方正小标宋_GBK" w:cs="方正小标宋_GBK"/>
          <w:color w:val="000000"/>
          <w:sz w:val="44"/>
        </w:rPr>
        <w:t>2023年部门预算信息公开情况说明</w:t>
      </w:r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按照《</w:t>
      </w:r>
      <w:r>
        <w:rPr>
          <w:rFonts w:hint="eastAsia" w:eastAsia="方正仿宋_GBK" w:cs="Times New Roman"/>
          <w:color w:val="000000"/>
          <w:sz w:val="28"/>
          <w:lang w:eastAsia="zh-CN"/>
        </w:rPr>
        <w:t>中华人民共和国</w:t>
      </w:r>
      <w:r>
        <w:rPr>
          <w:rFonts w:eastAsia="方正仿宋_GBK" w:cs="Times New Roman"/>
          <w:color w:val="000000"/>
          <w:sz w:val="28"/>
        </w:rPr>
        <w:t>预算法》、《地方预决算公开操作规程》和《关于进一步推进预算公开工作的实施意见》规定，现将唐山市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val="en-US" w:eastAsia="zh-CN"/>
        </w:rPr>
        <w:t>腰岱山国营林场</w:t>
      </w:r>
      <w:r>
        <w:rPr>
          <w:rFonts w:eastAsia="方正仿宋_GBK" w:cs="Times New Roman"/>
          <w:color w:val="000000"/>
          <w:sz w:val="28"/>
        </w:rPr>
        <w:t>2023年部门预算公开如下：</w:t>
      </w:r>
    </w:p>
    <w:p>
      <w:pPr>
        <w:spacing w:before="10" w:after="10" w:line="360" w:lineRule="auto"/>
        <w:ind w:firstLine="640"/>
        <w:outlineLvl w:val="2"/>
      </w:pPr>
      <w:bookmarkStart w:id="0" w:name="_Toc_3_3_0000000010"/>
      <w:r>
        <w:rPr>
          <w:rFonts w:ascii="黑体" w:hAnsi="黑体" w:eastAsia="黑体" w:cs="黑体"/>
          <w:color w:val="000000"/>
          <w:sz w:val="32"/>
        </w:rPr>
        <w:t>一、部门职责及机构设置情况</w:t>
      </w:r>
      <w:bookmarkEnd w:id="0"/>
      <w:bookmarkStart w:id="4" w:name="_GoBack"/>
      <w:bookmarkEnd w:id="4"/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部门职责：</w:t>
      </w:r>
    </w:p>
    <w:p>
      <w:pPr>
        <w:pStyle w:val="4"/>
      </w:pPr>
      <w:r>
        <w:t>(1)</w:t>
      </w:r>
      <w:r>
        <w:rPr>
          <w:rFonts w:hint="eastAsia"/>
          <w:lang w:val="en-US" w:eastAsia="zh-CN"/>
        </w:rPr>
        <w:t>组织实施国家、省、市关于林业工作的方针、政策、法律、法规并负责监督检查；研究拟定林场林业生态环境建设、森林资源保护、和林业产业发展的政策</w:t>
      </w:r>
      <w:r>
        <w:t>。</w:t>
      </w:r>
    </w:p>
    <w:p>
      <w:pPr>
        <w:pStyle w:val="4"/>
      </w:pPr>
      <w:r>
        <w:t>(2)</w:t>
      </w:r>
      <w:r>
        <w:rPr>
          <w:rFonts w:hint="eastAsia"/>
          <w:lang w:val="en-US" w:eastAsia="zh-CN"/>
        </w:rPr>
        <w:t>监管国有林业资产；管理区级林业资金，监督林业资金的管理和使用。</w:t>
      </w:r>
      <w:r>
        <w:t>。</w:t>
      </w:r>
    </w:p>
    <w:p>
      <w:pPr>
        <w:pStyle w:val="4"/>
      </w:pPr>
      <w:r>
        <w:t>(3)</w:t>
      </w:r>
      <w:r>
        <w:rPr>
          <w:rFonts w:hint="eastAsia"/>
          <w:lang w:val="en-US" w:eastAsia="zh-CN"/>
        </w:rPr>
        <w:t>组织林场森林防火工作；查处和依法打击破坏林业资源和野生动植物资源的各类行为。</w:t>
      </w:r>
    </w:p>
    <w:p>
      <w:pPr>
        <w:pStyle w:val="4"/>
      </w:pPr>
      <w:r>
        <w:t>(4)</w:t>
      </w:r>
      <w:r>
        <w:rPr>
          <w:rFonts w:hint="eastAsia"/>
          <w:lang w:val="en-US" w:eastAsia="zh-CN"/>
        </w:rPr>
        <w:t>承办农业农村局交办的其它事项</w:t>
      </w:r>
      <w:r>
        <w:t>。</w:t>
      </w:r>
    </w:p>
    <w:p>
      <w:pPr>
        <w:ind w:firstLine="640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机构设置：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部门机构设置情况</w:t>
      </w:r>
    </w:p>
    <w:tbl>
      <w:tblPr>
        <w:tblStyle w:val="2"/>
        <w:tblW w:w="134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9"/>
        <w:gridCol w:w="1843"/>
        <w:gridCol w:w="2126"/>
        <w:gridCol w:w="38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669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单位名称</w:t>
            </w:r>
          </w:p>
        </w:tc>
        <w:tc>
          <w:tcPr>
            <w:tcW w:w="1843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单位性质</w:t>
            </w:r>
          </w:p>
        </w:tc>
        <w:tc>
          <w:tcPr>
            <w:tcW w:w="212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单位规格</w:t>
            </w:r>
          </w:p>
        </w:tc>
        <w:tc>
          <w:tcPr>
            <w:tcW w:w="3827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669" w:type="dxa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唐山市</w:t>
            </w:r>
            <w:r>
              <w:rPr>
                <w:rFonts w:hint="eastAsia"/>
                <w:lang w:val="en-US" w:eastAsia="zh-CN"/>
              </w:rPr>
              <w:t>丰润</w:t>
            </w:r>
            <w:r>
              <w:rPr>
                <w:rFonts w:hint="default"/>
              </w:rPr>
              <w:t>区</w:t>
            </w:r>
            <w:r>
              <w:rPr>
                <w:rFonts w:hint="eastAsia"/>
                <w:lang w:val="en-US" w:eastAsia="zh-CN"/>
              </w:rPr>
              <w:t>腰岱山国营林场</w:t>
            </w:r>
            <w:r>
              <w:rPr>
                <w:rFonts w:hint="default"/>
              </w:rPr>
              <w:t>本级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事业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股</w:t>
            </w:r>
            <w:r>
              <w:rPr>
                <w:rFonts w:hint="default"/>
              </w:rPr>
              <w:t>级</w:t>
            </w:r>
          </w:p>
        </w:tc>
        <w:tc>
          <w:tcPr>
            <w:tcW w:w="3827" w:type="dxa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财政拨款</w:t>
            </w:r>
          </w:p>
        </w:tc>
      </w:tr>
    </w:tbl>
    <w:p>
      <w:pPr>
        <w:spacing w:before="10" w:after="10" w:line="360" w:lineRule="auto"/>
        <w:ind w:firstLine="640"/>
        <w:outlineLvl w:val="2"/>
      </w:pPr>
      <w:bookmarkStart w:id="1" w:name="_Toc_3_3_0000000011"/>
      <w:r>
        <w:rPr>
          <w:rFonts w:ascii="黑体" w:hAnsi="黑体" w:eastAsia="黑体" w:cs="黑体"/>
          <w:color w:val="000000"/>
          <w:sz w:val="32"/>
        </w:rPr>
        <w:t>二、部门预算安排的总体情况</w:t>
      </w:r>
      <w:bookmarkEnd w:id="1"/>
    </w:p>
    <w:p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按照预算管理有关规定，目前我省部门预算的编制实行综合预算管理，即全部收入和支出都反映在预算中。唐山市</w:t>
      </w:r>
      <w:r>
        <w:rPr>
          <w:rFonts w:hint="eastAsia" w:eastAsia="方正仿宋_GBK" w:cs="Times New Roman"/>
          <w:color w:val="000000"/>
          <w:sz w:val="28"/>
          <w:lang w:eastAsia="zh-CN"/>
        </w:rPr>
        <w:t>丰润</w:t>
      </w:r>
      <w:r>
        <w:rPr>
          <w:rFonts w:eastAsia="方正仿宋_GBK" w:cs="Times New Roman"/>
          <w:color w:val="000000"/>
          <w:sz w:val="28"/>
        </w:rPr>
        <w:t>区</w:t>
      </w:r>
      <w:r>
        <w:rPr>
          <w:rFonts w:hint="eastAsia" w:eastAsia="方正仿宋_GBK" w:cs="Times New Roman"/>
          <w:color w:val="000000"/>
          <w:sz w:val="28"/>
          <w:lang w:eastAsia="zh-CN"/>
        </w:rPr>
        <w:t>腰岱山国营林场</w:t>
      </w:r>
      <w:r>
        <w:rPr>
          <w:rFonts w:eastAsia="方正仿宋_GBK" w:cs="Times New Roman"/>
          <w:color w:val="000000"/>
          <w:sz w:val="28"/>
        </w:rPr>
        <w:t>的收支包含在部门预算中。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（一）收入说明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年单位预算收入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  <w:lang w:val="en-US" w:eastAsia="zh-CN"/>
        </w:rPr>
        <w:t>80.19</w:t>
      </w:r>
      <w:r>
        <w:rPr>
          <w:rFonts w:hint="eastAsia" w:eastAsia="方正仿宋_GBK" w:cs="Times New Roman"/>
          <w:sz w:val="28"/>
        </w:rPr>
        <w:t>万元，其中一般公共预算收入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  <w:lang w:val="en-US" w:eastAsia="zh-CN"/>
        </w:rPr>
        <w:t>80.19</w:t>
      </w:r>
      <w:r>
        <w:rPr>
          <w:rFonts w:hint="eastAsia" w:eastAsia="方正仿宋_GBK" w:cs="Times New Roman"/>
          <w:sz w:val="28"/>
        </w:rPr>
        <w:t>万元，政府性基金收入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万元，国有资本经营预算收入</w:t>
      </w:r>
      <w:r>
        <w:rPr>
          <w:rFonts w:eastAsia="方正仿宋_GBK" w:cs="Times New Roman"/>
          <w:sz w:val="28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（二）支出说明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</w:rPr>
      </w:pPr>
      <w:r>
        <w:rPr>
          <w:rFonts w:hint="eastAsia" w:eastAsia="方正仿宋_GBK" w:cs="Times New Roman"/>
          <w:sz w:val="28"/>
        </w:rPr>
        <w:t>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年单位预算支出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  <w:lang w:val="en-US" w:eastAsia="zh-CN"/>
        </w:rPr>
        <w:t>80.19</w:t>
      </w:r>
      <w:r>
        <w:rPr>
          <w:rFonts w:hint="eastAsia" w:eastAsia="方正仿宋_GBK" w:cs="Times New Roman"/>
          <w:sz w:val="28"/>
        </w:rPr>
        <w:t>万元，其中基本支出</w:t>
      </w:r>
      <w:r>
        <w:rPr>
          <w:rFonts w:hint="eastAsia" w:eastAsia="方正仿宋_GBK" w:cs="Times New Roman"/>
          <w:sz w:val="28"/>
          <w:lang w:val="en-US" w:eastAsia="zh-CN"/>
        </w:rPr>
        <w:t>380.19</w:t>
      </w:r>
      <w:r>
        <w:rPr>
          <w:rFonts w:hint="eastAsia" w:eastAsia="方正仿宋_GBK" w:cs="Times New Roman"/>
          <w:sz w:val="28"/>
        </w:rPr>
        <w:t>万元，包含人员经费</w:t>
      </w:r>
      <w:r>
        <w:rPr>
          <w:rFonts w:hint="eastAsia" w:eastAsia="方正仿宋_GBK" w:cs="Times New Roman"/>
          <w:sz w:val="28"/>
          <w:lang w:val="en-US" w:eastAsia="zh-CN"/>
        </w:rPr>
        <w:t>365.43</w:t>
      </w:r>
      <w:r>
        <w:rPr>
          <w:rFonts w:hint="eastAsia" w:eastAsia="方正仿宋_GBK" w:cs="Times New Roman"/>
          <w:sz w:val="28"/>
        </w:rPr>
        <w:t>元、正常公用经费</w:t>
      </w:r>
      <w:r>
        <w:rPr>
          <w:rFonts w:hint="eastAsia" w:eastAsia="方正仿宋_GBK" w:cs="Times New Roman"/>
          <w:sz w:val="28"/>
          <w:lang w:val="en-US" w:eastAsia="zh-CN"/>
        </w:rPr>
        <w:t>14.76</w:t>
      </w:r>
      <w:r>
        <w:rPr>
          <w:rFonts w:hint="eastAsia" w:eastAsia="方正仿宋_GBK" w:cs="Times New Roman"/>
          <w:sz w:val="28"/>
        </w:rPr>
        <w:t>万元，项目支出</w:t>
      </w:r>
      <w:r>
        <w:rPr>
          <w:rFonts w:hint="eastAsia" w:eastAsia="方正仿宋_GBK" w:cs="Times New Roman"/>
          <w:sz w:val="28"/>
          <w:lang w:val="en-US" w:eastAsia="zh-CN"/>
        </w:rPr>
        <w:t>0</w:t>
      </w:r>
      <w:r>
        <w:rPr>
          <w:rFonts w:hint="eastAsia" w:eastAsia="方正仿宋_GBK" w:cs="Times New Roman"/>
          <w:sz w:val="28"/>
        </w:rPr>
        <w:t>万元。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>（三）比上年增减情况</w:t>
      </w:r>
    </w:p>
    <w:p>
      <w:pPr>
        <w:spacing w:line="500" w:lineRule="exact"/>
        <w:ind w:firstLine="560" w:firstLineChars="200"/>
        <w:rPr>
          <w:rFonts w:eastAsia="方正仿宋_GBK" w:cs="Times New Roman"/>
          <w:sz w:val="28"/>
          <w:lang w:eastAsia="zh-CN"/>
        </w:rPr>
      </w:pPr>
      <w:r>
        <w:rPr>
          <w:rFonts w:hint="eastAsia" w:eastAsia="方正仿宋_GBK" w:cs="Times New Roman"/>
          <w:sz w:val="28"/>
        </w:rPr>
        <w:t xml:space="preserve"> 202</w:t>
      </w:r>
      <w:r>
        <w:rPr>
          <w:rFonts w:hint="eastAsia" w:eastAsia="方正仿宋_GBK" w:cs="Times New Roman"/>
          <w:sz w:val="28"/>
          <w:lang w:eastAsia="zh-CN"/>
        </w:rPr>
        <w:t>3</w:t>
      </w:r>
      <w:r>
        <w:rPr>
          <w:rFonts w:hint="eastAsia" w:eastAsia="方正仿宋_GBK" w:cs="Times New Roman"/>
          <w:sz w:val="28"/>
        </w:rPr>
        <w:t>年单位预算较202</w:t>
      </w:r>
      <w:r>
        <w:rPr>
          <w:rFonts w:hint="eastAsia" w:eastAsia="方正仿宋_GBK" w:cs="Times New Roman"/>
          <w:sz w:val="28"/>
          <w:lang w:val="en-US" w:eastAsia="zh-CN"/>
        </w:rPr>
        <w:t>2</w:t>
      </w:r>
      <w:r>
        <w:rPr>
          <w:rFonts w:hint="eastAsia" w:eastAsia="方正仿宋_GBK" w:cs="Times New Roman"/>
          <w:sz w:val="28"/>
        </w:rPr>
        <w:t>年增加</w:t>
      </w:r>
      <w:r>
        <w:rPr>
          <w:rFonts w:hint="eastAsia" w:eastAsia="方正仿宋_GBK" w:cs="Times New Roman"/>
          <w:sz w:val="28"/>
          <w:lang w:val="en-US" w:eastAsia="zh-CN"/>
        </w:rPr>
        <w:t>85.91</w:t>
      </w:r>
      <w:r>
        <w:rPr>
          <w:rFonts w:hint="eastAsia" w:eastAsia="方正仿宋_GBK" w:cs="Times New Roman"/>
          <w:sz w:val="28"/>
        </w:rPr>
        <w:t>万元，其中人员经费增加</w:t>
      </w:r>
      <w:r>
        <w:rPr>
          <w:rFonts w:hint="eastAsia" w:eastAsia="方正仿宋_GBK" w:cs="Times New Roman"/>
          <w:sz w:val="28"/>
          <w:lang w:val="en-US" w:eastAsia="zh-CN"/>
        </w:rPr>
        <w:t>85.91</w:t>
      </w:r>
      <w:r>
        <w:rPr>
          <w:rFonts w:hint="eastAsia" w:eastAsia="方正仿宋_GBK" w:cs="Times New Roman"/>
          <w:sz w:val="28"/>
        </w:rPr>
        <w:t>万元（增加原因为人员工资调整）、正常公用经费</w:t>
      </w:r>
      <w:r>
        <w:rPr>
          <w:rFonts w:hint="eastAsia" w:eastAsia="方正仿宋_GBK" w:cs="Times New Roman"/>
          <w:sz w:val="28"/>
          <w:lang w:eastAsia="zh-CN"/>
        </w:rPr>
        <w:t>与去年持平；</w:t>
      </w:r>
      <w:r>
        <w:rPr>
          <w:rFonts w:hint="eastAsia" w:eastAsia="方正仿宋_GBK" w:cs="Times New Roman"/>
          <w:sz w:val="28"/>
        </w:rPr>
        <w:t>项目支出</w:t>
      </w:r>
      <w:r>
        <w:rPr>
          <w:rFonts w:hint="eastAsia" w:eastAsia="方正仿宋_GBK" w:cs="Times New Roman"/>
          <w:sz w:val="28"/>
          <w:lang w:eastAsia="zh-CN"/>
        </w:rPr>
        <w:t>与去年持平</w:t>
      </w:r>
      <w:r>
        <w:rPr>
          <w:rFonts w:hint="eastAsia" w:eastAsia="方正仿宋_GBK" w:cs="Times New Roman"/>
          <w:sz w:val="28"/>
        </w:rPr>
        <w:t>。</w:t>
      </w:r>
      <w:bookmarkStart w:id="2" w:name="_Toc_3_3_0000000012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三、机关运行经费安排情况</w:t>
      </w:r>
      <w:bookmarkEnd w:id="2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年机关运行经费共计安排</w:t>
      </w:r>
      <w:r>
        <w:rPr>
          <w:rFonts w:hint="eastAsia" w:eastAsia="方正仿宋_GBK"/>
          <w:sz w:val="28"/>
          <w:lang w:val="en-US" w:eastAsia="zh-CN"/>
        </w:rPr>
        <w:t>14.76</w:t>
      </w:r>
      <w:r>
        <w:rPr>
          <w:rFonts w:hint="eastAsia" w:eastAsia="方正仿宋_GBK"/>
          <w:sz w:val="28"/>
        </w:rPr>
        <w:t>万元，主要包括用于保证机关正常运转的办公费、邮电费、差旅费、福利费、水电费、办公取暖费、日常维修费、物业管理费、公务车运行维护费等支出。</w:t>
      </w:r>
      <w:bookmarkStart w:id="3" w:name="_Toc_3_3_0000000013"/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lang w:eastAsia="zh-CN"/>
        </w:rPr>
      </w:pPr>
      <w:r>
        <w:rPr>
          <w:rFonts w:ascii="黑体" w:hAnsi="黑体" w:eastAsia="黑体" w:cs="黑体"/>
          <w:color w:val="000000"/>
          <w:sz w:val="32"/>
        </w:rPr>
        <w:t>四、财政拨款“三公”经费预算情况及增减变化原因</w:t>
      </w:r>
      <w:bookmarkEnd w:id="3"/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3</w:t>
      </w:r>
      <w:r>
        <w:rPr>
          <w:rFonts w:hint="eastAsia" w:eastAsia="方正仿宋_GBK"/>
          <w:sz w:val="28"/>
        </w:rPr>
        <w:t>年我部门“三公”经费预算安排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</w:t>
      </w:r>
      <w:r>
        <w:rPr>
          <w:rFonts w:hint="eastAsia" w:eastAsia="方正仿宋_GBK"/>
          <w:sz w:val="28"/>
          <w:lang w:eastAsia="zh-CN"/>
        </w:rPr>
        <w:t>与</w:t>
      </w:r>
      <w:r>
        <w:rPr>
          <w:rFonts w:hint="eastAsia" w:eastAsia="方正仿宋_GBK"/>
          <w:sz w:val="28"/>
        </w:rPr>
        <w:t>202</w:t>
      </w:r>
      <w:r>
        <w:rPr>
          <w:rFonts w:hint="eastAsia" w:eastAsia="方正仿宋_GBK"/>
          <w:sz w:val="28"/>
          <w:lang w:eastAsia="zh-CN"/>
        </w:rPr>
        <w:t>2</w:t>
      </w:r>
      <w:r>
        <w:rPr>
          <w:rFonts w:hint="eastAsia" w:eastAsia="方正仿宋_GBK"/>
          <w:sz w:val="28"/>
        </w:rPr>
        <w:t>年预算</w:t>
      </w:r>
      <w:r>
        <w:rPr>
          <w:rFonts w:hint="eastAsia" w:eastAsia="方正仿宋_GBK"/>
          <w:sz w:val="28"/>
          <w:lang w:eastAsia="zh-CN"/>
        </w:rPr>
        <w:t>相比无变化</w:t>
      </w:r>
      <w:r>
        <w:rPr>
          <w:rFonts w:hint="eastAsia" w:eastAsia="方正仿宋_GBK"/>
          <w:sz w:val="28"/>
        </w:rPr>
        <w:t>。具体安排情况为：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 (一)公务用车购置及运行费。共计安排0万元，与2022年预算相比无变化。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①公务用车购置0万元，与上年持平；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 xml:space="preserve"> ②公务运行维护经费安排</w:t>
      </w:r>
      <w:r>
        <w:rPr>
          <w:rFonts w:hint="eastAsia" w:eastAsia="方正仿宋_GBK"/>
          <w:sz w:val="28"/>
          <w:lang w:val="en-US" w:eastAsia="zh-CN"/>
        </w:rPr>
        <w:t>2</w:t>
      </w:r>
      <w:r>
        <w:rPr>
          <w:rFonts w:hint="eastAsia" w:eastAsia="方正仿宋_GBK"/>
          <w:sz w:val="28"/>
        </w:rPr>
        <w:t>万元，与上年持平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（二）公务接待费。共计安排0万元，与2022年预算相比无变化。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</w:rPr>
      </w:pPr>
      <w:r>
        <w:rPr>
          <w:rFonts w:hint="eastAsia" w:eastAsia="方正仿宋_GBK"/>
          <w:sz w:val="28"/>
          <w:lang w:eastAsia="zh-CN"/>
        </w:rPr>
        <w:t>（</w:t>
      </w:r>
      <w:r>
        <w:rPr>
          <w:rFonts w:hint="eastAsia" w:eastAsia="方正仿宋_GBK"/>
          <w:sz w:val="28"/>
        </w:rPr>
        <w:t>三</w:t>
      </w:r>
      <w:r>
        <w:rPr>
          <w:rFonts w:hint="eastAsia" w:eastAsia="方正仿宋_GBK"/>
          <w:sz w:val="28"/>
          <w:lang w:eastAsia="zh-CN"/>
        </w:rPr>
        <w:t>）</w:t>
      </w:r>
      <w:r>
        <w:rPr>
          <w:rFonts w:hint="eastAsia" w:eastAsia="方正仿宋_GBK"/>
          <w:sz w:val="28"/>
        </w:rPr>
        <w:t>因公出国(境)费安排0万元，与2022年预算相比无变化。</w:t>
      </w:r>
    </w:p>
    <w:p>
      <w:pPr>
        <w:spacing w:line="500" w:lineRule="exact"/>
        <w:ind w:firstLine="560" w:firstLineChars="200"/>
        <w:rPr>
          <w:rFonts w:eastAsia="方正仿宋_GBK"/>
          <w:sz w:val="28"/>
          <w:lang w:eastAsia="zh-CN"/>
        </w:rPr>
      </w:pPr>
      <w:r>
        <w:rPr>
          <w:rFonts w:hint="eastAsia" w:eastAsia="方正仿宋_GBK"/>
          <w:sz w:val="28"/>
        </w:rPr>
        <w:t>（四）培训费。共计安排0万元，与2022年预算相比无变化。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ODYzMWY5NDg5ZmVlMjU1ZGE0NTZiNmJkMmRiNGYifQ=="/>
  </w:docVars>
  <w:rsids>
    <w:rsidRoot w:val="657176D4"/>
    <w:rsid w:val="07F81EDA"/>
    <w:rsid w:val="600D0813"/>
    <w:rsid w:val="642A7647"/>
    <w:rsid w:val="6571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5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6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2023-03-09T01:17:00Z</dcterms:created>
  <dc:creator>Administrator</dc:creator>
  <cp:lastModifiedBy>Administrator</cp:lastModifiedBy>
  <dcterms:modified xsi:type="dcterms:W3CDTF">2024-03-20T02:06:42Z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3E3A4B464F544A95AD2B2739FCB9C6D9</vt:lpwstr>
  </property>
</Properties>
</file>