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</w:rPr>
        <w:t>18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280" w:firstLine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sym w:font="Wingdings 2" w:char="0052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280" w:firstLineChars="4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唐山市国土资源局丰润区分局            </w:t>
      </w:r>
    </w:p>
    <w:p>
      <w:pPr>
        <w:ind w:firstLine="1280" w:firstLine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0315- 3235143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：2019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本部门2018年度申请预算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资金614.84万元，实际支出17943.32万元，</w:t>
      </w:r>
      <w:r>
        <w:rPr>
          <w:rFonts w:hint="eastAsia" w:ascii="仿宋_GB2312" w:eastAsia="仿宋_GB2312" w:cs="DengXian-Regular"/>
          <w:sz w:val="32"/>
          <w:szCs w:val="32"/>
        </w:rPr>
        <w:t>比年初预算增加17328.48万元，主要原因是</w:t>
      </w:r>
      <w:r>
        <w:rPr>
          <w:rFonts w:hint="eastAsia" w:ascii="仿宋_GB2312" w:eastAsia="仿宋_GB2312"/>
          <w:color w:val="000000"/>
          <w:sz w:val="32"/>
          <w:szCs w:val="32"/>
        </w:rPr>
        <w:t>油葫芦泊水库土地规划</w:t>
      </w:r>
      <w:r>
        <w:rPr>
          <w:rFonts w:hint="eastAsia" w:ascii="仿宋_GB2312" w:eastAsia="仿宋_GB2312" w:cs="DengXian-Regular"/>
          <w:sz w:val="32"/>
          <w:szCs w:val="32"/>
        </w:rPr>
        <w:t>、土地利用总体规划等为追加资金；基金类为财政大预算未进行部门预算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</w:rPr>
        <w:t>2208.6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支出1109.1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</w:rPr>
        <w:t>50.2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土地资源管理，年度预算125.2万元，其中：（1）“十三五”土地整治规划编制项目50万元。（2）基准地价更新及限制地块收缴诉讼费45.2万元。（3）土地变更调查30万元。实现基本农田面积不减少，各行业合理用地需求得到保障，及时掌握全区城乡土地变更信息，进一步提高土地节约集约利用水平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2、国土资源执法与监察，年度预算44.8万元，执法检查落实在日常，及时发现、制止违法行为，重大专项执法工作按量按质完成，维护群众合法权益。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</w:rPr>
        <w:t>57.14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</w:rPr>
        <w:t>1109.1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1、偿还人民医院借款：该项目支出金额1000万元，属于后期追加项目，目前该项目已完成预计追加预算金额支出。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基准地价更新及闲置地块收缴诉讼费：年初预算金额为45.2万元，实际支出45.2万元，达到年初预期目标值，使基准地价更新成果更科学，合理显现地价水平，进一步规范和调控地产市场，提高土地节约集约利用水平，优化土地资源配置，促进合理利用土地，依法征收土地税费，防止国有资产流失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土地变更调查：年初预算金额为30万元，实际支出27.4万元，开展农村集体土地确权登记发证与土地变更调查，保持全县土地变更数据的现势性和连续性，为国土资源各类审批业务提供数据和图件支持；组织全县的不动产统一登记工作，调查掌握全县耕地后备资源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4、“十三五”土地整治规划编制项目：年初预算金额为50万元，实际支出36.5万元，完成率为73%。土地整治规划编制项目，</w:t>
      </w:r>
      <w:r>
        <w:rPr>
          <w:rFonts w:hint="eastAsia" w:ascii="仿宋_GB2312" w:hAnsi="宋体" w:eastAsia="仿宋_GB2312" w:cs="宋体"/>
          <w:sz w:val="32"/>
          <w:szCs w:val="32"/>
        </w:rPr>
        <w:t>组织对辖区内相关部门、组织或农民个人自行开垦，经市国土核查评定并报省厅备案后，该项目完成后，新增耕地可直接用于耕地占补平衡。</w:t>
      </w:r>
      <w:r>
        <w:rPr>
          <w:rFonts w:hint="eastAsia" w:ascii="仿宋_GB2312" w:hAnsi="仿宋" w:eastAsia="仿宋_GB2312"/>
          <w:sz w:val="32"/>
          <w:szCs w:val="32"/>
        </w:rPr>
        <w:t>提高土地利用率，使土地资源能持续利用。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5、由于基金类预算为财政</w:t>
      </w:r>
      <w:r>
        <w:rPr>
          <w:rFonts w:hint="eastAsia" w:ascii="仿宋_GB2312" w:eastAsia="仿宋_GB2312" w:cs="DengXian-Regular"/>
          <w:sz w:val="32"/>
          <w:szCs w:val="32"/>
        </w:rPr>
        <w:t>大预算，未划分到年初部门预算。本年增加了高标准农田项目、土地集约利用更新、工矿废弃地编制工作、城镇低效用地编制工作、东孝义地灾治理等土地开发支出经费等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此次开展的预算绩效运行监控工作，得到了我局业务科室及资金使用单位的配合与支持。对于本年支出17943.32万元，比年初预算增加17328.48万元，支出数大于年初预算数主要原因是主要是油葫芦泊水库土地规划、土地利用总体规划等为追加资金；基金类为财政大预算未进行部门预算等。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在今后的预算绩效运行监控工作中，我们将进一步加强日常监控工作，建立健全机制，深入贯彻落实《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color w:val="000000"/>
          <w:sz w:val="32"/>
          <w:szCs w:val="32"/>
        </w:rPr>
        <w:t>预算法》，全面实施预算绩效管理，建立健全预算绩效监控机制，对资金的使用我们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将严格按照文件精神做到专款专用，切实提高资金使用效益，确保项目具有可操作性，项目实施达到预期效果，发挥最大效益。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ind w:firstLine="63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kYjVlM2NkODIwNmQ0NDE2N2JhYmRkNjRiYzI0NGM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75B29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407D6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4C4C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4335D"/>
    <w:rsid w:val="00750ABB"/>
    <w:rsid w:val="00750DE7"/>
    <w:rsid w:val="00755AA3"/>
    <w:rsid w:val="00756151"/>
    <w:rsid w:val="00763E27"/>
    <w:rsid w:val="00772209"/>
    <w:rsid w:val="00775E06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6139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A47B7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1DED1861"/>
    <w:rsid w:val="261134FD"/>
    <w:rsid w:val="3D2E1997"/>
    <w:rsid w:val="42E41438"/>
    <w:rsid w:val="6DDC3C39"/>
    <w:rsid w:val="6D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1344</Characters>
  <Lines>11</Lines>
  <Paragraphs>3</Paragraphs>
  <TotalTime>6</TotalTime>
  <ScaleCrop>false</ScaleCrop>
  <LinksUpToDate>false</LinksUpToDate>
  <CharactersWithSpaces>1576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2020-09-03T07:33:00Z</dcterms:created>
  <dc:creator>panbo</dc:creator>
  <cp:lastModifiedBy>Administrator</cp:lastModifiedBy>
  <cp:lastPrinted>2020-09-07T03:36:00Z</cp:lastPrinted>
  <dcterms:modified xsi:type="dcterms:W3CDTF">2024-03-20T02:13:54Z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A58CAD8C8FBD466683EE6119CE41F458_12</vt:lpwstr>
  </property>
</Properties>
</file>