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丰润区医疗保障局本级2022年单位预算信息公开情况说明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预算法》、《地方预决算公开操作规程》和《关于进一步推进预算公开工作的实施意见》规定，现将丰润区医疗保障局本级2022年单位预算公开如下：</w:t>
      </w:r>
      <w:bookmarkStart w:id="0" w:name="_GoBack"/>
      <w:bookmarkEnd w:id="0"/>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5"/>
            </w:pPr>
            <w:r>
              <w:t>单位名称</w:t>
            </w:r>
          </w:p>
        </w:tc>
        <w:tc>
          <w:tcPr>
            <w:tcW w:w="1843" w:type="dxa"/>
            <w:noWrap w:val="0"/>
            <w:vAlign w:val="center"/>
          </w:tcPr>
          <w:p>
            <w:pPr>
              <w:pStyle w:val="5"/>
            </w:pPr>
            <w:r>
              <w:t>单位性质</w:t>
            </w:r>
          </w:p>
        </w:tc>
        <w:tc>
          <w:tcPr>
            <w:tcW w:w="2126" w:type="dxa"/>
            <w:noWrap w:val="0"/>
            <w:vAlign w:val="center"/>
          </w:tcPr>
          <w:p>
            <w:pPr>
              <w:pStyle w:val="5"/>
            </w:pPr>
            <w:r>
              <w:t>单位规格</w:t>
            </w:r>
          </w:p>
        </w:tc>
        <w:tc>
          <w:tcPr>
            <w:tcW w:w="3827" w:type="dxa"/>
            <w:noWrap w:val="0"/>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丰润区医疗保障局本级</w:t>
            </w:r>
          </w:p>
        </w:tc>
        <w:tc>
          <w:tcPr>
            <w:tcW w:w="1843" w:type="dxa"/>
            <w:noWrap w:val="0"/>
            <w:vAlign w:val="center"/>
          </w:tcPr>
          <w:p>
            <w:pPr>
              <w:pStyle w:val="7"/>
            </w:pPr>
            <w:r>
              <w:t>行政</w:t>
            </w:r>
          </w:p>
        </w:tc>
        <w:tc>
          <w:tcPr>
            <w:tcW w:w="2126" w:type="dxa"/>
            <w:noWrap w:val="0"/>
            <w:vAlign w:val="center"/>
          </w:tcPr>
          <w:p>
            <w:pPr>
              <w:pStyle w:val="7"/>
            </w:pPr>
            <w:r>
              <w:t>正科级</w:t>
            </w:r>
          </w:p>
        </w:tc>
        <w:tc>
          <w:tcPr>
            <w:tcW w:w="3827" w:type="dxa"/>
            <w:noWrap w:val="0"/>
            <w:vAlign w:val="center"/>
          </w:tcPr>
          <w:p>
            <w:pPr>
              <w:pStyle w:val="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p>
    <w:p>
      <w:pPr>
        <w:spacing w:before="10" w:after="10" w:line="240" w:lineRule="auto"/>
        <w:ind w:firstLine="640"/>
        <w:jc w:val="left"/>
        <w:outlineLvl w:val="5"/>
      </w:pPr>
      <w:r>
        <w:rPr>
          <w:rFonts w:ascii="黑体" w:hAnsi="黑体" w:eastAsia="黑体" w:cs="黑体"/>
          <w:color w:val="000000"/>
          <w:sz w:val="32"/>
        </w:rPr>
        <w:t>五、预算绩效信息</w:t>
      </w:r>
    </w:p>
    <w:p>
      <w:pPr>
        <w:pStyle w:val="14"/>
        <w:spacing w:before="0" w:after="0"/>
        <w:ind w:firstLine="560"/>
        <w:jc w:val="left"/>
        <w:outlineLvl w:val="9"/>
      </w:pPr>
      <w:r>
        <w:rPr>
          <w:rFonts w:ascii="方正仿宋_GBK" w:hAnsi="方正仿宋_GBK" w:eastAsia="方正仿宋_GBK" w:cs="方正仿宋_GBK"/>
          <w:b/>
          <w:color w:val="000000"/>
          <w:sz w:val="28"/>
        </w:rPr>
        <w:t>1、印刷费绩效目标表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目前我区医疗保险参保单位900多家，参保人员72万，定点服务机构800家，2022年我局拟定对所有参保单位、两定点服务机构医保专管人员进行业务培训，需要印刷培训手册、明白纸等，另外，城乡居民、城镇职工参保缴费政策宣传需印刷名报纸、条幅、海报。</w:t>
            </w:r>
            <w:r>
              <w:tab/>
            </w:r>
            <w:r>
              <w:tab/>
            </w:r>
            <w:r>
              <w:tab/>
            </w:r>
            <w:r>
              <w:tab/>
            </w:r>
            <w:r>
              <w:tab/>
            </w:r>
          </w:p>
        </w:tc>
      </w:tr>
    </w:tbl>
    <w:p>
      <w:pPr>
        <w:pStyle w:val="1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培训人次</w:t>
            </w:r>
          </w:p>
        </w:tc>
        <w:tc>
          <w:tcPr>
            <w:tcW w:w="2835" w:type="dxa"/>
            <w:noWrap w:val="0"/>
            <w:vAlign w:val="center"/>
          </w:tcPr>
          <w:p>
            <w:pPr>
              <w:pStyle w:val="16"/>
            </w:pPr>
            <w:r>
              <w:t>培训人次</w:t>
            </w:r>
          </w:p>
        </w:tc>
        <w:tc>
          <w:tcPr>
            <w:tcW w:w="2551" w:type="dxa"/>
            <w:noWrap w:val="0"/>
            <w:vAlign w:val="center"/>
          </w:tcPr>
          <w:p>
            <w:pPr>
              <w:pStyle w:val="16"/>
            </w:pPr>
            <w:r>
              <w:t>≥2000人次</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反映开展外宣活动情况</w:t>
            </w:r>
          </w:p>
        </w:tc>
        <w:tc>
          <w:tcPr>
            <w:tcW w:w="2835" w:type="dxa"/>
            <w:noWrap w:val="0"/>
            <w:vAlign w:val="center"/>
          </w:tcPr>
          <w:p>
            <w:pPr>
              <w:pStyle w:val="16"/>
            </w:pPr>
            <w:r>
              <w:t>反映开展外宣活动情况</w:t>
            </w:r>
          </w:p>
        </w:tc>
        <w:tc>
          <w:tcPr>
            <w:tcW w:w="2551" w:type="dxa"/>
            <w:noWrap w:val="0"/>
            <w:vAlign w:val="center"/>
          </w:tcPr>
          <w:p>
            <w:pPr>
              <w:pStyle w:val="16"/>
            </w:pPr>
            <w:r>
              <w:t>≥95%</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进度比例</w:t>
            </w:r>
          </w:p>
        </w:tc>
        <w:tc>
          <w:tcPr>
            <w:tcW w:w="2835" w:type="dxa"/>
            <w:noWrap w:val="0"/>
            <w:vAlign w:val="center"/>
          </w:tcPr>
          <w:p>
            <w:pPr>
              <w:pStyle w:val="16"/>
            </w:pPr>
            <w:r>
              <w:t>完成的培训活动数量占年初计划的比例（百分比）</w:t>
            </w:r>
          </w:p>
        </w:tc>
        <w:tc>
          <w:tcPr>
            <w:tcW w:w="2551" w:type="dxa"/>
            <w:noWrap w:val="0"/>
            <w:vAlign w:val="center"/>
          </w:tcPr>
          <w:p>
            <w:pPr>
              <w:pStyle w:val="16"/>
            </w:pPr>
            <w:r>
              <w:t>≥95%</w:t>
            </w:r>
          </w:p>
        </w:tc>
        <w:tc>
          <w:tcPr>
            <w:tcW w:w="2268" w:type="dxa"/>
            <w:noWrap w:val="0"/>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成本控制金额</w:t>
            </w:r>
          </w:p>
        </w:tc>
        <w:tc>
          <w:tcPr>
            <w:tcW w:w="2835" w:type="dxa"/>
            <w:noWrap w:val="0"/>
            <w:vAlign w:val="center"/>
          </w:tcPr>
          <w:p>
            <w:pPr>
              <w:pStyle w:val="16"/>
            </w:pPr>
            <w:r>
              <w:t>参保手册印刷成本</w:t>
            </w:r>
          </w:p>
        </w:tc>
        <w:tc>
          <w:tcPr>
            <w:tcW w:w="2551" w:type="dxa"/>
            <w:noWrap w:val="0"/>
            <w:vAlign w:val="center"/>
          </w:tcPr>
          <w:p>
            <w:pPr>
              <w:pStyle w:val="16"/>
            </w:pPr>
            <w:r>
              <w:t>≤5元/本</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宣传推动作用</w:t>
            </w:r>
          </w:p>
        </w:tc>
        <w:tc>
          <w:tcPr>
            <w:tcW w:w="2835" w:type="dxa"/>
            <w:noWrap w:val="0"/>
            <w:vAlign w:val="center"/>
          </w:tcPr>
          <w:p>
            <w:pPr>
              <w:pStyle w:val="16"/>
            </w:pPr>
            <w:r>
              <w:t>对宣传医疗保险事业发展的促进推动作用</w:t>
            </w:r>
          </w:p>
        </w:tc>
        <w:tc>
          <w:tcPr>
            <w:tcW w:w="2551" w:type="dxa"/>
            <w:noWrap w:val="0"/>
            <w:vAlign w:val="center"/>
          </w:tcPr>
          <w:p>
            <w:pPr>
              <w:pStyle w:val="16"/>
            </w:pPr>
            <w:r>
              <w:t>≥95%</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可持续影响指标</w:t>
            </w:r>
          </w:p>
        </w:tc>
        <w:tc>
          <w:tcPr>
            <w:tcW w:w="2835" w:type="dxa"/>
            <w:noWrap w:val="0"/>
            <w:vAlign w:val="center"/>
          </w:tcPr>
          <w:p>
            <w:pPr>
              <w:pStyle w:val="16"/>
            </w:pPr>
            <w:r>
              <w:t>影响时间</w:t>
            </w:r>
          </w:p>
        </w:tc>
        <w:tc>
          <w:tcPr>
            <w:tcW w:w="2835" w:type="dxa"/>
            <w:noWrap w:val="0"/>
            <w:vAlign w:val="center"/>
          </w:tcPr>
          <w:p>
            <w:pPr>
              <w:pStyle w:val="16"/>
            </w:pPr>
            <w:r>
              <w:t>项目持续影响时间</w:t>
            </w:r>
          </w:p>
        </w:tc>
        <w:tc>
          <w:tcPr>
            <w:tcW w:w="2551" w:type="dxa"/>
            <w:noWrap w:val="0"/>
            <w:vAlign w:val="center"/>
          </w:tcPr>
          <w:p>
            <w:pPr>
              <w:pStyle w:val="16"/>
            </w:pPr>
            <w:r>
              <w:t>≥1年</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受益群众满意度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pPr>
    </w:p>
    <w:p>
      <w:pPr>
        <w:pStyle w:val="14"/>
        <w:spacing w:before="0" w:after="0"/>
        <w:ind w:firstLine="560"/>
        <w:jc w:val="left"/>
        <w:outlineLvl w:val="9"/>
      </w:pPr>
      <w:r>
        <w:rPr>
          <w:rFonts w:ascii="方正仿宋_GBK" w:hAnsi="方正仿宋_GBK" w:eastAsia="方正仿宋_GBK" w:cs="方正仿宋_GBK"/>
          <w:b/>
          <w:color w:val="000000"/>
          <w:sz w:val="28"/>
        </w:rPr>
        <w:t>2、基金监管业务费绩效目标表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1.目标内容1</w:t>
            </w:r>
          </w:p>
        </w:tc>
      </w:tr>
    </w:tbl>
    <w:p>
      <w:pPr>
        <w:pStyle w:val="1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专家审核定点医院病例数量</w:t>
            </w:r>
          </w:p>
        </w:tc>
        <w:tc>
          <w:tcPr>
            <w:tcW w:w="2835" w:type="dxa"/>
            <w:noWrap w:val="0"/>
            <w:vAlign w:val="center"/>
          </w:tcPr>
          <w:p>
            <w:pPr>
              <w:pStyle w:val="16"/>
            </w:pPr>
            <w:r>
              <w:t>专家审核定点医院病例数量</w:t>
            </w:r>
          </w:p>
        </w:tc>
        <w:tc>
          <w:tcPr>
            <w:tcW w:w="2551" w:type="dxa"/>
            <w:noWrap w:val="0"/>
            <w:vAlign w:val="center"/>
          </w:tcPr>
          <w:p>
            <w:pPr>
              <w:pStyle w:val="16"/>
            </w:pPr>
            <w:r>
              <w:t>≥15000本</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审计质量</w:t>
            </w:r>
          </w:p>
        </w:tc>
        <w:tc>
          <w:tcPr>
            <w:tcW w:w="2835" w:type="dxa"/>
            <w:noWrap w:val="0"/>
            <w:vAlign w:val="center"/>
          </w:tcPr>
          <w:p>
            <w:pPr>
              <w:pStyle w:val="16"/>
            </w:pPr>
            <w:r>
              <w:t>会计事务所对基金的审计质量</w:t>
            </w:r>
          </w:p>
        </w:tc>
        <w:tc>
          <w:tcPr>
            <w:tcW w:w="2551" w:type="dxa"/>
            <w:noWrap w:val="0"/>
            <w:vAlign w:val="center"/>
          </w:tcPr>
          <w:p>
            <w:pPr>
              <w:pStyle w:val="16"/>
            </w:pPr>
            <w:r>
              <w:t>≥95%</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审核进度</w:t>
            </w:r>
          </w:p>
        </w:tc>
        <w:tc>
          <w:tcPr>
            <w:tcW w:w="2835" w:type="dxa"/>
            <w:noWrap w:val="0"/>
            <w:vAlign w:val="center"/>
          </w:tcPr>
          <w:p>
            <w:pPr>
              <w:pStyle w:val="16"/>
            </w:pPr>
            <w:r>
              <w:t>审核病历进度占年初计划的比例</w:t>
            </w:r>
          </w:p>
        </w:tc>
        <w:tc>
          <w:tcPr>
            <w:tcW w:w="2551" w:type="dxa"/>
            <w:noWrap w:val="0"/>
            <w:vAlign w:val="center"/>
          </w:tcPr>
          <w:p>
            <w:pPr>
              <w:pStyle w:val="16"/>
            </w:pPr>
            <w:r>
              <w:t>≥95%</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成本控制金额</w:t>
            </w:r>
          </w:p>
        </w:tc>
        <w:tc>
          <w:tcPr>
            <w:tcW w:w="2835" w:type="dxa"/>
            <w:noWrap w:val="0"/>
            <w:vAlign w:val="center"/>
          </w:tcPr>
          <w:p>
            <w:pPr>
              <w:pStyle w:val="16"/>
            </w:pPr>
            <w:r>
              <w:t>每本病例审核成本</w:t>
            </w:r>
          </w:p>
        </w:tc>
        <w:tc>
          <w:tcPr>
            <w:tcW w:w="2551" w:type="dxa"/>
            <w:noWrap w:val="0"/>
            <w:vAlign w:val="center"/>
          </w:tcPr>
          <w:p>
            <w:pPr>
              <w:pStyle w:val="16"/>
            </w:pPr>
            <w:r>
              <w:t>≤5元/本</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基金安全</w:t>
            </w:r>
          </w:p>
        </w:tc>
        <w:tc>
          <w:tcPr>
            <w:tcW w:w="2835" w:type="dxa"/>
            <w:noWrap w:val="0"/>
            <w:vAlign w:val="center"/>
          </w:tcPr>
          <w:p>
            <w:pPr>
              <w:pStyle w:val="16"/>
            </w:pPr>
            <w:r>
              <w:t>确保基金安全稳定运行</w:t>
            </w:r>
          </w:p>
        </w:tc>
        <w:tc>
          <w:tcPr>
            <w:tcW w:w="2551" w:type="dxa"/>
            <w:noWrap w:val="0"/>
            <w:vAlign w:val="center"/>
          </w:tcPr>
          <w:p>
            <w:pPr>
              <w:pStyle w:val="16"/>
            </w:pPr>
            <w:r>
              <w:t>通过审计，确保基金安全稳定运行</w:t>
            </w:r>
          </w:p>
        </w:tc>
        <w:tc>
          <w:tcPr>
            <w:tcW w:w="2268" w:type="dxa"/>
            <w:noWrap w:val="0"/>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可持续影响指标</w:t>
            </w:r>
          </w:p>
        </w:tc>
        <w:tc>
          <w:tcPr>
            <w:tcW w:w="2835" w:type="dxa"/>
            <w:noWrap w:val="0"/>
            <w:vAlign w:val="center"/>
          </w:tcPr>
          <w:p>
            <w:pPr>
              <w:pStyle w:val="16"/>
            </w:pPr>
            <w:r>
              <w:t>影响时间</w:t>
            </w:r>
          </w:p>
        </w:tc>
        <w:tc>
          <w:tcPr>
            <w:tcW w:w="2835" w:type="dxa"/>
            <w:noWrap w:val="0"/>
            <w:vAlign w:val="center"/>
          </w:tcPr>
          <w:p>
            <w:pPr>
              <w:pStyle w:val="16"/>
            </w:pPr>
            <w:r>
              <w:t>项目持续影响时间</w:t>
            </w:r>
          </w:p>
        </w:tc>
        <w:tc>
          <w:tcPr>
            <w:tcW w:w="2551" w:type="dxa"/>
            <w:noWrap w:val="0"/>
            <w:vAlign w:val="center"/>
          </w:tcPr>
          <w:p>
            <w:pPr>
              <w:pStyle w:val="16"/>
            </w:pPr>
            <w:r>
              <w:t>≥1年</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使用人员满意度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pPr>
    </w:p>
    <w:p>
      <w:pPr>
        <w:pStyle w:val="14"/>
        <w:spacing w:before="0" w:after="0"/>
        <w:ind w:firstLine="560"/>
        <w:jc w:val="left"/>
        <w:outlineLvl w:val="9"/>
      </w:pPr>
      <w:r>
        <w:rPr>
          <w:rFonts w:ascii="方正仿宋_GBK" w:hAnsi="方正仿宋_GBK" w:eastAsia="方正仿宋_GBK" w:cs="方正仿宋_GBK"/>
          <w:b/>
          <w:color w:val="000000"/>
          <w:sz w:val="28"/>
        </w:rPr>
        <w:t>3、医疗救助绩效目标表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1.目标内容1</w:t>
            </w:r>
          </w:p>
        </w:tc>
      </w:tr>
    </w:tbl>
    <w:p>
      <w:pPr>
        <w:pStyle w:val="1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医疗救助人次</w:t>
            </w:r>
          </w:p>
        </w:tc>
        <w:tc>
          <w:tcPr>
            <w:tcW w:w="2835" w:type="dxa"/>
            <w:noWrap w:val="0"/>
            <w:vAlign w:val="center"/>
          </w:tcPr>
          <w:p>
            <w:pPr>
              <w:pStyle w:val="16"/>
            </w:pPr>
            <w:r>
              <w:t>医疗救助人次</w:t>
            </w:r>
          </w:p>
        </w:tc>
        <w:tc>
          <w:tcPr>
            <w:tcW w:w="2551" w:type="dxa"/>
            <w:noWrap w:val="0"/>
            <w:vAlign w:val="center"/>
          </w:tcPr>
          <w:p>
            <w:pPr>
              <w:pStyle w:val="16"/>
            </w:pPr>
            <w:r>
              <w:t>≥21500人次</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救助人数同去年比</w:t>
            </w:r>
          </w:p>
        </w:tc>
        <w:tc>
          <w:tcPr>
            <w:tcW w:w="2835" w:type="dxa"/>
            <w:noWrap w:val="0"/>
            <w:vAlign w:val="center"/>
          </w:tcPr>
          <w:p>
            <w:pPr>
              <w:pStyle w:val="16"/>
            </w:pPr>
            <w:r>
              <w:t>医疗救助人数与去年同期救助人数相比</w:t>
            </w:r>
          </w:p>
        </w:tc>
        <w:tc>
          <w:tcPr>
            <w:tcW w:w="2551" w:type="dxa"/>
            <w:noWrap w:val="0"/>
            <w:vAlign w:val="center"/>
          </w:tcPr>
          <w:p>
            <w:pPr>
              <w:pStyle w:val="16"/>
            </w:pPr>
            <w:r>
              <w:t>提高</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发放进度</w:t>
            </w:r>
          </w:p>
        </w:tc>
        <w:tc>
          <w:tcPr>
            <w:tcW w:w="2835" w:type="dxa"/>
            <w:noWrap w:val="0"/>
            <w:vAlign w:val="center"/>
          </w:tcPr>
          <w:p>
            <w:pPr>
              <w:pStyle w:val="16"/>
            </w:pPr>
            <w:r>
              <w:t>实际发放的救助金进度占全年发放金进度的比率</w:t>
            </w:r>
          </w:p>
        </w:tc>
        <w:tc>
          <w:tcPr>
            <w:tcW w:w="2551" w:type="dxa"/>
            <w:noWrap w:val="0"/>
            <w:vAlign w:val="center"/>
          </w:tcPr>
          <w:p>
            <w:pPr>
              <w:pStyle w:val="16"/>
            </w:pPr>
            <w:r>
              <w:t>及时发放到位</w:t>
            </w:r>
          </w:p>
        </w:tc>
        <w:tc>
          <w:tcPr>
            <w:tcW w:w="2268" w:type="dxa"/>
            <w:noWrap w:val="0"/>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成本控制金额</w:t>
            </w:r>
          </w:p>
        </w:tc>
        <w:tc>
          <w:tcPr>
            <w:tcW w:w="2835" w:type="dxa"/>
            <w:noWrap w:val="0"/>
            <w:vAlign w:val="center"/>
          </w:tcPr>
          <w:p>
            <w:pPr>
              <w:pStyle w:val="16"/>
            </w:pPr>
            <w:r>
              <w:t>每季度发放成本</w:t>
            </w:r>
          </w:p>
        </w:tc>
        <w:tc>
          <w:tcPr>
            <w:tcW w:w="2551" w:type="dxa"/>
            <w:noWrap w:val="0"/>
            <w:vAlign w:val="center"/>
          </w:tcPr>
          <w:p>
            <w:pPr>
              <w:pStyle w:val="16"/>
            </w:pPr>
            <w:r>
              <w:t>≤350万元</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测算对象满意度</w:t>
            </w:r>
          </w:p>
        </w:tc>
        <w:tc>
          <w:tcPr>
            <w:tcW w:w="2835" w:type="dxa"/>
            <w:noWrap w:val="0"/>
            <w:vAlign w:val="center"/>
          </w:tcPr>
          <w:p>
            <w:pPr>
              <w:pStyle w:val="16"/>
            </w:pPr>
            <w:r>
              <w:t>通过问卷调查，满意和较满意的受益对象占全部调研对象的比例</w:t>
            </w:r>
          </w:p>
        </w:tc>
        <w:tc>
          <w:tcPr>
            <w:tcW w:w="2551" w:type="dxa"/>
            <w:noWrap w:val="0"/>
            <w:vAlign w:val="center"/>
          </w:tcPr>
          <w:p>
            <w:pPr>
              <w:pStyle w:val="16"/>
            </w:pPr>
            <w:r>
              <w:t>≥95%</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可持续影响指标</w:t>
            </w:r>
          </w:p>
        </w:tc>
        <w:tc>
          <w:tcPr>
            <w:tcW w:w="2835" w:type="dxa"/>
            <w:noWrap w:val="0"/>
            <w:vAlign w:val="center"/>
          </w:tcPr>
          <w:p>
            <w:pPr>
              <w:pStyle w:val="16"/>
            </w:pPr>
            <w:r>
              <w:t>影响时间</w:t>
            </w:r>
          </w:p>
        </w:tc>
        <w:tc>
          <w:tcPr>
            <w:tcW w:w="2835" w:type="dxa"/>
            <w:noWrap w:val="0"/>
            <w:vAlign w:val="center"/>
          </w:tcPr>
          <w:p>
            <w:pPr>
              <w:pStyle w:val="16"/>
            </w:pPr>
            <w:r>
              <w:t>项目持续影响时间</w:t>
            </w:r>
          </w:p>
        </w:tc>
        <w:tc>
          <w:tcPr>
            <w:tcW w:w="2551" w:type="dxa"/>
            <w:noWrap w:val="0"/>
            <w:vAlign w:val="center"/>
          </w:tcPr>
          <w:p>
            <w:pPr>
              <w:pStyle w:val="16"/>
            </w:pPr>
            <w:r>
              <w:t>≥1年</w:t>
            </w:r>
          </w:p>
        </w:tc>
        <w:tc>
          <w:tcPr>
            <w:tcW w:w="2268" w:type="dxa"/>
            <w:noWrap w:val="0"/>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受益群众满意度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8"/>
            </w:pPr>
            <w:r>
              <w:t>450001丰润区医疗保障局本级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5"/>
            </w:pPr>
            <w:r>
              <w:t>政府采购项目来源</w:t>
            </w:r>
          </w:p>
        </w:tc>
        <w:tc>
          <w:tcPr>
            <w:tcW w:w="1134" w:type="dxa"/>
            <w:vMerge w:val="restart"/>
            <w:noWrap w:val="0"/>
            <w:vAlign w:val="center"/>
          </w:tcPr>
          <w:p>
            <w:pPr>
              <w:pStyle w:val="5"/>
            </w:pPr>
            <w:r>
              <w:t>采购物品名称</w:t>
            </w:r>
          </w:p>
        </w:tc>
        <w:tc>
          <w:tcPr>
            <w:tcW w:w="1134" w:type="dxa"/>
            <w:vMerge w:val="restart"/>
            <w:noWrap w:val="0"/>
            <w:vAlign w:val="center"/>
          </w:tcPr>
          <w:p>
            <w:pPr>
              <w:pStyle w:val="5"/>
            </w:pPr>
            <w:r>
              <w:t>政府采购目录序号</w:t>
            </w:r>
          </w:p>
        </w:tc>
        <w:tc>
          <w:tcPr>
            <w:tcW w:w="709" w:type="dxa"/>
            <w:vMerge w:val="restart"/>
            <w:noWrap w:val="0"/>
            <w:vAlign w:val="center"/>
          </w:tcPr>
          <w:p>
            <w:pPr>
              <w:pStyle w:val="5"/>
            </w:pPr>
            <w:r>
              <w:t>计量  单位</w:t>
            </w:r>
          </w:p>
        </w:tc>
        <w:tc>
          <w:tcPr>
            <w:tcW w:w="850" w:type="dxa"/>
            <w:vMerge w:val="restart"/>
            <w:noWrap w:val="0"/>
            <w:vAlign w:val="center"/>
          </w:tcPr>
          <w:p>
            <w:pPr>
              <w:pStyle w:val="5"/>
            </w:pPr>
            <w:r>
              <w:t>数量</w:t>
            </w:r>
          </w:p>
        </w:tc>
        <w:tc>
          <w:tcPr>
            <w:tcW w:w="850" w:type="dxa"/>
            <w:vMerge w:val="restart"/>
            <w:noWrap w:val="0"/>
            <w:vAlign w:val="center"/>
          </w:tcPr>
          <w:p>
            <w:pPr>
              <w:pStyle w:val="5"/>
            </w:pPr>
            <w:r>
              <w:t>单价</w:t>
            </w:r>
          </w:p>
        </w:tc>
        <w:tc>
          <w:tcPr>
            <w:tcW w:w="7710" w:type="dxa"/>
            <w:gridSpan w:val="8"/>
            <w:noWrap w:val="0"/>
            <w:vAlign w:val="center"/>
          </w:tcPr>
          <w:p>
            <w:pPr>
              <w:pStyle w:val="5"/>
            </w:pPr>
            <w:r>
              <w:t>政府采购金额（当年部门预算安排资金）</w:t>
            </w:r>
          </w:p>
        </w:tc>
        <w:tc>
          <w:tcPr>
            <w:tcW w:w="964" w:type="dxa"/>
            <w:vMerge w:val="restart"/>
            <w:noWrap w:val="0"/>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5"/>
            </w:pPr>
            <w:r>
              <w:t>项目名称</w:t>
            </w:r>
          </w:p>
        </w:tc>
        <w:tc>
          <w:tcPr>
            <w:tcW w:w="964" w:type="dxa"/>
            <w:noWrap w:val="0"/>
            <w:vAlign w:val="center"/>
          </w:tcPr>
          <w:p>
            <w:pPr>
              <w:pStyle w:val="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5"/>
            </w:pPr>
            <w:r>
              <w:t>合计</w:t>
            </w:r>
          </w:p>
        </w:tc>
        <w:tc>
          <w:tcPr>
            <w:tcW w:w="964" w:type="dxa"/>
            <w:noWrap w:val="0"/>
            <w:vAlign w:val="center"/>
          </w:tcPr>
          <w:p>
            <w:pPr>
              <w:pStyle w:val="5"/>
            </w:pPr>
            <w:r>
              <w:t>一般公共预算拨款</w:t>
            </w:r>
          </w:p>
        </w:tc>
        <w:tc>
          <w:tcPr>
            <w:tcW w:w="964" w:type="dxa"/>
            <w:noWrap w:val="0"/>
            <w:vAlign w:val="center"/>
          </w:tcPr>
          <w:p>
            <w:pPr>
              <w:pStyle w:val="5"/>
            </w:pPr>
            <w:r>
              <w:t>基金预算拨款</w:t>
            </w:r>
          </w:p>
        </w:tc>
        <w:tc>
          <w:tcPr>
            <w:tcW w:w="964" w:type="dxa"/>
            <w:noWrap w:val="0"/>
            <w:vAlign w:val="center"/>
          </w:tcPr>
          <w:p>
            <w:pPr>
              <w:pStyle w:val="5"/>
            </w:pPr>
            <w:r>
              <w:t>国有资本经营预算拨款</w:t>
            </w:r>
          </w:p>
        </w:tc>
        <w:tc>
          <w:tcPr>
            <w:tcW w:w="964" w:type="dxa"/>
            <w:noWrap w:val="0"/>
            <w:vAlign w:val="center"/>
          </w:tcPr>
          <w:p>
            <w:pPr>
              <w:pStyle w:val="5"/>
            </w:pPr>
            <w:r>
              <w:t>财政专户核拨</w:t>
            </w:r>
          </w:p>
        </w:tc>
        <w:tc>
          <w:tcPr>
            <w:tcW w:w="964" w:type="dxa"/>
            <w:noWrap w:val="0"/>
            <w:vAlign w:val="center"/>
          </w:tcPr>
          <w:p>
            <w:pPr>
              <w:pStyle w:val="5"/>
            </w:pPr>
            <w:r>
              <w:t>单位    资金</w:t>
            </w:r>
          </w:p>
        </w:tc>
        <w:tc>
          <w:tcPr>
            <w:tcW w:w="964" w:type="dxa"/>
            <w:noWrap w:val="0"/>
            <w:vAlign w:val="center"/>
          </w:tcPr>
          <w:p>
            <w:pPr>
              <w:pStyle w:val="5"/>
            </w:pPr>
            <w:r>
              <w:t>财政拨    款结转</w:t>
            </w:r>
          </w:p>
        </w:tc>
        <w:tc>
          <w:tcPr>
            <w:tcW w:w="964" w:type="dxa"/>
            <w:noWrap w:val="0"/>
            <w:vAlign w:val="center"/>
          </w:tcPr>
          <w:p>
            <w:pPr>
              <w:pStyle w:val="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6"/>
            </w:pPr>
          </w:p>
        </w:tc>
        <w:tc>
          <w:tcPr>
            <w:tcW w:w="964" w:type="dxa"/>
            <w:noWrap w:val="0"/>
            <w:vAlign w:val="center"/>
          </w:tcPr>
          <w:p>
            <w:pPr>
              <w:pStyle w:val="20"/>
            </w:pPr>
          </w:p>
        </w:tc>
        <w:tc>
          <w:tcPr>
            <w:tcW w:w="1134" w:type="dxa"/>
            <w:noWrap w:val="0"/>
            <w:vAlign w:val="center"/>
          </w:tcPr>
          <w:p>
            <w:pPr>
              <w:pStyle w:val="6"/>
            </w:pPr>
          </w:p>
        </w:tc>
        <w:tc>
          <w:tcPr>
            <w:tcW w:w="1134" w:type="dxa"/>
            <w:noWrap w:val="0"/>
            <w:vAlign w:val="center"/>
          </w:tcPr>
          <w:p>
            <w:pPr>
              <w:pStyle w:val="6"/>
            </w:pPr>
          </w:p>
        </w:tc>
        <w:tc>
          <w:tcPr>
            <w:tcW w:w="709" w:type="dxa"/>
            <w:noWrap w:val="0"/>
            <w:vAlign w:val="center"/>
          </w:tcPr>
          <w:p>
            <w:pPr>
              <w:pStyle w:val="7"/>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丰润区医疗保障局本级上年末固定资产金额为0.00万元（详见下表）。本年度拟购置固定资产总额为0.00万元，已按要求列入政府采购预算，详见政府采购预算表。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8"/>
            </w:pPr>
            <w:r>
              <w:t>450001丰润区医疗保障局本级</w:t>
            </w:r>
          </w:p>
        </w:tc>
        <w:tc>
          <w:tcPr>
            <w:tcW w:w="5669" w:type="dxa"/>
            <w:gridSpan w:val="2"/>
            <w:tcBorders>
              <w:top w:val="single" w:color="FFFFFF" w:sz="6" w:space="0"/>
              <w:left w:val="single" w:color="FFFFFF" w:sz="6" w:space="0"/>
              <w:right w:val="single" w:color="FFFFFF" w:sz="6" w:space="0"/>
            </w:tcBorders>
            <w:noWrap w:val="0"/>
            <w:vAlign w:val="center"/>
          </w:tcPr>
          <w:p>
            <w:pPr>
              <w:pStyle w:val="2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5"/>
            </w:pPr>
            <w:r>
              <w:t>项   目</w:t>
            </w:r>
          </w:p>
        </w:tc>
        <w:tc>
          <w:tcPr>
            <w:tcW w:w="2835" w:type="dxa"/>
            <w:noWrap w:val="0"/>
            <w:vAlign w:val="center"/>
          </w:tcPr>
          <w:p>
            <w:pPr>
              <w:pStyle w:val="5"/>
            </w:pPr>
            <w:r>
              <w:t>数量</w:t>
            </w:r>
          </w:p>
        </w:tc>
        <w:tc>
          <w:tcPr>
            <w:tcW w:w="2835" w:type="dxa"/>
            <w:noWrap w:val="0"/>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p>
        </w:tc>
        <w:tc>
          <w:tcPr>
            <w:tcW w:w="2835" w:type="dxa"/>
            <w:noWrap w:val="0"/>
            <w:vAlign w:val="center"/>
          </w:tcPr>
          <w:p>
            <w:pPr>
              <w:pStyle w:val="7"/>
            </w:pPr>
          </w:p>
        </w:tc>
        <w:tc>
          <w:tcPr>
            <w:tcW w:w="2835" w:type="dxa"/>
            <w:noWrap w:val="0"/>
            <w:vAlign w:val="center"/>
          </w:tcPr>
          <w:p>
            <w:pPr>
              <w:pStyle w:val="2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rPr>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CC419-A79F-40AA-8FB5-A34B399C65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2F64B3-362A-4875-8125-BF1B59059E54}"/>
  </w:font>
  <w:font w:name="方正仿宋_GBK">
    <w:altName w:val="微软雅黑"/>
    <w:panose1 w:val="00000000000000000000"/>
    <w:charset w:val="00"/>
    <w:family w:val="auto"/>
    <w:pitch w:val="default"/>
    <w:sig w:usb0="00000000" w:usb1="00000000" w:usb2="00000000" w:usb3="00000000" w:csb0="00040001" w:csb1="00000000"/>
    <w:embedRegular r:id="rId3" w:fontKey="{03E9ED7E-AB61-4374-A6E2-C95E9F3CAE15}"/>
  </w:font>
  <w:font w:name="方正书宋_GBK">
    <w:altName w:val="微软雅黑"/>
    <w:panose1 w:val="00000000000000000000"/>
    <w:charset w:val="00"/>
    <w:family w:val="auto"/>
    <w:pitch w:val="default"/>
    <w:sig w:usb0="00000000" w:usb1="00000000" w:usb2="00000000" w:usb3="00000000" w:csb0="00040001" w:csb1="00000000"/>
    <w:embedRegular r:id="rId4" w:fontKey="{F0EF0B5C-B7EB-4025-B26E-0E61DA88DA28}"/>
  </w:font>
  <w:font w:name="方正小标宋_GBK">
    <w:panose1 w:val="02000000000000000000"/>
    <w:charset w:val="86"/>
    <w:family w:val="auto"/>
    <w:pitch w:val="default"/>
    <w:sig w:usb0="A00002BF" w:usb1="38CF7CFA" w:usb2="00082016" w:usb3="00000000" w:csb0="00040001" w:csb1="00000000"/>
    <w:embedRegular r:id="rId5" w:fontKey="{DA4F5862-9292-4DF4-8774-76821098789A}"/>
  </w:font>
  <w:font w:name="方正楷体_GBK">
    <w:panose1 w:val="02000000000000000000"/>
    <w:charset w:val="86"/>
    <w:family w:val="auto"/>
    <w:pitch w:val="default"/>
    <w:sig w:usb0="800002BF" w:usb1="38CF7CFA" w:usb2="00000016" w:usb3="00000000" w:csb0="00040000" w:csb1="00000000"/>
    <w:embedRegular r:id="rId6" w:fontKey="{BC0F88A9-7126-4479-B120-7AB53CF55002}"/>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zMyZTk1ZjA3ODIxZmRkZTcyNmM1YjRiZDJmNGIifQ=="/>
  </w:docVars>
  <w:rsids>
    <w:rsidRoot w:val="00000000"/>
    <w:rsid w:val="45BC23AE"/>
    <w:rsid w:val="45E35C7B"/>
    <w:rsid w:val="5F61757A"/>
    <w:rsid w:val="6FF43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Normal_04eb3092-138f-4c60-8202-24e554114c69"/>
    <w:qFormat/>
    <w:uiPriority w:val="0"/>
    <w:rPr>
      <w:rFonts w:ascii="Times New Roman" w:hAnsi="Times New Roman" w:eastAsia="Times New Roman" w:cs="Times New Roman"/>
      <w:sz w:val="24"/>
      <w:szCs w:val="24"/>
      <w:lang w:val="en-US" w:eastAsia="uk-UA" w:bidi="ar-SA"/>
    </w:rPr>
  </w:style>
  <w:style w:type="paragraph" w:customStyle="1" w:styleId="15">
    <w:name w:val="单元格样式1_51f944ca-d188-4355-81a8-fbba93ca649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_678aeecd-21ee-43c1-9e26-e68a3bcef1c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_0ace816c-1541-44e8-8121-50886e224a4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6569</Words>
  <Characters>6788</Characters>
  <Lines>0</Lines>
  <Paragraphs>0</Paragraphs>
  <TotalTime>1</TotalTime>
  <ScaleCrop>false</ScaleCrop>
  <LinksUpToDate>false</LinksUpToDate>
  <CharactersWithSpaces>6840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2022-05-19T08:34:08Z</dcterms:created>
  <dc:creator>Administrator</dc:creator>
  <cp:lastModifiedBy>贺祎</cp:lastModifiedBy>
  <dcterms:modified xsi:type="dcterms:W3CDTF">2024-03-20T01:09:58Z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8CEF9608534E4E83A65330C37DC96EC3_13</vt:lpwstr>
  </property>
</Properties>
</file>