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Theme="majorEastAsia" w:hAnsiTheme="majorEastAsia" w:eastAsiaTheme="majorEastAsia" w:cstheme="majorEastAsia"/>
          <w:b/>
          <w:bCs/>
          <w:sz w:val="48"/>
          <w:szCs w:val="48"/>
          <w:lang w:eastAsia="zh-CN"/>
        </w:rPr>
      </w:pPr>
      <w:r>
        <w:rPr>
          <w:rFonts w:hint="eastAsia" w:asciiTheme="majorEastAsia" w:hAnsiTheme="majorEastAsia" w:eastAsiaTheme="majorEastAsia" w:cstheme="majorEastAsia"/>
          <w:b/>
          <w:bCs/>
          <w:sz w:val="48"/>
          <w:szCs w:val="48"/>
          <w:lang w:eastAsia="zh-CN"/>
        </w:rPr>
        <w:t>唐山市丰润区发展和改革局</w:t>
      </w:r>
    </w:p>
    <w:p>
      <w:pPr>
        <w:widowControl/>
        <w:jc w:val="center"/>
        <w:rPr>
          <w:rFonts w:hint="eastAsia" w:asciiTheme="majorEastAsia" w:hAnsiTheme="majorEastAsia" w:eastAsiaTheme="majorEastAsia" w:cstheme="majorEastAsia"/>
          <w:b/>
          <w:bCs/>
          <w:sz w:val="48"/>
          <w:szCs w:val="48"/>
        </w:rPr>
      </w:pPr>
      <w:r>
        <w:rPr>
          <w:rFonts w:hint="eastAsia" w:asciiTheme="majorEastAsia" w:hAnsiTheme="majorEastAsia" w:eastAsiaTheme="majorEastAsia" w:cstheme="majorEastAsia"/>
          <w:b/>
          <w:bCs/>
          <w:sz w:val="48"/>
          <w:szCs w:val="48"/>
          <w:lang w:eastAsia="zh-CN"/>
        </w:rPr>
        <w:t>关于</w:t>
      </w:r>
      <w:r>
        <w:rPr>
          <w:rFonts w:hint="eastAsia" w:asciiTheme="majorEastAsia" w:hAnsiTheme="majorEastAsia" w:eastAsiaTheme="majorEastAsia" w:cstheme="majorEastAsia"/>
          <w:b/>
          <w:bCs/>
          <w:sz w:val="48"/>
          <w:szCs w:val="48"/>
        </w:rPr>
        <w:t>20</w:t>
      </w:r>
      <w:r>
        <w:rPr>
          <w:rFonts w:hint="eastAsia" w:asciiTheme="majorEastAsia" w:hAnsiTheme="majorEastAsia" w:eastAsiaTheme="majorEastAsia" w:cstheme="majorEastAsia"/>
          <w:b/>
          <w:bCs/>
          <w:sz w:val="48"/>
          <w:szCs w:val="48"/>
          <w:lang w:val="en-US" w:eastAsia="zh-CN"/>
        </w:rPr>
        <w:t>21</w:t>
      </w:r>
      <w:r>
        <w:rPr>
          <w:rFonts w:hint="eastAsia" w:asciiTheme="majorEastAsia" w:hAnsiTheme="majorEastAsia" w:eastAsiaTheme="majorEastAsia" w:cstheme="majorEastAsia"/>
          <w:b/>
          <w:bCs/>
          <w:sz w:val="48"/>
          <w:szCs w:val="48"/>
        </w:rPr>
        <w:t>年预算公开情况</w:t>
      </w:r>
      <w:r>
        <w:rPr>
          <w:rFonts w:hint="eastAsia" w:asciiTheme="majorEastAsia" w:hAnsiTheme="majorEastAsia" w:eastAsiaTheme="majorEastAsia" w:cstheme="majorEastAsia"/>
          <w:b/>
          <w:bCs/>
          <w:sz w:val="48"/>
          <w:szCs w:val="48"/>
          <w:lang w:eastAsia="zh-CN"/>
        </w:rPr>
        <w:t>的</w:t>
      </w:r>
      <w:r>
        <w:rPr>
          <w:rFonts w:hint="eastAsia" w:asciiTheme="majorEastAsia" w:hAnsiTheme="majorEastAsia" w:eastAsiaTheme="majorEastAsia" w:cstheme="majorEastAsia"/>
          <w:b/>
          <w:bCs/>
          <w:sz w:val="48"/>
          <w:szCs w:val="48"/>
        </w:rPr>
        <w:t>说明</w:t>
      </w:r>
    </w:p>
    <w:p>
      <w:pPr>
        <w:widowControl/>
        <w:jc w:val="center"/>
        <w:rPr>
          <w:rFonts w:hint="eastAsia" w:asciiTheme="majorEastAsia" w:hAnsiTheme="majorEastAsia" w:eastAsiaTheme="majorEastAsia" w:cstheme="majorEastAsia"/>
          <w:b/>
          <w:bCs/>
          <w:sz w:val="48"/>
          <w:szCs w:val="48"/>
        </w:rPr>
      </w:pPr>
    </w:p>
    <w:p>
      <w:pPr>
        <w:widowControl/>
        <w:numPr>
          <w:ilvl w:val="0"/>
          <w:numId w:val="1"/>
        </w:numPr>
        <w:ind w:firstLine="643" w:firstLineChars="200"/>
        <w:rPr>
          <w:rFonts w:hint="eastAsia" w:asciiTheme="majorEastAsia" w:hAnsiTheme="majorEastAsia" w:eastAsiaTheme="majorEastAsia" w:cstheme="majorEastAsia"/>
          <w:b/>
          <w:sz w:val="32"/>
          <w:szCs w:val="32"/>
          <w:lang w:eastAsia="zh-CN"/>
        </w:rPr>
      </w:pPr>
      <w:r>
        <w:rPr>
          <w:rFonts w:hint="eastAsia" w:asciiTheme="majorEastAsia" w:hAnsiTheme="majorEastAsia" w:eastAsiaTheme="majorEastAsia" w:cstheme="majorEastAsia"/>
          <w:b/>
          <w:sz w:val="32"/>
          <w:szCs w:val="32"/>
        </w:rPr>
        <w:t>部门职责、机构设置情况</w:t>
      </w:r>
      <w:r>
        <w:rPr>
          <w:rFonts w:hint="eastAsia" w:asciiTheme="majorEastAsia" w:hAnsiTheme="majorEastAsia" w:eastAsiaTheme="majorEastAsia" w:cstheme="majorEastAsia"/>
          <w:b/>
          <w:sz w:val="32"/>
          <w:szCs w:val="32"/>
          <w:lang w:eastAsia="zh-CN"/>
        </w:rPr>
        <w:t>等基本情况</w:t>
      </w:r>
    </w:p>
    <w:p>
      <w:pPr>
        <w:widowControl/>
        <w:numPr>
          <w:ilvl w:val="0"/>
          <w:numId w:val="0"/>
        </w:numPr>
        <w:ind w:firstLine="643" w:firstLineChars="200"/>
        <w:rPr>
          <w:rFonts w:hint="eastAsia" w:asciiTheme="majorEastAsia" w:hAnsiTheme="majorEastAsia" w:eastAsiaTheme="majorEastAsia" w:cstheme="majorEastAsia"/>
          <w:b/>
          <w:sz w:val="32"/>
          <w:szCs w:val="32"/>
          <w:lang w:val="en-US" w:eastAsia="zh-CN"/>
        </w:rPr>
      </w:pPr>
      <w:r>
        <w:rPr>
          <w:rFonts w:hint="eastAsia" w:asciiTheme="majorEastAsia" w:hAnsiTheme="majorEastAsia" w:eastAsiaTheme="majorEastAsia" w:cstheme="majorEastAsia"/>
          <w:b/>
          <w:sz w:val="32"/>
          <w:szCs w:val="32"/>
          <w:lang w:val="en-US" w:eastAsia="zh-CN"/>
        </w:rPr>
        <w:t>1、部门职责</w:t>
      </w:r>
    </w:p>
    <w:p>
      <w:pPr>
        <w:spacing w:line="500" w:lineRule="exact"/>
        <w:ind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唐山市丰润区发展和改革局隶属于区政府的行政管理机构，主要</w:t>
      </w:r>
      <w:r>
        <w:rPr>
          <w:rFonts w:hint="eastAsia" w:asciiTheme="minorEastAsia" w:hAnsiTheme="minorEastAsia" w:eastAsiaTheme="minorEastAsia" w:cstheme="minorEastAsia"/>
          <w:sz w:val="32"/>
          <w:szCs w:val="32"/>
          <w:lang w:eastAsia="zh-CN"/>
        </w:rPr>
        <w:t>部门</w:t>
      </w:r>
      <w:r>
        <w:rPr>
          <w:rFonts w:hint="eastAsia" w:asciiTheme="minorEastAsia" w:hAnsiTheme="minorEastAsia" w:eastAsiaTheme="minorEastAsia" w:cstheme="minorEastAsia"/>
          <w:sz w:val="32"/>
          <w:szCs w:val="32"/>
        </w:rPr>
        <w:t>职责：</w:t>
      </w:r>
    </w:p>
    <w:p>
      <w:pPr>
        <w:spacing w:line="500" w:lineRule="exact"/>
        <w:ind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拟订并组织实施全区国民经济和社会发展战略、中长期规划和年度计划。牵头组织统一规划体系建设。负责区级专项规划、区域规划、空间规划与全区发展规划的统筹衔接。起草国民经济和社会发展、经济体制改革和对外开放的有关规范性文件。</w:t>
      </w:r>
    </w:p>
    <w:p>
      <w:pPr>
        <w:spacing w:line="500" w:lineRule="exact"/>
        <w:ind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）提出加快建设全区现代化经济体系、推动高质量发展的总体目标、重大任务以及相关政策。组织开展重大战略规划、重大政策、重大工程等的评估督导，提出相关调整建议。</w:t>
      </w:r>
    </w:p>
    <w:p>
      <w:pPr>
        <w:spacing w:line="500" w:lineRule="exact"/>
        <w:ind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贯彻落实国家宏观调控政策，统筹提出全区国民经济和社会发展主要目标，监测预测预警宏观经济和社会发展态势趋势，提出经济调节政策建议。综合协调经济调节政策，牵头研究应对措施。调节经济运行，协调解决经济运行中的重大问题。拟订并组织实施有关价格政策，贯彻落实国家、省、市的重要商品、服务价格和重要收费标准。参与贯彻落实国家财政政策、货币政策和土地政策。</w:t>
      </w:r>
    </w:p>
    <w:p>
      <w:pPr>
        <w:spacing w:line="500" w:lineRule="exact"/>
        <w:ind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指导推进和综合协调经济体制改革有关工作，提出相关改革建议。牵头推进供给侧结构性改革。协调推进产权制度和要素市场化配置改革。落实国家完善基本经济制度政策，推动现代化市场体系建设，会同有关部门组织实施市场准入负面清单制度。牵头推进优化营商环境工作。</w:t>
      </w:r>
    </w:p>
    <w:p>
      <w:pPr>
        <w:spacing w:line="500" w:lineRule="exact"/>
        <w:ind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5</w:t>
      </w:r>
      <w:r>
        <w:rPr>
          <w:rFonts w:hint="eastAsia" w:asciiTheme="minorEastAsia" w:hAnsiTheme="minorEastAsia" w:eastAsiaTheme="minorEastAsia" w:cstheme="minorEastAsia"/>
          <w:sz w:val="32"/>
          <w:szCs w:val="32"/>
        </w:rPr>
        <w:t>）提出全区利用外资和境外投资的战略、规划、总量平衡和结构优化政策。牵头推进实施全区“一带一路”建设有关工作。承担统筹协调走出去有关工作。会同有关部门贯彻落实国家外商投资准入负面清单。负责全区全口径外债的总量控制、结构优化和监测工作。</w:t>
      </w:r>
    </w:p>
    <w:p>
      <w:pPr>
        <w:spacing w:line="500" w:lineRule="exact"/>
        <w:ind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6</w:t>
      </w:r>
      <w:r>
        <w:rPr>
          <w:rFonts w:hint="eastAsia" w:asciiTheme="minorEastAsia" w:hAnsiTheme="minorEastAsia" w:eastAsiaTheme="minorEastAsia" w:cstheme="minorEastAsia"/>
          <w:sz w:val="32"/>
          <w:szCs w:val="32"/>
        </w:rPr>
        <w:t>）负责全区投资综合管理。拟订全区固定资产投资总规模、结构调控目标和政策，安排区级预算内基本建设资金和有关发展性专项资金，负责固定资产投资项目管理。规划全区重点建设项目和生产力布局，组织推动重点建设项目。拟订并推动落实鼓励民间投资政策措施。</w:t>
      </w:r>
    </w:p>
    <w:p>
      <w:pPr>
        <w:spacing w:line="500" w:lineRule="exact"/>
        <w:ind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7</w:t>
      </w:r>
      <w:r>
        <w:rPr>
          <w:rFonts w:hint="eastAsia" w:asciiTheme="minorEastAsia" w:hAnsiTheme="minorEastAsia" w:eastAsiaTheme="minorEastAsia" w:cstheme="minorEastAsia"/>
          <w:sz w:val="32"/>
          <w:szCs w:val="32"/>
        </w:rPr>
        <w:t>）推进落实区域协调发展战略、新型城镇化战略和重大政策，组织拟订相关区域规划和政策。推进实施京津冀协同发展等区域发展战略。组织和实施老少边穷及其他特殊困难地区发展规划和政策，组织实施易地扶贫搬迁等。统筹协调区域合作和对口支援工作。组织编制并推动实施新型城镇化规划。</w:t>
      </w:r>
    </w:p>
    <w:p>
      <w:pPr>
        <w:spacing w:line="500" w:lineRule="exact"/>
        <w:ind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8</w:t>
      </w:r>
      <w:r>
        <w:rPr>
          <w:rFonts w:hint="eastAsia" w:asciiTheme="minorEastAsia" w:hAnsiTheme="minorEastAsia" w:eastAsiaTheme="minorEastAsia" w:cstheme="minorEastAsia"/>
          <w:sz w:val="32"/>
          <w:szCs w:val="32"/>
        </w:rPr>
        <w:t>）组织贯彻实施国家产业政策，拟订全区综合性产业政策。协调一二三产业发展重大问题并统筹衔接相关发展规划和重大政策。协调推进重大基础设施建设发展，组织拟订并推动实施服务业及现代物流业战略规划和重大政策。综合研判消费变动趋势，拟订实施促进消费的综合性政策措施。</w:t>
      </w:r>
    </w:p>
    <w:p>
      <w:pPr>
        <w:spacing w:line="500" w:lineRule="exact"/>
        <w:ind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推动实施全区创新驱动发展战略。会同相关部门拟订全区推进创新创业的规划和政策，提出创新发展和培育经济发展新动能的政策。会同相关部门规划布局区级重大科技基础设施。组织拟订并推动实施高技术产业和战略性新兴产业及数字经济发展规划政策，协调产业升级、重大技术装备推广应用等方面的重大问题。</w:t>
      </w:r>
    </w:p>
    <w:p>
      <w:pPr>
        <w:spacing w:line="500" w:lineRule="exact"/>
        <w:ind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10</w:t>
      </w:r>
      <w:r>
        <w:rPr>
          <w:rFonts w:hint="eastAsia" w:asciiTheme="minorEastAsia" w:hAnsiTheme="minorEastAsia" w:eastAsiaTheme="minorEastAsia" w:cstheme="minorEastAsia"/>
          <w:sz w:val="32"/>
          <w:szCs w:val="32"/>
        </w:rPr>
        <w:t>）跟踪研判涉及经济安全、生态安全、资源安全、科技安全、社会安全等各类风险隐患，提出相关工作建议。协调落实重要工业品、原材料和重要农产品进出口调控措施。会同有关部门拟订全区储备物资品种目录、总体发展规划。</w:t>
      </w:r>
    </w:p>
    <w:p>
      <w:pPr>
        <w:spacing w:line="500" w:lineRule="exact"/>
        <w:ind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11</w:t>
      </w:r>
      <w:r>
        <w:rPr>
          <w:rFonts w:hint="eastAsia" w:asciiTheme="minorEastAsia" w:hAnsiTheme="minorEastAsia" w:eastAsiaTheme="minorEastAsia" w:cstheme="minorEastAsia"/>
          <w:sz w:val="32"/>
          <w:szCs w:val="32"/>
        </w:rPr>
        <w:t>）负责全区社会发展与国民经济发展的政策衔接，协调有关重大问题。组织拟订社会发展战略、总体规划，统筹推进基本公共服务体系建设和收入分配制度改革，提出促进就业、完善社会保障与经济协调发展的政策建议。</w:t>
      </w:r>
    </w:p>
    <w:p>
      <w:pPr>
        <w:spacing w:line="500" w:lineRule="exact"/>
        <w:ind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12</w:t>
      </w:r>
      <w:r>
        <w:rPr>
          <w:rFonts w:hint="eastAsia" w:asciiTheme="minorEastAsia" w:hAnsiTheme="minorEastAsia" w:eastAsiaTheme="minorEastAsia" w:cstheme="minorEastAsia"/>
          <w:sz w:val="32"/>
          <w:szCs w:val="32"/>
        </w:rPr>
        <w:t>）推进实施可持续发展战略，推动生态文明建设和改革，协调生态环境保护与修复、能源资源节约和综合利用等工作。提出健全生态保护补偿机制的政策措施，综合协调环保产业和清洁生产促进有关工作。提出全区能源消费控制目标、任务并组织实施。负责煤炭、石油、天然气、新能源和可再生能源、电力的行业安全管理，协调全区管道保护的重大问题，配合相关单位依法查处危害管道安全的违法行为。</w:t>
      </w:r>
    </w:p>
    <w:p>
      <w:pPr>
        <w:spacing w:line="500" w:lineRule="exact"/>
        <w:ind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13</w:t>
      </w:r>
      <w:r>
        <w:rPr>
          <w:rFonts w:hint="eastAsia" w:asciiTheme="minorEastAsia" w:hAnsiTheme="minorEastAsia" w:eastAsiaTheme="minorEastAsia" w:cstheme="minorEastAsia"/>
          <w:sz w:val="32"/>
          <w:szCs w:val="32"/>
        </w:rPr>
        <w:t>）组织拟订推进全区经济建设与国防建设协调发展的战略和规划，组织推进经济建设项目贯彻国防要求。</w:t>
      </w:r>
    </w:p>
    <w:p>
      <w:pPr>
        <w:spacing w:line="500" w:lineRule="exact"/>
        <w:ind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14</w:t>
      </w:r>
      <w:r>
        <w:rPr>
          <w:rFonts w:hint="eastAsia" w:asciiTheme="minorEastAsia" w:hAnsiTheme="minorEastAsia" w:eastAsiaTheme="minorEastAsia" w:cstheme="minorEastAsia"/>
          <w:sz w:val="32"/>
          <w:szCs w:val="32"/>
        </w:rPr>
        <w:t>）负责全区粮食物资和能源管理工作，负责粮食行业安全生产管理。</w:t>
      </w:r>
    </w:p>
    <w:p>
      <w:pPr>
        <w:spacing w:line="500" w:lineRule="exact"/>
        <w:ind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15</w:t>
      </w:r>
      <w:r>
        <w:rPr>
          <w:rFonts w:hint="eastAsia" w:asciiTheme="minorEastAsia" w:hAnsiTheme="minorEastAsia" w:eastAsiaTheme="minorEastAsia" w:cstheme="minorEastAsia"/>
          <w:sz w:val="32"/>
          <w:szCs w:val="32"/>
        </w:rPr>
        <w:t>）负责重要商品和服务价格定调价前期成本监审工作和重要产品成本调查工作。</w:t>
      </w:r>
    </w:p>
    <w:p>
      <w:pPr>
        <w:spacing w:line="500" w:lineRule="exact"/>
        <w:ind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16</w:t>
      </w:r>
      <w:r>
        <w:rPr>
          <w:rFonts w:hint="eastAsia" w:asciiTheme="minorEastAsia" w:hAnsiTheme="minorEastAsia" w:eastAsiaTheme="minorEastAsia" w:cstheme="minorEastAsia"/>
          <w:sz w:val="32"/>
          <w:szCs w:val="32"/>
        </w:rPr>
        <w:t>）配合市政府做好地方铁路的行业管理工作，牵头负责铁路沿线环境安全监管职责。</w:t>
      </w:r>
    </w:p>
    <w:p>
      <w:pPr>
        <w:spacing w:line="500" w:lineRule="exact"/>
        <w:ind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17</w:t>
      </w:r>
      <w:r>
        <w:rPr>
          <w:rFonts w:hint="eastAsia" w:asciiTheme="minorEastAsia" w:hAnsiTheme="minorEastAsia" w:eastAsiaTheme="minorEastAsia" w:cstheme="minorEastAsia"/>
          <w:sz w:val="32"/>
          <w:szCs w:val="32"/>
        </w:rPr>
        <w:t>）承担区委财经委员会、区推进京津冀协同发展工作领导小组、区重点建设领导小组、区钢铁煤炭行业化解过剩产能工作领导小组、区铁路建设管理领导小组、区从事生产经营活动事业单位改革领导小组、区对口支持新疆工作领导小组等有关具体工作。</w:t>
      </w:r>
    </w:p>
    <w:p>
      <w:pPr>
        <w:spacing w:line="500" w:lineRule="exact"/>
        <w:ind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18</w:t>
      </w:r>
      <w:r>
        <w:rPr>
          <w:rFonts w:hint="eastAsia" w:asciiTheme="minorEastAsia" w:hAnsiTheme="minorEastAsia" w:eastAsiaTheme="minorEastAsia" w:cstheme="minorEastAsia"/>
          <w:sz w:val="32"/>
          <w:szCs w:val="32"/>
        </w:rPr>
        <w:t>）完成区委、区政府交办的其他任务。</w:t>
      </w:r>
    </w:p>
    <w:p>
      <w:pPr>
        <w:spacing w:line="500" w:lineRule="exact"/>
        <w:ind w:firstLine="640" w:firstLineChars="200"/>
        <w:jc w:val="left"/>
        <w:rPr>
          <w:rFonts w:hint="eastAsia" w:asciiTheme="minorEastAsia" w:hAnsiTheme="minorEastAsia" w:eastAsiaTheme="minorEastAsia" w:cstheme="minorEastAsia"/>
          <w:sz w:val="32"/>
          <w:szCs w:val="32"/>
        </w:rPr>
        <w:sectPr>
          <w:footerReference r:id="rId3" w:type="default"/>
          <w:pgSz w:w="11907" w:h="16839"/>
          <w:pgMar w:top="1531" w:right="1134" w:bottom="1474" w:left="1134" w:header="851" w:footer="992" w:gutter="0"/>
          <w:pgNumType w:start="1"/>
          <w:cols w:space="720" w:num="1"/>
          <w:docGrid w:type="lines" w:linePitch="312" w:charSpace="0"/>
        </w:sectPr>
      </w:pPr>
    </w:p>
    <w:p>
      <w:pPr>
        <w:widowControl/>
        <w:snapToGrid w:val="0"/>
        <w:spacing w:line="588" w:lineRule="exact"/>
        <w:rPr>
          <w:rFonts w:hint="eastAsia" w:asciiTheme="majorEastAsia" w:hAnsiTheme="majorEastAsia" w:eastAsiaTheme="majorEastAsia" w:cstheme="majorEastAsia"/>
          <w:sz w:val="32"/>
          <w:szCs w:val="32"/>
        </w:rPr>
      </w:pPr>
      <w:r>
        <w:rPr>
          <w:rFonts w:ascii="仿宋_GB2312" w:hAnsi="仿宋_GB2312" w:eastAsia="仿宋_GB2312" w:cs="仿宋_GB2312"/>
          <w:sz w:val="32"/>
          <w:szCs w:val="32"/>
        </w:rPr>
        <w:t xml:space="preserve">   </w:t>
      </w:r>
      <w:r>
        <w:rPr>
          <w:rFonts w:hint="eastAsia" w:asciiTheme="majorEastAsia" w:hAnsiTheme="majorEastAsia" w:eastAsiaTheme="majorEastAsia" w:cstheme="majorEastAsia"/>
          <w:sz w:val="32"/>
          <w:szCs w:val="32"/>
        </w:rPr>
        <w:t xml:space="preserve"> </w:t>
      </w:r>
      <w:r>
        <w:rPr>
          <w:rFonts w:hint="eastAsia" w:asciiTheme="majorEastAsia" w:hAnsiTheme="majorEastAsia" w:eastAsiaTheme="majorEastAsia" w:cstheme="majorEastAsia"/>
          <w:sz w:val="32"/>
          <w:szCs w:val="32"/>
          <w:lang w:val="en-US" w:eastAsia="zh-CN"/>
        </w:rPr>
        <w:t>2</w:t>
      </w:r>
      <w:r>
        <w:rPr>
          <w:rFonts w:hint="eastAsia" w:asciiTheme="majorEastAsia" w:hAnsiTheme="majorEastAsia" w:eastAsiaTheme="majorEastAsia" w:cstheme="majorEastAsia"/>
          <w:sz w:val="32"/>
          <w:szCs w:val="32"/>
        </w:rPr>
        <w:t>、机构人员情况</w:t>
      </w:r>
    </w:p>
    <w:p>
      <w:pPr>
        <w:spacing w:line="580" w:lineRule="exact"/>
        <w:ind w:firstLine="515" w:firstLineChars="161"/>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根据区编办最近核定的三定方案要求，</w:t>
      </w:r>
      <w:r>
        <w:rPr>
          <w:rFonts w:hint="eastAsia" w:asciiTheme="minorEastAsia" w:hAnsiTheme="minorEastAsia" w:eastAsiaTheme="minorEastAsia" w:cstheme="minorEastAsia"/>
          <w:sz w:val="32"/>
          <w:szCs w:val="32"/>
          <w:lang w:eastAsia="zh-CN"/>
        </w:rPr>
        <w:t>唐山市丰润区发展和改革局</w:t>
      </w:r>
      <w:r>
        <w:rPr>
          <w:rFonts w:hint="eastAsia" w:asciiTheme="minorEastAsia" w:hAnsiTheme="minorEastAsia" w:eastAsiaTheme="minorEastAsia" w:cstheme="minorEastAsia"/>
          <w:sz w:val="32"/>
          <w:szCs w:val="32"/>
        </w:rPr>
        <w:t>为行政编制单位，内设1</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个行政职能科室，</w:t>
      </w:r>
      <w:r>
        <w:rPr>
          <w:rFonts w:hint="eastAsia" w:asciiTheme="minorEastAsia" w:hAnsiTheme="minorEastAsia" w:eastAsiaTheme="minorEastAsia" w:cstheme="minorEastAsia"/>
          <w:sz w:val="32"/>
          <w:szCs w:val="32"/>
          <w:lang w:eastAsia="zh-CN"/>
        </w:rPr>
        <w:t>包括</w:t>
      </w:r>
      <w:r>
        <w:rPr>
          <w:rFonts w:hint="eastAsia" w:asciiTheme="minorEastAsia" w:hAnsiTheme="minorEastAsia" w:eastAsiaTheme="minorEastAsia" w:cstheme="minorEastAsia"/>
          <w:sz w:val="32"/>
          <w:szCs w:val="32"/>
        </w:rPr>
        <w:t>办公室、人事科、国民经济综合科、产业发展科、固定资产投资科、经济</w:t>
      </w:r>
      <w:r>
        <w:rPr>
          <w:rFonts w:hint="eastAsia" w:asciiTheme="minorEastAsia" w:hAnsiTheme="minorEastAsia" w:eastAsiaTheme="minorEastAsia" w:cstheme="minorEastAsia"/>
          <w:sz w:val="32"/>
          <w:szCs w:val="32"/>
          <w:lang w:eastAsia="zh-CN"/>
        </w:rPr>
        <w:t>运行调节</w:t>
      </w:r>
      <w:r>
        <w:rPr>
          <w:rFonts w:hint="eastAsia" w:asciiTheme="minorEastAsia" w:hAnsiTheme="minorEastAsia" w:eastAsiaTheme="minorEastAsia" w:cstheme="minorEastAsia"/>
          <w:sz w:val="32"/>
          <w:szCs w:val="32"/>
        </w:rPr>
        <w:t>科、</w:t>
      </w:r>
      <w:r>
        <w:rPr>
          <w:rFonts w:hint="eastAsia" w:asciiTheme="minorEastAsia" w:hAnsiTheme="minorEastAsia" w:eastAsiaTheme="minorEastAsia" w:cstheme="minorEastAsia"/>
          <w:sz w:val="32"/>
          <w:szCs w:val="32"/>
          <w:lang w:eastAsia="zh-CN"/>
        </w:rPr>
        <w:t>环境资源</w:t>
      </w:r>
      <w:r>
        <w:rPr>
          <w:rFonts w:hint="eastAsia" w:asciiTheme="minorEastAsia" w:hAnsiTheme="minorEastAsia" w:eastAsiaTheme="minorEastAsia" w:cstheme="minorEastAsia"/>
          <w:sz w:val="32"/>
          <w:szCs w:val="32"/>
        </w:rPr>
        <w:t>科、</w:t>
      </w:r>
      <w:r>
        <w:rPr>
          <w:rFonts w:hint="eastAsia" w:asciiTheme="minorEastAsia" w:hAnsiTheme="minorEastAsia" w:eastAsiaTheme="minorEastAsia" w:cstheme="minorEastAsia"/>
          <w:sz w:val="32"/>
          <w:szCs w:val="32"/>
          <w:lang w:eastAsia="zh-CN"/>
        </w:rPr>
        <w:t>体制改革和法规科、重点项目科、粮食和物资管理科、价格调控科。三个下属事业单位，包括</w:t>
      </w:r>
      <w:r>
        <w:rPr>
          <w:rFonts w:hint="eastAsia" w:asciiTheme="minorEastAsia" w:hAnsiTheme="minorEastAsia" w:eastAsiaTheme="minorEastAsia" w:cstheme="minorEastAsia"/>
          <w:sz w:val="32"/>
          <w:szCs w:val="32"/>
        </w:rPr>
        <w:t>节能减排综合协调办公室（挂区节能减排工作领导小组办公室牌子）、</w:t>
      </w:r>
    </w:p>
    <w:p>
      <w:pPr>
        <w:spacing w:line="580" w:lineRule="exact"/>
        <w:ind w:firstLine="640" w:firstLineChars="200"/>
        <w:rPr>
          <w:rFonts w:hint="eastAsia" w:asciiTheme="minorEastAsia" w:hAnsiTheme="minorEastAsia" w:eastAsiaTheme="minorEastAsia" w:cstheme="minorEastAsia"/>
          <w:color w:val="000000"/>
          <w:spacing w:val="8"/>
          <w:sz w:val="32"/>
          <w:szCs w:val="32"/>
        </w:rPr>
      </w:pPr>
      <w:r>
        <w:rPr>
          <w:rFonts w:hint="eastAsia" w:asciiTheme="minorEastAsia" w:hAnsiTheme="minorEastAsia" w:eastAsiaTheme="minorEastAsia" w:cstheme="minorEastAsia"/>
          <w:sz w:val="32"/>
          <w:szCs w:val="32"/>
        </w:rPr>
        <w:t>人员编制数10</w:t>
      </w: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个，唐山市丰润区发展</w:t>
      </w:r>
      <w:r>
        <w:rPr>
          <w:rFonts w:hint="eastAsia" w:asciiTheme="minorEastAsia" w:hAnsiTheme="minorEastAsia" w:eastAsiaTheme="minorEastAsia" w:cstheme="minorEastAsia"/>
          <w:sz w:val="32"/>
          <w:szCs w:val="32"/>
          <w:lang w:eastAsia="zh-CN"/>
        </w:rPr>
        <w:t>和</w:t>
      </w:r>
      <w:r>
        <w:rPr>
          <w:rFonts w:hint="eastAsia" w:asciiTheme="minorEastAsia" w:hAnsiTheme="minorEastAsia" w:eastAsiaTheme="minorEastAsia" w:cstheme="minorEastAsia"/>
          <w:sz w:val="32"/>
          <w:szCs w:val="32"/>
        </w:rPr>
        <w:t>改革局机关核定行政编制3</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名，</w:t>
      </w:r>
      <w:r>
        <w:rPr>
          <w:rFonts w:hint="eastAsia" w:asciiTheme="minorEastAsia" w:hAnsiTheme="minorEastAsia" w:eastAsiaTheme="minorEastAsia" w:cstheme="minorEastAsia"/>
          <w:color w:val="000000"/>
          <w:spacing w:val="8"/>
          <w:sz w:val="32"/>
          <w:szCs w:val="32"/>
        </w:rPr>
        <w:t>事业编制</w:t>
      </w:r>
      <w:r>
        <w:rPr>
          <w:rFonts w:hint="eastAsia" w:asciiTheme="minorEastAsia" w:hAnsiTheme="minorEastAsia" w:eastAsiaTheme="minorEastAsia" w:cstheme="minorEastAsia"/>
          <w:color w:val="000000"/>
          <w:spacing w:val="8"/>
          <w:sz w:val="32"/>
          <w:szCs w:val="32"/>
          <w:lang w:val="en-US" w:eastAsia="zh-CN"/>
        </w:rPr>
        <w:t>72</w:t>
      </w:r>
      <w:r>
        <w:rPr>
          <w:rFonts w:hint="eastAsia" w:asciiTheme="minorEastAsia" w:hAnsiTheme="minorEastAsia" w:eastAsiaTheme="minorEastAsia" w:cstheme="minorEastAsia"/>
          <w:color w:val="000000"/>
          <w:spacing w:val="8"/>
          <w:sz w:val="32"/>
          <w:szCs w:val="32"/>
        </w:rPr>
        <w:t>名。</w:t>
      </w:r>
    </w:p>
    <w:p>
      <w:pPr>
        <w:spacing w:line="580" w:lineRule="exact"/>
        <w:ind w:firstLine="672" w:firstLineChars="200"/>
        <w:rPr>
          <w:rFonts w:hint="eastAsia" w:asciiTheme="minorEastAsia" w:hAnsiTheme="minorEastAsia" w:eastAsiaTheme="minorEastAsia" w:cstheme="minorEastAsia"/>
          <w:color w:val="000000"/>
          <w:spacing w:val="8"/>
          <w:sz w:val="32"/>
          <w:szCs w:val="32"/>
        </w:rPr>
      </w:pPr>
      <w:r>
        <w:rPr>
          <w:rFonts w:hint="eastAsia" w:asciiTheme="minorEastAsia" w:hAnsiTheme="minorEastAsia" w:eastAsiaTheme="minorEastAsia" w:cstheme="minorEastAsia"/>
          <w:color w:val="000000"/>
          <w:spacing w:val="8"/>
          <w:sz w:val="32"/>
          <w:szCs w:val="32"/>
        </w:rPr>
        <w:t>现有人员</w:t>
      </w:r>
      <w:r>
        <w:rPr>
          <w:rFonts w:hint="eastAsia" w:asciiTheme="minorEastAsia" w:hAnsiTheme="minorEastAsia" w:eastAsiaTheme="minorEastAsia" w:cstheme="minorEastAsia"/>
          <w:color w:val="000000"/>
          <w:spacing w:val="8"/>
          <w:sz w:val="32"/>
          <w:szCs w:val="32"/>
          <w:lang w:val="en-US" w:eastAsia="zh-CN"/>
        </w:rPr>
        <w:t>93</w:t>
      </w:r>
      <w:r>
        <w:rPr>
          <w:rFonts w:hint="eastAsia" w:asciiTheme="minorEastAsia" w:hAnsiTheme="minorEastAsia" w:eastAsiaTheme="minorEastAsia" w:cstheme="minorEastAsia"/>
          <w:color w:val="000000"/>
          <w:spacing w:val="8"/>
          <w:sz w:val="32"/>
          <w:szCs w:val="32"/>
        </w:rPr>
        <w:t>名。其中：行政编制人员</w:t>
      </w:r>
      <w:r>
        <w:rPr>
          <w:rFonts w:hint="eastAsia" w:asciiTheme="minorEastAsia" w:hAnsiTheme="minorEastAsia" w:eastAsiaTheme="minorEastAsia" w:cstheme="minorEastAsia"/>
          <w:color w:val="000000"/>
          <w:spacing w:val="8"/>
          <w:sz w:val="32"/>
          <w:szCs w:val="32"/>
          <w:lang w:val="en-US" w:eastAsia="zh-CN"/>
        </w:rPr>
        <w:t>30</w:t>
      </w:r>
      <w:r>
        <w:rPr>
          <w:rFonts w:hint="eastAsia" w:asciiTheme="minorEastAsia" w:hAnsiTheme="minorEastAsia" w:eastAsiaTheme="minorEastAsia" w:cstheme="minorEastAsia"/>
          <w:color w:val="000000"/>
          <w:spacing w:val="8"/>
          <w:sz w:val="32"/>
          <w:szCs w:val="32"/>
        </w:rPr>
        <w:t>名，事业编制人员</w:t>
      </w:r>
      <w:r>
        <w:rPr>
          <w:rFonts w:hint="eastAsia" w:asciiTheme="minorEastAsia" w:hAnsiTheme="minorEastAsia" w:eastAsiaTheme="minorEastAsia" w:cstheme="minorEastAsia"/>
          <w:color w:val="000000"/>
          <w:spacing w:val="8"/>
          <w:sz w:val="32"/>
          <w:szCs w:val="32"/>
          <w:lang w:val="en-US" w:eastAsia="zh-CN"/>
        </w:rPr>
        <w:t>61</w:t>
      </w:r>
      <w:r>
        <w:rPr>
          <w:rFonts w:hint="eastAsia" w:asciiTheme="minorEastAsia" w:hAnsiTheme="minorEastAsia" w:eastAsiaTheme="minorEastAsia" w:cstheme="minorEastAsia"/>
          <w:color w:val="000000"/>
          <w:spacing w:val="8"/>
          <w:sz w:val="32"/>
          <w:szCs w:val="32"/>
        </w:rPr>
        <w:t>名；无编财政拨款人员2名。</w:t>
      </w:r>
    </w:p>
    <w:tbl>
      <w:tblPr>
        <w:tblStyle w:val="13"/>
        <w:tblpPr w:leftFromText="180" w:rightFromText="180" w:vertAnchor="text" w:horzAnchor="page" w:tblpX="1352" w:tblpY="1383"/>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trPr>
        <w:tc>
          <w:tcPr>
            <w:tcW w:w="4417" w:type="dxa"/>
            <w:vMerge w:val="restart"/>
            <w:vAlign w:val="center"/>
          </w:tcPr>
          <w:p>
            <w:pPr>
              <w:spacing w:line="300" w:lineRule="exact"/>
              <w:jc w:val="center"/>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单位名称</w:t>
            </w:r>
          </w:p>
        </w:tc>
        <w:tc>
          <w:tcPr>
            <w:tcW w:w="1134" w:type="dxa"/>
            <w:vMerge w:val="restart"/>
            <w:vAlign w:val="center"/>
          </w:tcPr>
          <w:p>
            <w:pPr>
              <w:spacing w:line="300" w:lineRule="exact"/>
              <w:jc w:val="center"/>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单位性质</w:t>
            </w:r>
          </w:p>
        </w:tc>
        <w:tc>
          <w:tcPr>
            <w:tcW w:w="1276" w:type="dxa"/>
            <w:vMerge w:val="restart"/>
            <w:vAlign w:val="center"/>
          </w:tcPr>
          <w:p>
            <w:pPr>
              <w:spacing w:line="300" w:lineRule="exact"/>
              <w:jc w:val="center"/>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单位规格</w:t>
            </w:r>
          </w:p>
        </w:tc>
        <w:tc>
          <w:tcPr>
            <w:tcW w:w="2902" w:type="dxa"/>
            <w:vMerge w:val="restart"/>
            <w:vAlign w:val="center"/>
          </w:tcPr>
          <w:p>
            <w:pPr>
              <w:spacing w:line="300" w:lineRule="exact"/>
              <w:jc w:val="center"/>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trPr>
        <w:tc>
          <w:tcPr>
            <w:tcW w:w="4417" w:type="dxa"/>
            <w:vMerge w:val="continue"/>
            <w:vAlign w:val="center"/>
          </w:tcPr>
          <w:p>
            <w:pPr>
              <w:spacing w:line="300" w:lineRule="exact"/>
              <w:jc w:val="left"/>
              <w:outlineLvl w:val="0"/>
              <w:rPr>
                <w:rFonts w:hint="eastAsia" w:asciiTheme="minorEastAsia" w:hAnsiTheme="minorEastAsia" w:eastAsiaTheme="minorEastAsia" w:cstheme="minorEastAsia"/>
                <w:sz w:val="32"/>
                <w:szCs w:val="32"/>
              </w:rPr>
            </w:pPr>
          </w:p>
        </w:tc>
        <w:tc>
          <w:tcPr>
            <w:tcW w:w="1134" w:type="dxa"/>
            <w:vMerge w:val="continue"/>
            <w:vAlign w:val="center"/>
          </w:tcPr>
          <w:p>
            <w:pPr>
              <w:spacing w:line="300" w:lineRule="exact"/>
              <w:jc w:val="left"/>
              <w:outlineLvl w:val="0"/>
              <w:rPr>
                <w:rFonts w:hint="eastAsia" w:asciiTheme="minorEastAsia" w:hAnsiTheme="minorEastAsia" w:eastAsiaTheme="minorEastAsia" w:cstheme="minorEastAsia"/>
                <w:sz w:val="32"/>
                <w:szCs w:val="32"/>
              </w:rPr>
            </w:pPr>
          </w:p>
        </w:tc>
        <w:tc>
          <w:tcPr>
            <w:tcW w:w="1276" w:type="dxa"/>
            <w:vMerge w:val="continue"/>
            <w:vAlign w:val="center"/>
          </w:tcPr>
          <w:p>
            <w:pPr>
              <w:spacing w:line="300" w:lineRule="exact"/>
              <w:jc w:val="left"/>
              <w:outlineLvl w:val="0"/>
              <w:rPr>
                <w:rFonts w:hint="eastAsia" w:asciiTheme="minorEastAsia" w:hAnsiTheme="minorEastAsia" w:eastAsiaTheme="minorEastAsia" w:cstheme="minorEastAsia"/>
                <w:sz w:val="32"/>
                <w:szCs w:val="32"/>
              </w:rPr>
            </w:pPr>
          </w:p>
        </w:tc>
        <w:tc>
          <w:tcPr>
            <w:tcW w:w="2902" w:type="dxa"/>
            <w:vMerge w:val="continue"/>
            <w:vAlign w:val="center"/>
          </w:tcPr>
          <w:p>
            <w:pPr>
              <w:spacing w:line="300" w:lineRule="exact"/>
              <w:jc w:val="left"/>
              <w:outlineLvl w:val="0"/>
              <w:rPr>
                <w:rFonts w:hint="eastAsia" w:asciiTheme="minorEastAsia" w:hAnsiTheme="minorEastAsia" w:eastAsiaTheme="minorEastAsia" w:cstheme="minorEastAsia"/>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pPr>
              <w:spacing w:line="3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唐山市丰润区发展</w:t>
            </w:r>
            <w:r>
              <w:rPr>
                <w:rFonts w:hint="eastAsia" w:asciiTheme="minorEastAsia" w:hAnsiTheme="minorEastAsia" w:eastAsiaTheme="minorEastAsia" w:cstheme="minorEastAsia"/>
                <w:sz w:val="32"/>
                <w:szCs w:val="32"/>
                <w:lang w:eastAsia="zh-CN"/>
              </w:rPr>
              <w:t>和</w:t>
            </w:r>
            <w:r>
              <w:rPr>
                <w:rFonts w:hint="eastAsia" w:asciiTheme="minorEastAsia" w:hAnsiTheme="minorEastAsia" w:eastAsiaTheme="minorEastAsia" w:cstheme="minorEastAsia"/>
                <w:sz w:val="32"/>
                <w:szCs w:val="32"/>
              </w:rPr>
              <w:t>改革局</w:t>
            </w:r>
          </w:p>
        </w:tc>
        <w:tc>
          <w:tcPr>
            <w:tcW w:w="1134" w:type="dxa"/>
            <w:vAlign w:val="center"/>
          </w:tcPr>
          <w:p>
            <w:pPr>
              <w:spacing w:line="3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行政</w:t>
            </w:r>
          </w:p>
        </w:tc>
        <w:tc>
          <w:tcPr>
            <w:tcW w:w="1276" w:type="dxa"/>
            <w:vAlign w:val="center"/>
          </w:tcPr>
          <w:p>
            <w:pPr>
              <w:spacing w:line="3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正科级</w:t>
            </w:r>
          </w:p>
        </w:tc>
        <w:tc>
          <w:tcPr>
            <w:tcW w:w="2902" w:type="dxa"/>
            <w:vAlign w:val="center"/>
          </w:tcPr>
          <w:p>
            <w:pPr>
              <w:spacing w:line="300" w:lineRule="exact"/>
              <w:jc w:val="center"/>
              <w:rPr>
                <w:rFonts w:hint="eastAsia" w:asciiTheme="minorEastAsia" w:hAnsiTheme="minorEastAsia" w:eastAsiaTheme="minorEastAsia" w:cstheme="minorEastAsia"/>
                <w:color w:val="FF0000"/>
                <w:sz w:val="32"/>
                <w:szCs w:val="32"/>
              </w:rPr>
            </w:pPr>
            <w:r>
              <w:rPr>
                <w:rFonts w:hint="eastAsia" w:asciiTheme="minorEastAsia" w:hAnsiTheme="minorEastAsia" w:eastAsiaTheme="minorEastAsia" w:cstheme="minorEastAsia"/>
                <w:sz w:val="32"/>
                <w:szCs w:val="32"/>
              </w:rPr>
              <w:t>财政拨款</w:t>
            </w:r>
          </w:p>
        </w:tc>
      </w:tr>
    </w:tbl>
    <w:p>
      <w:pPr>
        <w:shd w:val="clear" w:color="auto" w:fill="FFFFFF"/>
        <w:spacing w:line="580" w:lineRule="exact"/>
        <w:jc w:val="left"/>
        <w:rPr>
          <w:rFonts w:eastAsia="方正仿宋简体"/>
          <w:kern w:val="0"/>
          <w:sz w:val="32"/>
          <w:szCs w:val="32"/>
        </w:rPr>
      </w:pPr>
    </w:p>
    <w:p>
      <w:pPr>
        <w:spacing w:line="580" w:lineRule="exact"/>
        <w:ind w:firstLine="600" w:firstLineChars="200"/>
        <w:rPr>
          <w:rFonts w:ascii="仿宋_GB2312" w:hAnsi="仿宋_GB2312" w:eastAsia="仿宋_GB2312" w:cs="仿宋_GB2312"/>
          <w:sz w:val="30"/>
          <w:szCs w:val="30"/>
        </w:rPr>
      </w:pPr>
    </w:p>
    <w:p>
      <w:pPr>
        <w:widowControl/>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二、部门预算总体安排情况</w:t>
      </w:r>
    </w:p>
    <w:p>
      <w:pPr>
        <w:widowControl/>
        <w:spacing w:line="5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预算收入</w:t>
      </w:r>
      <w:r>
        <w:rPr>
          <w:rFonts w:hint="eastAsia" w:ascii="仿宋_GB2312" w:hAnsi="仿宋_GB2312" w:eastAsia="仿宋_GB2312" w:cs="仿宋_GB2312"/>
          <w:sz w:val="32"/>
          <w:szCs w:val="32"/>
          <w:lang w:val="en-US" w:eastAsia="zh-CN"/>
        </w:rPr>
        <w:t>2593.22万元，其中：</w:t>
      </w:r>
      <w:r>
        <w:rPr>
          <w:rFonts w:hint="eastAsia" w:ascii="仿宋_GB2312" w:hAnsi="仿宋_GB2312" w:eastAsia="仿宋_GB2312" w:cs="仿宋_GB2312"/>
          <w:sz w:val="32"/>
          <w:szCs w:val="32"/>
        </w:rPr>
        <w:t>一般公共预算拨款收入</w:t>
      </w:r>
      <w:r>
        <w:rPr>
          <w:rFonts w:hint="eastAsia" w:ascii="仿宋_GB2312" w:hAnsi="仿宋_GB2312" w:eastAsia="仿宋_GB2312" w:cs="仿宋_GB2312"/>
          <w:sz w:val="28"/>
          <w:szCs w:val="28"/>
          <w:lang w:val="en-US" w:eastAsia="zh-CN"/>
        </w:rPr>
        <w:t>2593.22万</w:t>
      </w:r>
      <w:r>
        <w:rPr>
          <w:rFonts w:hint="eastAsia" w:ascii="仿宋_GB2312" w:hAnsi="仿宋_GB2312" w:eastAsia="仿宋_GB2312" w:cs="仿宋_GB2312"/>
          <w:sz w:val="32"/>
          <w:szCs w:val="32"/>
        </w:rPr>
        <w:t>元。</w:t>
      </w:r>
    </w:p>
    <w:p>
      <w:pPr>
        <w:widowControl/>
        <w:spacing w:line="5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年，根据本单位职责和工作任务规划，共安排部门预算支出</w:t>
      </w:r>
      <w:r>
        <w:rPr>
          <w:rFonts w:hint="eastAsia" w:ascii="仿宋_GB2312" w:hAnsi="仿宋_GB2312" w:eastAsia="仿宋_GB2312" w:cs="仿宋_GB2312"/>
          <w:sz w:val="28"/>
          <w:szCs w:val="28"/>
          <w:lang w:val="en-US" w:eastAsia="zh-CN"/>
        </w:rPr>
        <w:t>2593.22</w:t>
      </w:r>
      <w:r>
        <w:rPr>
          <w:rFonts w:hint="eastAsia" w:ascii="仿宋_GB2312" w:hAnsi="仿宋_GB2312" w:eastAsia="仿宋_GB2312" w:cs="仿宋_GB2312"/>
          <w:sz w:val="32"/>
          <w:szCs w:val="32"/>
        </w:rPr>
        <w:t>元。其中人员经费支出</w:t>
      </w:r>
      <w:r>
        <w:rPr>
          <w:rFonts w:hint="eastAsia" w:ascii="仿宋_GB2312" w:hAnsi="仿宋_GB2312" w:eastAsia="仿宋_GB2312" w:cs="仿宋_GB2312"/>
          <w:sz w:val="28"/>
          <w:szCs w:val="28"/>
          <w:lang w:val="en-US" w:eastAsia="zh-CN"/>
        </w:rPr>
        <w:t>1321.97万</w:t>
      </w:r>
      <w:r>
        <w:rPr>
          <w:rFonts w:hint="eastAsia" w:ascii="仿宋_GB2312" w:hAnsi="仿宋_GB2312" w:eastAsia="仿宋_GB2312" w:cs="仿宋_GB2312"/>
          <w:sz w:val="32"/>
          <w:szCs w:val="32"/>
        </w:rPr>
        <w:t>元，日常公用经费支出</w:t>
      </w:r>
      <w:r>
        <w:rPr>
          <w:rFonts w:hint="eastAsia" w:ascii="仿宋_GB2312" w:hAnsi="仿宋_GB2312" w:eastAsia="仿宋_GB2312" w:cs="仿宋_GB2312"/>
          <w:sz w:val="30"/>
          <w:szCs w:val="30"/>
          <w:lang w:val="en-US" w:eastAsia="zh-CN"/>
        </w:rPr>
        <w:t>86.99万</w:t>
      </w:r>
      <w:r>
        <w:rPr>
          <w:rFonts w:hint="eastAsia" w:ascii="仿宋_GB2312" w:hAnsi="仿宋_GB2312" w:eastAsia="仿宋_GB2312" w:cs="仿宋_GB2312"/>
          <w:sz w:val="32"/>
          <w:szCs w:val="32"/>
        </w:rPr>
        <w:t>元，项目支出</w:t>
      </w:r>
      <w:r>
        <w:rPr>
          <w:rFonts w:hint="eastAsia" w:ascii="仿宋_GB2312" w:hAnsi="仿宋_GB2312" w:eastAsia="仿宋_GB2312" w:cs="仿宋_GB2312"/>
          <w:sz w:val="30"/>
          <w:szCs w:val="30"/>
          <w:lang w:val="en-US" w:eastAsia="zh-CN"/>
        </w:rPr>
        <w:t>1184.26万</w:t>
      </w:r>
      <w:r>
        <w:rPr>
          <w:rFonts w:hint="eastAsia" w:ascii="仿宋_GB2312" w:hAnsi="仿宋_GB2312" w:eastAsia="仿宋_GB2312" w:cs="仿宋_GB2312"/>
          <w:sz w:val="32"/>
          <w:szCs w:val="32"/>
        </w:rPr>
        <w:t>元。</w:t>
      </w:r>
    </w:p>
    <w:p>
      <w:pPr>
        <w:widowControl/>
        <w:spacing w:line="5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、与上年相比</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18.3</w:t>
      </w:r>
      <w:r>
        <w:rPr>
          <w:rFonts w:hint="eastAsia" w:ascii="仿宋_GB2312" w:hAnsi="仿宋_GB2312" w:eastAsia="仿宋_GB2312" w:cs="仿宋_GB2312"/>
          <w:sz w:val="32"/>
          <w:szCs w:val="32"/>
        </w:rPr>
        <w:t>万元，其中：人员经费减少</w:t>
      </w:r>
      <w:r>
        <w:rPr>
          <w:rFonts w:hint="eastAsia" w:ascii="仿宋_GB2312" w:hAnsi="仿宋_GB2312" w:eastAsia="仿宋_GB2312" w:cs="仿宋_GB2312"/>
          <w:sz w:val="32"/>
          <w:szCs w:val="32"/>
          <w:lang w:val="en-US" w:eastAsia="zh-CN"/>
        </w:rPr>
        <w:t>43.13</w:t>
      </w:r>
      <w:r>
        <w:rPr>
          <w:rFonts w:hint="eastAsia" w:ascii="仿宋_GB2312" w:hAnsi="仿宋_GB2312" w:eastAsia="仿宋_GB2312" w:cs="仿宋_GB2312"/>
          <w:sz w:val="32"/>
          <w:szCs w:val="32"/>
        </w:rPr>
        <w:t>万元，原因是有</w:t>
      </w:r>
      <w:r>
        <w:rPr>
          <w:rFonts w:hint="eastAsia" w:ascii="仿宋_GB2312" w:hAnsi="仿宋_GB2312" w:eastAsia="仿宋_GB2312" w:cs="仿宋_GB2312"/>
          <w:sz w:val="32"/>
          <w:szCs w:val="32"/>
          <w:lang w:eastAsia="zh-CN"/>
        </w:rPr>
        <w:t>调出及</w:t>
      </w:r>
      <w:r>
        <w:rPr>
          <w:rFonts w:hint="eastAsia" w:ascii="仿宋_GB2312" w:hAnsi="仿宋_GB2312" w:eastAsia="仿宋_GB2312" w:cs="仿宋_GB2312"/>
          <w:sz w:val="32"/>
          <w:szCs w:val="32"/>
        </w:rPr>
        <w:t>退休人员。正常公用经费</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24.84</w:t>
      </w:r>
      <w:r>
        <w:rPr>
          <w:rFonts w:hint="eastAsia" w:ascii="仿宋_GB2312" w:hAnsi="仿宋_GB2312" w:eastAsia="仿宋_GB2312" w:cs="仿宋_GB2312"/>
          <w:sz w:val="32"/>
          <w:szCs w:val="32"/>
        </w:rPr>
        <w:t>万元，原因为</w:t>
      </w:r>
      <w:r>
        <w:rPr>
          <w:rFonts w:hint="eastAsia" w:ascii="仿宋_GB2312" w:hAnsi="仿宋_GB2312" w:eastAsia="仿宋_GB2312" w:cs="仿宋_GB2312"/>
          <w:sz w:val="32"/>
          <w:szCs w:val="32"/>
          <w:lang w:eastAsia="zh-CN"/>
        </w:rPr>
        <w:t>增加电话补贴所致</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2559.96</w:t>
      </w:r>
      <w:r>
        <w:rPr>
          <w:rFonts w:hint="eastAsia" w:ascii="仿宋_GB2312" w:hAnsi="仿宋_GB2312" w:eastAsia="仿宋_GB2312" w:cs="仿宋_GB2312"/>
          <w:sz w:val="32"/>
          <w:szCs w:val="32"/>
        </w:rPr>
        <w:t>万元，项目支出</w:t>
      </w:r>
      <w:r>
        <w:rPr>
          <w:rFonts w:hint="eastAsia" w:ascii="仿宋_GB2312" w:hAnsi="仿宋_GB2312" w:eastAsia="仿宋_GB2312" w:cs="仿宋_GB2312"/>
          <w:sz w:val="32"/>
          <w:szCs w:val="32"/>
          <w:lang w:eastAsia="zh-CN"/>
        </w:rPr>
        <w:t>减少原因为较少洁净煤补贴等项</w:t>
      </w:r>
      <w:r>
        <w:rPr>
          <w:rFonts w:hint="eastAsia" w:ascii="仿宋_GB2312" w:hAnsi="仿宋_GB2312" w:eastAsia="仿宋_GB2312" w:cs="仿宋_GB2312"/>
          <w:sz w:val="32"/>
          <w:szCs w:val="32"/>
        </w:rPr>
        <w:t>。</w:t>
      </w:r>
    </w:p>
    <w:p>
      <w:pPr>
        <w:widowControl/>
        <w:spacing w:line="540" w:lineRule="exact"/>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三、机关运行经费安排情况</w:t>
      </w:r>
    </w:p>
    <w:p>
      <w:pPr>
        <w:widowControl/>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日常公用经费支出总计</w:t>
      </w:r>
      <w:r>
        <w:rPr>
          <w:rFonts w:hint="eastAsia" w:ascii="仿宋_GB2312" w:hAnsi="仿宋_GB2312" w:eastAsia="仿宋_GB2312" w:cs="仿宋_GB2312"/>
          <w:sz w:val="28"/>
          <w:szCs w:val="28"/>
          <w:lang w:val="en-US" w:eastAsia="zh-CN"/>
        </w:rPr>
        <w:t>86.99万</w:t>
      </w:r>
      <w:r>
        <w:rPr>
          <w:rFonts w:hint="eastAsia" w:ascii="仿宋_GB2312" w:hAnsi="仿宋_GB2312" w:eastAsia="仿宋_GB2312" w:cs="仿宋_GB2312"/>
          <w:sz w:val="32"/>
          <w:szCs w:val="32"/>
        </w:rPr>
        <w:t>元。其中：</w:t>
      </w:r>
    </w:p>
    <w:p>
      <w:pPr>
        <w:widowControl/>
        <w:spacing w:line="5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、办公费：</w:t>
      </w:r>
      <w:r>
        <w:rPr>
          <w:rFonts w:hint="eastAsia" w:ascii="仿宋_GB2312" w:hAnsi="仿宋_GB2312" w:eastAsia="仿宋_GB2312" w:cs="仿宋_GB2312"/>
          <w:sz w:val="32"/>
          <w:szCs w:val="32"/>
          <w:lang w:val="en-US" w:eastAsia="zh-CN"/>
        </w:rPr>
        <w:t>15.74万</w:t>
      </w:r>
      <w:r>
        <w:rPr>
          <w:rFonts w:hint="eastAsia" w:ascii="仿宋_GB2312" w:hAnsi="仿宋_GB2312" w:eastAsia="仿宋_GB2312" w:cs="仿宋_GB2312"/>
          <w:sz w:val="32"/>
          <w:szCs w:val="32"/>
        </w:rPr>
        <w:t>元。</w:t>
      </w:r>
    </w:p>
    <w:p>
      <w:pPr>
        <w:widowControl/>
        <w:spacing w:line="5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、邮电费：</w:t>
      </w:r>
      <w:r>
        <w:rPr>
          <w:rFonts w:hint="eastAsia" w:ascii="仿宋_GB2312" w:hAnsi="仿宋_GB2312" w:eastAsia="仿宋_GB2312" w:cs="仿宋_GB2312"/>
          <w:sz w:val="32"/>
          <w:szCs w:val="32"/>
          <w:lang w:val="en-US" w:eastAsia="zh-CN"/>
        </w:rPr>
        <w:t>26.83万</w:t>
      </w:r>
      <w:r>
        <w:rPr>
          <w:rFonts w:hint="eastAsia" w:ascii="仿宋_GB2312" w:hAnsi="仿宋_GB2312" w:eastAsia="仿宋_GB2312" w:cs="仿宋_GB2312"/>
          <w:sz w:val="32"/>
          <w:szCs w:val="32"/>
        </w:rPr>
        <w:t>元。</w:t>
      </w:r>
    </w:p>
    <w:p>
      <w:pPr>
        <w:widowControl/>
        <w:spacing w:line="540" w:lineRule="exact"/>
        <w:ind w:firstLine="636" w:firstLineChars="199"/>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、差旅费：</w:t>
      </w:r>
      <w:r>
        <w:rPr>
          <w:rFonts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万</w:t>
      </w:r>
      <w:r>
        <w:rPr>
          <w:rFonts w:hint="eastAsia" w:ascii="仿宋_GB2312" w:hAnsi="仿宋_GB2312" w:eastAsia="仿宋_GB2312" w:cs="仿宋_GB2312"/>
          <w:sz w:val="32"/>
          <w:szCs w:val="32"/>
        </w:rPr>
        <w:t>元。按不超上年标准安排。</w:t>
      </w:r>
      <w:r>
        <w:rPr>
          <w:rFonts w:ascii="仿宋_GB2312" w:hAnsi="仿宋_GB2312" w:eastAsia="仿宋_GB2312" w:cs="仿宋_GB2312"/>
          <w:sz w:val="32"/>
          <w:szCs w:val="32"/>
        </w:rPr>
        <w:br w:type="textWrapping"/>
      </w:r>
      <w:r>
        <w:rPr>
          <w:rFonts w:ascii="仿宋_GB2312" w:hAnsi="仿宋_GB2312" w:eastAsia="仿宋_GB2312" w:cs="仿宋_GB2312"/>
          <w:sz w:val="32"/>
          <w:szCs w:val="32"/>
        </w:rPr>
        <w:t xml:space="preserve">    4</w:t>
      </w:r>
      <w:r>
        <w:rPr>
          <w:rFonts w:hint="eastAsia" w:ascii="仿宋_GB2312" w:hAnsi="仿宋_GB2312" w:eastAsia="仿宋_GB2312" w:cs="仿宋_GB2312"/>
          <w:sz w:val="32"/>
          <w:szCs w:val="32"/>
        </w:rPr>
        <w:t>、公务接待费：</w:t>
      </w:r>
      <w:r>
        <w:rPr>
          <w:rFonts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万</w:t>
      </w:r>
      <w:r>
        <w:rPr>
          <w:rFonts w:hint="eastAsia" w:ascii="仿宋_GB2312" w:hAnsi="仿宋_GB2312" w:eastAsia="仿宋_GB2312" w:cs="仿宋_GB2312"/>
          <w:sz w:val="32"/>
          <w:szCs w:val="32"/>
        </w:rPr>
        <w:t>元。按上年支出预算安排。</w:t>
      </w:r>
    </w:p>
    <w:p>
      <w:pPr>
        <w:widowControl/>
        <w:spacing w:line="540" w:lineRule="exact"/>
        <w:ind w:left="638" w:leftChars="304"/>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、工会经费</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0.94万</w:t>
      </w:r>
      <w:r>
        <w:rPr>
          <w:rFonts w:hint="eastAsia" w:ascii="仿宋_GB2312" w:hAnsi="仿宋_GB2312" w:eastAsia="仿宋_GB2312" w:cs="仿宋_GB2312"/>
          <w:sz w:val="32"/>
          <w:szCs w:val="32"/>
        </w:rPr>
        <w:t>元。按在职职工每人每年</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元安排。</w:t>
      </w:r>
    </w:p>
    <w:p>
      <w:pPr>
        <w:widowControl/>
        <w:spacing w:line="5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、福利费：</w:t>
      </w:r>
      <w:r>
        <w:rPr>
          <w:rFonts w:hint="eastAsia" w:ascii="仿宋_GB2312" w:hAnsi="仿宋_GB2312" w:eastAsia="仿宋_GB2312" w:cs="仿宋_GB2312"/>
          <w:sz w:val="32"/>
          <w:szCs w:val="32"/>
          <w:lang w:val="en-US" w:eastAsia="zh-CN"/>
        </w:rPr>
        <w:t>1.66万</w:t>
      </w:r>
      <w:r>
        <w:rPr>
          <w:rFonts w:hint="eastAsia" w:ascii="仿宋_GB2312" w:hAnsi="仿宋_GB2312" w:eastAsia="仿宋_GB2312" w:cs="仿宋_GB2312"/>
          <w:sz w:val="32"/>
          <w:szCs w:val="32"/>
        </w:rPr>
        <w:t>元：按在职职工每人每年</w:t>
      </w:r>
      <w:r>
        <w:rPr>
          <w:rFonts w:ascii="仿宋_GB2312" w:hAnsi="仿宋_GB2312" w:eastAsia="仿宋_GB2312" w:cs="仿宋_GB2312"/>
          <w:sz w:val="32"/>
          <w:szCs w:val="32"/>
        </w:rPr>
        <w:t>150</w:t>
      </w:r>
      <w:r>
        <w:rPr>
          <w:rFonts w:hint="eastAsia" w:ascii="仿宋_GB2312" w:hAnsi="仿宋_GB2312" w:eastAsia="仿宋_GB2312" w:cs="仿宋_GB2312"/>
          <w:sz w:val="32"/>
          <w:szCs w:val="32"/>
        </w:rPr>
        <w:t>元安排。退休人员每年</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元安排。</w:t>
      </w:r>
    </w:p>
    <w:p>
      <w:pPr>
        <w:widowControl/>
        <w:spacing w:line="5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、公务用车运行维护费：</w:t>
      </w:r>
      <w:r>
        <w:rPr>
          <w:rFonts w:ascii="仿宋_GB2312" w:hAnsi="仿宋_GB2312" w:eastAsia="仿宋_GB2312" w:cs="仿宋_GB2312"/>
          <w:sz w:val="32"/>
          <w:szCs w:val="32"/>
        </w:rPr>
        <w:t>8</w:t>
      </w:r>
      <w:r>
        <w:rPr>
          <w:rFonts w:hint="eastAsia" w:ascii="仿宋_GB2312" w:hAnsi="仿宋_GB2312" w:eastAsia="仿宋_GB2312" w:cs="仿宋_GB2312"/>
          <w:sz w:val="32"/>
          <w:szCs w:val="32"/>
          <w:lang w:eastAsia="zh-CN"/>
        </w:rPr>
        <w:t>万</w:t>
      </w:r>
      <w:r>
        <w:rPr>
          <w:rFonts w:hint="eastAsia" w:ascii="仿宋_GB2312" w:hAnsi="仿宋_GB2312" w:eastAsia="仿宋_GB2312" w:cs="仿宋_GB2312"/>
          <w:sz w:val="32"/>
          <w:szCs w:val="32"/>
        </w:rPr>
        <w:t>元。按每年每辆</w:t>
      </w:r>
      <w:r>
        <w:rPr>
          <w:rFonts w:ascii="仿宋_GB2312" w:hAnsi="仿宋_GB2312" w:eastAsia="仿宋_GB2312" w:cs="仿宋_GB2312"/>
          <w:sz w:val="32"/>
          <w:szCs w:val="32"/>
        </w:rPr>
        <w:t>20000</w:t>
      </w:r>
      <w:r>
        <w:rPr>
          <w:rFonts w:hint="eastAsia" w:ascii="仿宋_GB2312" w:hAnsi="仿宋_GB2312" w:eastAsia="仿宋_GB2312" w:cs="仿宋_GB2312"/>
          <w:sz w:val="32"/>
          <w:szCs w:val="32"/>
        </w:rPr>
        <w:t>元安排</w:t>
      </w:r>
      <w:r>
        <w:rPr>
          <w:rFonts w:ascii="仿宋_GB2312" w:hAnsi="仿宋_GB2312" w:eastAsia="仿宋_GB2312" w:cs="仿宋_GB2312"/>
          <w:sz w:val="32"/>
          <w:szCs w:val="32"/>
        </w:rPr>
        <w:t>.</w:t>
      </w:r>
    </w:p>
    <w:p>
      <w:pPr>
        <w:widowControl/>
        <w:spacing w:line="5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8</w:t>
      </w:r>
      <w:r>
        <w:rPr>
          <w:rFonts w:hint="eastAsia" w:ascii="仿宋_GB2312" w:hAnsi="仿宋_GB2312" w:eastAsia="仿宋_GB2312" w:cs="仿宋_GB2312"/>
          <w:sz w:val="32"/>
          <w:szCs w:val="32"/>
        </w:rPr>
        <w:t>、其他交通费（公务交通补贴）：</w:t>
      </w:r>
      <w:r>
        <w:rPr>
          <w:rFonts w:hint="eastAsia" w:ascii="仿宋_GB2312" w:hAnsi="仿宋_GB2312" w:eastAsia="仿宋_GB2312" w:cs="仿宋_GB2312"/>
          <w:sz w:val="32"/>
          <w:szCs w:val="32"/>
          <w:lang w:val="en-US" w:eastAsia="zh-CN"/>
        </w:rPr>
        <w:t>29.82万</w:t>
      </w:r>
      <w:r>
        <w:rPr>
          <w:rFonts w:hint="eastAsia" w:ascii="仿宋_GB2312" w:hAnsi="仿宋_GB2312" w:eastAsia="仿宋_GB2312" w:cs="仿宋_GB2312"/>
          <w:sz w:val="32"/>
          <w:szCs w:val="32"/>
        </w:rPr>
        <w:t>元。按在职人数及标准安排</w:t>
      </w:r>
      <w:r>
        <w:rPr>
          <w:rFonts w:ascii="仿宋_GB2312" w:hAnsi="仿宋_GB2312" w:eastAsia="仿宋_GB2312" w:cs="仿宋_GB2312"/>
          <w:sz w:val="32"/>
          <w:szCs w:val="32"/>
        </w:rPr>
        <w:t>.</w:t>
      </w:r>
    </w:p>
    <w:p>
      <w:pPr>
        <w:widowControl/>
        <w:spacing w:line="54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9、培训费1万元。</w:t>
      </w:r>
    </w:p>
    <w:p>
      <w:pPr>
        <w:widowControl/>
        <w:snapToGrid w:val="0"/>
        <w:spacing w:line="588" w:lineRule="exact"/>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四、“三公”经费</w:t>
      </w:r>
      <w:r>
        <w:rPr>
          <w:rFonts w:hint="eastAsia" w:ascii="仿宋_GB2312" w:hAnsi="仿宋_GB2312" w:eastAsia="仿宋_GB2312" w:cs="仿宋_GB2312"/>
          <w:b/>
          <w:sz w:val="32"/>
          <w:szCs w:val="32"/>
          <w:lang w:eastAsia="zh-CN"/>
        </w:rPr>
        <w:t>预算</w:t>
      </w:r>
      <w:r>
        <w:rPr>
          <w:rFonts w:hint="eastAsia" w:ascii="仿宋_GB2312" w:hAnsi="仿宋_GB2312" w:eastAsia="仿宋_GB2312" w:cs="仿宋_GB2312"/>
          <w:b/>
          <w:sz w:val="32"/>
          <w:szCs w:val="32"/>
        </w:rPr>
        <w:t>情况</w:t>
      </w:r>
    </w:p>
    <w:p>
      <w:pPr>
        <w:widowControl/>
        <w:snapToGrid w:val="0"/>
        <w:spacing w:line="588"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年“三公”经费预算安排</w:t>
      </w:r>
      <w:r>
        <w:rPr>
          <w:rFonts w:hint="eastAsia" w:ascii="仿宋_GB2312" w:hAnsi="仿宋_GB2312" w:eastAsia="仿宋_GB2312" w:cs="仿宋_GB2312"/>
          <w:sz w:val="32"/>
          <w:szCs w:val="32"/>
          <w:lang w:val="en-US" w:eastAsia="zh-CN"/>
        </w:rPr>
        <w:t>27万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同比增加</w:t>
      </w:r>
      <w:r>
        <w:rPr>
          <w:rFonts w:hint="eastAsia" w:ascii="仿宋_GB2312" w:hAnsi="仿宋_GB2312" w:eastAsia="仿宋_GB2312" w:cs="仿宋_GB2312"/>
          <w:sz w:val="32"/>
          <w:szCs w:val="32"/>
          <w:lang w:val="en-US" w:eastAsia="zh-CN"/>
        </w:rPr>
        <w:t>18万元。</w:t>
      </w:r>
      <w:r>
        <w:rPr>
          <w:rFonts w:hint="eastAsia" w:ascii="仿宋_GB2312" w:hAnsi="仿宋_GB2312" w:eastAsia="仿宋_GB2312" w:cs="仿宋_GB2312"/>
          <w:sz w:val="32"/>
          <w:szCs w:val="32"/>
        </w:rPr>
        <w:t>其中：</w:t>
      </w:r>
    </w:p>
    <w:p>
      <w:pPr>
        <w:widowControl/>
        <w:numPr>
          <w:ilvl w:val="0"/>
          <w:numId w:val="2"/>
        </w:numPr>
        <w:snapToGrid w:val="0"/>
        <w:spacing w:line="58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公务用车运行维护费为</w:t>
      </w:r>
      <w:r>
        <w:rPr>
          <w:rFonts w:ascii="仿宋_GB2312" w:hAnsi="仿宋_GB2312" w:eastAsia="仿宋_GB2312" w:cs="仿宋_GB2312"/>
          <w:sz w:val="32"/>
          <w:szCs w:val="32"/>
        </w:rPr>
        <w:t>80000</w:t>
      </w:r>
      <w:r>
        <w:rPr>
          <w:rFonts w:hint="eastAsia" w:ascii="仿宋_GB2312" w:hAnsi="仿宋_GB2312" w:eastAsia="仿宋_GB2312" w:cs="仿宋_GB2312"/>
          <w:sz w:val="32"/>
          <w:szCs w:val="32"/>
        </w:rPr>
        <w:t>元，公务用车</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辆。</w:t>
      </w:r>
      <w:r>
        <w:rPr>
          <w:rFonts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年公务用车运行维护费预算安排</w:t>
      </w:r>
      <w:r>
        <w:rPr>
          <w:rFonts w:ascii="仿宋_GB2312" w:hAnsi="仿宋_GB2312" w:eastAsia="仿宋_GB2312" w:cs="仿宋_GB2312"/>
          <w:sz w:val="32"/>
          <w:szCs w:val="32"/>
        </w:rPr>
        <w:t>80000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、公务用车购置费</w:t>
      </w:r>
      <w:r>
        <w:rPr>
          <w:rFonts w:hint="eastAsia" w:ascii="仿宋_GB2312" w:hAnsi="仿宋_GB2312" w:eastAsia="仿宋_GB2312" w:cs="仿宋_GB2312"/>
          <w:sz w:val="32"/>
          <w:szCs w:val="32"/>
          <w:lang w:val="en-US" w:eastAsia="zh-CN"/>
        </w:rPr>
        <w:t>18万元。</w:t>
      </w:r>
      <w:r>
        <w:rPr>
          <w:rFonts w:hint="eastAsia" w:ascii="仿宋_GB2312" w:hAnsi="仿宋_GB2312" w:eastAsia="仿宋_GB2312" w:cs="仿宋_GB2312"/>
          <w:sz w:val="32"/>
          <w:szCs w:val="32"/>
        </w:rPr>
        <w:t>公务用车运行维护费与上年持平</w:t>
      </w:r>
      <w:r>
        <w:rPr>
          <w:rFonts w:hint="eastAsia" w:ascii="仿宋_GB2312" w:hAnsi="仿宋_GB2312" w:eastAsia="仿宋_GB2312" w:cs="仿宋_GB2312"/>
          <w:sz w:val="32"/>
          <w:szCs w:val="32"/>
          <w:lang w:eastAsia="zh-CN"/>
        </w:rPr>
        <w:t>，购置费增加</w:t>
      </w:r>
      <w:r>
        <w:rPr>
          <w:rFonts w:hint="eastAsia" w:ascii="仿宋_GB2312" w:hAnsi="仿宋_GB2312" w:eastAsia="仿宋_GB2312" w:cs="仿宋_GB2312"/>
          <w:sz w:val="32"/>
          <w:szCs w:val="32"/>
          <w:lang w:val="en-US" w:eastAsia="zh-CN"/>
        </w:rPr>
        <w:t>18万元。</w:t>
      </w:r>
    </w:p>
    <w:p>
      <w:pPr>
        <w:widowControl/>
        <w:numPr>
          <w:ilvl w:val="0"/>
          <w:numId w:val="0"/>
        </w:numPr>
        <w:snapToGrid w:val="0"/>
        <w:spacing w:line="588" w:lineRule="exact"/>
        <w:ind w:firstLine="640" w:firstLineChars="200"/>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、公务接待费</w:t>
      </w:r>
      <w:r>
        <w:rPr>
          <w:rFonts w:ascii="仿宋_GB2312" w:hAnsi="仿宋_GB2312" w:eastAsia="仿宋_GB2312" w:cs="仿宋_GB2312"/>
          <w:sz w:val="32"/>
          <w:szCs w:val="32"/>
        </w:rPr>
        <w:t>10000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与上年持平</w:t>
      </w:r>
    </w:p>
    <w:p>
      <w:pPr>
        <w:widowControl/>
        <w:snapToGrid w:val="0"/>
        <w:spacing w:line="588" w:lineRule="exact"/>
        <w:ind w:firstLine="640" w:firstLineChars="200"/>
        <w:rPr>
          <w:rFonts w:ascii="仿宋_GB2312" w:hAnsi="仿宋_GB2312" w:eastAsia="仿宋_GB2312" w:cs="仿宋_GB2312"/>
          <w:sz w:val="32"/>
          <w:szCs w:val="32"/>
        </w:rPr>
        <w:sectPr>
          <w:footerReference r:id="rId4" w:type="default"/>
          <w:pgSz w:w="11907" w:h="16839"/>
          <w:pgMar w:top="1361" w:right="1021" w:bottom="1361" w:left="1021" w:header="851" w:footer="992" w:gutter="0"/>
          <w:cols w:space="720" w:num="1"/>
          <w:docGrid w:type="linesAndChars" w:linePitch="312" w:charSpace="0"/>
        </w:sect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、因公出国经费和公务用车购置费：无。</w:t>
      </w:r>
      <w:r>
        <w:rPr>
          <w:rFonts w:hint="eastAsia" w:ascii="仿宋_GB2312" w:hAnsi="仿宋_GB2312" w:eastAsia="仿宋_GB2312" w:cs="仿宋_GB2312"/>
          <w:sz w:val="30"/>
          <w:szCs w:val="30"/>
        </w:rPr>
        <w:t>没有增减变化。</w:t>
      </w:r>
    </w:p>
    <w:p>
      <w:pPr>
        <w:widowControl/>
        <w:snapToGrid w:val="0"/>
        <w:spacing w:line="588" w:lineRule="exact"/>
        <w:ind w:firstLine="643" w:firstLineChars="200"/>
        <w:rPr>
          <w:rFonts w:ascii="宋体"/>
          <w:b/>
          <w:sz w:val="32"/>
          <w:szCs w:val="32"/>
        </w:rPr>
      </w:pPr>
      <w:r>
        <w:rPr>
          <w:rFonts w:hint="eastAsia" w:ascii="宋体" w:hAnsi="宋体"/>
          <w:b/>
          <w:sz w:val="32"/>
          <w:szCs w:val="32"/>
        </w:rPr>
        <w:t>五、绩效预算信息情况</w:t>
      </w:r>
    </w:p>
    <w:p>
      <w:pPr>
        <w:spacing w:before="156" w:beforeLines="50" w:after="156" w:afterLines="50"/>
        <w:ind w:firstLine="560" w:firstLineChars="200"/>
        <w:jc w:val="left"/>
        <w:outlineLvl w:val="1"/>
        <w:rPr>
          <w:rFonts w:ascii="Times New Roman" w:hAnsi="宋体"/>
          <w:sz w:val="28"/>
        </w:rPr>
      </w:pPr>
      <w:bookmarkStart w:id="0" w:name="_Toc65504918"/>
      <w:r>
        <w:rPr>
          <w:rFonts w:hint="eastAsia" w:ascii="方正黑体_GBK" w:eastAsia="方正黑体_GBK"/>
          <w:sz w:val="28"/>
        </w:rPr>
        <w:t>一、总体绩效目标</w:t>
      </w:r>
      <w:bookmarkEnd w:id="0"/>
      <w:r>
        <w:fldChar w:fldCharType="begin"/>
      </w:r>
      <w:r>
        <w:rPr>
          <w:rFonts w:ascii="方正黑体_GBK" w:eastAsia="方正黑体_GBK"/>
          <w:sz w:val="28"/>
        </w:rPr>
        <w:instrText xml:space="preserve"> </w:instrText>
      </w:r>
      <w:r>
        <w:rPr>
          <w:rFonts w:hint="eastAsia" w:ascii="方正黑体_GBK" w:eastAsia="方正黑体_GBK"/>
          <w:sz w:val="28"/>
        </w:rPr>
        <w:instrText xml:space="preserve">TC 总体绩效目标 \f A \l 1</w:instrText>
      </w:r>
      <w:r>
        <w:rPr>
          <w:rFonts w:ascii="方正黑体_GBK" w:eastAsia="方正黑体_GBK"/>
          <w:sz w:val="28"/>
        </w:rPr>
        <w:instrText xml:space="preserve">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ascii="Times New Roman" w:eastAsia="方正仿宋_GBK"/>
          <w:sz w:val="28"/>
        </w:rPr>
        <w:t>拟定并组织实施全区国民经济和社会发展战略、中长期规划规划和年度计划；提出全区国民经济发展和优化经济结构的目标、政策建议。拟定全区全社会固定资产投资总规模和投资结构的调控目标、政策措施，负责省、市重点项目的申报、协调、调度和督导，配合上级主管部门对重点项目稽查。推进可持续发展战略，负责完成全区节能削煤降碳目标任务的综合协调工作；组织拟订发展循环经济和节能环保产业、全社会能源资源节约和综合利用政策建业并协调实施。贯彻执行国家的价格法律法规和方针政策。开展刑事、民事、经济、行政以及仲裁案件涉及的各种扣押、追缴、没收及纠纷财物的价格鉴定；开展价格行为合法性和价格水平合理性认证、价格纠纷调解。制定全区粮食市场体系建设与发展规划并组织实施，编制粮食流通、仓储、加工设施建设规划，管理有关粮食流通设施投资项目。指导全区粮食储存保管及安全生产工作，负责对粮食收购、储存环节的粮食质量安全和原粮卫生进行监督管理。完成区委、区政府交办的其他事项。</w:t>
      </w:r>
    </w:p>
    <w:p>
      <w:pPr>
        <w:spacing w:line="500" w:lineRule="exact"/>
        <w:ind w:firstLine="560" w:firstLineChars="200"/>
        <w:jc w:val="left"/>
        <w:rPr>
          <w:rFonts w:ascii="Times New Roman" w:eastAsia="方正仿宋_GBK"/>
          <w:sz w:val="28"/>
        </w:rPr>
      </w:pPr>
    </w:p>
    <w:p>
      <w:pPr>
        <w:spacing w:before="156" w:beforeLines="50" w:after="156" w:afterLines="50" w:line="500" w:lineRule="exact"/>
        <w:ind w:firstLine="560" w:firstLineChars="200"/>
        <w:jc w:val="left"/>
        <w:outlineLvl w:val="1"/>
        <w:rPr>
          <w:rFonts w:ascii="Times New Roman" w:hAnsi="宋体"/>
          <w:sz w:val="28"/>
        </w:rPr>
      </w:pPr>
      <w:bookmarkStart w:id="1" w:name="_Toc65504919"/>
      <w:r>
        <w:rPr>
          <w:rFonts w:hint="eastAsia" w:ascii="方正黑体_GBK" w:eastAsia="方正黑体_GBK"/>
          <w:sz w:val="28"/>
        </w:rPr>
        <w:t>二、分项绩效目标</w:t>
      </w:r>
      <w:bookmarkEnd w:id="1"/>
      <w:r>
        <w:fldChar w:fldCharType="begin"/>
      </w:r>
      <w:r>
        <w:rPr>
          <w:rFonts w:ascii="方正黑体_GBK" w:eastAsia="方正黑体_GBK"/>
          <w:sz w:val="28"/>
        </w:rPr>
        <w:instrText xml:space="preserve"> </w:instrText>
      </w:r>
      <w:r>
        <w:rPr>
          <w:rFonts w:hint="eastAsia" w:ascii="方正黑体_GBK" w:eastAsia="方正黑体_GBK"/>
          <w:sz w:val="28"/>
        </w:rPr>
        <w:instrText xml:space="preserve">TC 分项绩效目标 \f A \l 1</w:instrText>
      </w:r>
      <w:r>
        <w:rPr>
          <w:rFonts w:ascii="方正黑体_GBK" w:eastAsia="方正黑体_GBK"/>
          <w:sz w:val="28"/>
        </w:rPr>
        <w:instrText xml:space="preserve">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ascii="Times New Roman" w:eastAsia="方正仿宋_GBK"/>
          <w:sz w:val="28"/>
        </w:rPr>
        <w:t>1、规划、计划及课题编制</w:t>
      </w:r>
    </w:p>
    <w:p>
      <w:pPr>
        <w:spacing w:line="500" w:lineRule="exact"/>
        <w:ind w:firstLine="560" w:firstLineChars="200"/>
        <w:jc w:val="left"/>
        <w:rPr>
          <w:rFonts w:ascii="Times New Roman" w:eastAsia="方正仿宋_GBK"/>
          <w:sz w:val="28"/>
        </w:rPr>
      </w:pPr>
      <w:r>
        <w:rPr>
          <w:rFonts w:ascii="Times New Roman" w:eastAsia="方正仿宋_GBK"/>
          <w:sz w:val="28"/>
        </w:rPr>
        <w:t>绩效目标：规划和计划前瞻性、科学性、可操作性较强；规划目标全面、先进、可行；及时评估调度，动态调整。确保重点领域和区域经济社会规划与国民经济和社会发展规划、计划的衔接和协调。企业改制工作顺利推进；积极参与政策研究，对相关政策落实情况进行督导。</w:t>
      </w:r>
    </w:p>
    <w:p>
      <w:pPr>
        <w:spacing w:line="500" w:lineRule="exact"/>
        <w:ind w:firstLine="560" w:firstLineChars="200"/>
        <w:jc w:val="left"/>
        <w:rPr>
          <w:rFonts w:ascii="Times New Roman" w:eastAsia="方正仿宋_GBK"/>
          <w:sz w:val="28"/>
        </w:rPr>
      </w:pPr>
      <w:r>
        <w:rPr>
          <w:rFonts w:ascii="Times New Roman" w:eastAsia="方正仿宋_GBK"/>
          <w:sz w:val="28"/>
        </w:rPr>
        <w:t>绩效指标：各类经济社会发展中长期规划编制完成率，当年实际完成经济社会发展中长期规划编制数量占经济社会发展中长期规划编制计划数量的比例大于等于99%。改革改制遗留问题处理率（%），完成处理的政策障碍遗留问题数与发现的所有遗留问题总数的比率大于等于90%。</w:t>
      </w:r>
    </w:p>
    <w:p>
      <w:pPr>
        <w:spacing w:line="500" w:lineRule="exact"/>
        <w:ind w:firstLine="560" w:firstLineChars="200"/>
        <w:jc w:val="left"/>
        <w:rPr>
          <w:rFonts w:ascii="Times New Roman" w:eastAsia="方正仿宋_GBK"/>
          <w:sz w:val="28"/>
        </w:rPr>
      </w:pPr>
      <w:r>
        <w:rPr>
          <w:rFonts w:ascii="Times New Roman" w:eastAsia="方正仿宋_GBK"/>
          <w:sz w:val="28"/>
        </w:rPr>
        <w:t>2、能源行业的协调管理，能源发展的政策建议</w:t>
      </w:r>
    </w:p>
    <w:p>
      <w:pPr>
        <w:spacing w:line="500" w:lineRule="exact"/>
        <w:ind w:firstLine="560" w:firstLineChars="200"/>
        <w:jc w:val="left"/>
        <w:rPr>
          <w:rFonts w:ascii="Times New Roman" w:eastAsia="方正仿宋_GBK"/>
          <w:sz w:val="28"/>
        </w:rPr>
      </w:pPr>
      <w:r>
        <w:rPr>
          <w:rFonts w:ascii="Times New Roman" w:eastAsia="方正仿宋_GBK"/>
          <w:sz w:val="28"/>
        </w:rPr>
        <w:t>绩效目标：加强能源项目管理，促进新能源项目发展做好运行分析、数据上报、要素保障、应急处置、安全管理等工作，确保经济社会运行平稳有序和健康发展；</w:t>
      </w:r>
    </w:p>
    <w:p>
      <w:pPr>
        <w:spacing w:line="500" w:lineRule="exact"/>
        <w:ind w:firstLine="560" w:firstLineChars="200"/>
        <w:jc w:val="left"/>
        <w:rPr>
          <w:rFonts w:ascii="Times New Roman" w:eastAsia="方正仿宋_GBK"/>
          <w:sz w:val="28"/>
        </w:rPr>
      </w:pPr>
      <w:r>
        <w:rPr>
          <w:rFonts w:ascii="Times New Roman" w:eastAsia="方正仿宋_GBK"/>
          <w:sz w:val="28"/>
        </w:rPr>
        <w:t>绩效指标：煤电油气运调度完成率，完成煤电油气运的协调调度工作大于等于90%。</w:t>
      </w:r>
    </w:p>
    <w:p>
      <w:pPr>
        <w:spacing w:line="500" w:lineRule="exact"/>
        <w:ind w:firstLine="560" w:firstLineChars="200"/>
        <w:jc w:val="left"/>
        <w:rPr>
          <w:rFonts w:ascii="Times New Roman" w:eastAsia="方正仿宋_GBK"/>
          <w:sz w:val="28"/>
        </w:rPr>
      </w:pPr>
      <w:r>
        <w:rPr>
          <w:rFonts w:ascii="Times New Roman" w:eastAsia="方正仿宋_GBK"/>
          <w:sz w:val="28"/>
        </w:rPr>
        <w:t>3、组织实施全区重点项目，央企项目管理，招商引资。</w:t>
      </w:r>
    </w:p>
    <w:p>
      <w:pPr>
        <w:spacing w:line="500" w:lineRule="exact"/>
        <w:ind w:firstLine="560" w:firstLineChars="200"/>
        <w:jc w:val="left"/>
        <w:rPr>
          <w:rFonts w:ascii="Times New Roman" w:eastAsia="方正仿宋_GBK"/>
          <w:sz w:val="28"/>
        </w:rPr>
      </w:pPr>
      <w:r>
        <w:rPr>
          <w:rFonts w:ascii="Times New Roman" w:eastAsia="方正仿宋_GBK"/>
          <w:sz w:val="28"/>
        </w:rPr>
        <w:t>绩效目标：加强重点项目谋划、协调，推动重点项目顺利实施。加强项目监管，推动项目顺利实施。加强与市发改委央企处对接，做好全区央企服务项目的有关工作，完成年初区内制定的招商引资任务。</w:t>
      </w:r>
    </w:p>
    <w:p>
      <w:pPr>
        <w:spacing w:line="500" w:lineRule="exact"/>
        <w:ind w:firstLine="560" w:firstLineChars="200"/>
        <w:jc w:val="left"/>
        <w:rPr>
          <w:rFonts w:ascii="Times New Roman" w:eastAsia="方正仿宋_GBK"/>
          <w:sz w:val="28"/>
        </w:rPr>
      </w:pPr>
      <w:r>
        <w:rPr>
          <w:rFonts w:ascii="Times New Roman" w:eastAsia="方正仿宋_GBK"/>
          <w:sz w:val="28"/>
        </w:rPr>
        <w:t>绩效指标：项目完工率，年度重点建设项目完工占计划完工项目的比例大于等于90%。央企项目完成率，项目完成数占计划完成数的比例大于等于90%。签订正式协议项目数，项目签约占任务数的比例超额完成任务。</w:t>
      </w:r>
    </w:p>
    <w:p>
      <w:pPr>
        <w:spacing w:line="500" w:lineRule="exact"/>
        <w:ind w:firstLine="560" w:firstLineChars="200"/>
        <w:jc w:val="left"/>
        <w:rPr>
          <w:rFonts w:ascii="Times New Roman" w:eastAsia="方正仿宋_GBK"/>
          <w:sz w:val="28"/>
        </w:rPr>
      </w:pPr>
      <w:r>
        <w:rPr>
          <w:rFonts w:ascii="Times New Roman" w:eastAsia="方正仿宋_GBK"/>
          <w:sz w:val="28"/>
        </w:rPr>
        <w:t>4、综合事务管理</w:t>
      </w:r>
    </w:p>
    <w:p>
      <w:pPr>
        <w:spacing w:line="500" w:lineRule="exact"/>
        <w:ind w:firstLine="560" w:firstLineChars="200"/>
        <w:jc w:val="left"/>
        <w:rPr>
          <w:rFonts w:ascii="Times New Roman" w:eastAsia="方正仿宋_GBK"/>
          <w:sz w:val="28"/>
        </w:rPr>
      </w:pPr>
      <w:r>
        <w:rPr>
          <w:rFonts w:ascii="Times New Roman" w:eastAsia="方正仿宋_GBK"/>
          <w:sz w:val="28"/>
        </w:rPr>
        <w:t>绩效目标：保障发展改革工作正常开展</w:t>
      </w:r>
    </w:p>
    <w:p>
      <w:pPr>
        <w:spacing w:line="500" w:lineRule="exact"/>
        <w:ind w:firstLine="560" w:firstLineChars="200"/>
        <w:jc w:val="left"/>
        <w:rPr>
          <w:rFonts w:ascii="Times New Roman" w:eastAsia="方正仿宋_GBK"/>
          <w:sz w:val="28"/>
        </w:rPr>
      </w:pPr>
      <w:r>
        <w:rPr>
          <w:rFonts w:ascii="Times New Roman" w:eastAsia="方正仿宋_GBK"/>
          <w:sz w:val="28"/>
        </w:rPr>
        <w:t>绩效指标：综合事务管理工作完成及时率，各项综合事务工作任务完成情况占各项综合事务工作任务的比例大于等于98%。</w:t>
      </w:r>
    </w:p>
    <w:p>
      <w:pPr>
        <w:spacing w:line="500" w:lineRule="exact"/>
        <w:ind w:firstLine="560" w:firstLineChars="200"/>
        <w:jc w:val="left"/>
        <w:rPr>
          <w:rFonts w:ascii="Times New Roman" w:eastAsia="方正仿宋_GBK"/>
          <w:sz w:val="28"/>
        </w:rPr>
      </w:pPr>
      <w:r>
        <w:rPr>
          <w:rFonts w:ascii="Times New Roman" w:eastAsia="方正仿宋_GBK"/>
          <w:sz w:val="28"/>
        </w:rPr>
        <w:t>5、粮食流通基础设施建设；粮食质量安全监测与体系建设</w:t>
      </w:r>
    </w:p>
    <w:p>
      <w:pPr>
        <w:spacing w:line="500" w:lineRule="exact"/>
        <w:ind w:firstLine="560" w:firstLineChars="200"/>
        <w:jc w:val="left"/>
        <w:rPr>
          <w:rFonts w:ascii="Times New Roman" w:eastAsia="方正仿宋_GBK"/>
          <w:sz w:val="28"/>
        </w:rPr>
      </w:pPr>
      <w:r>
        <w:rPr>
          <w:rFonts w:ascii="Times New Roman" w:eastAsia="方正仿宋_GBK"/>
          <w:sz w:val="28"/>
        </w:rPr>
        <w:t>绩效目标：粮食基础设施与粮食流通需求相匹配，粮食仓储损耗控制在国家、省市标准范围内，科学储粮率技术应用得到基本普及。</w:t>
      </w:r>
    </w:p>
    <w:p>
      <w:pPr>
        <w:spacing w:line="500" w:lineRule="exact"/>
        <w:ind w:firstLine="560" w:firstLineChars="200"/>
        <w:jc w:val="left"/>
        <w:rPr>
          <w:rFonts w:ascii="Times New Roman" w:eastAsia="方正仿宋_GBK"/>
          <w:sz w:val="28"/>
        </w:rPr>
      </w:pPr>
      <w:r>
        <w:rPr>
          <w:rFonts w:ascii="Times New Roman" w:eastAsia="方正仿宋_GBK"/>
          <w:sz w:val="28"/>
        </w:rPr>
        <w:t>绩效指标：仓储设施完好率，完好仓房、设备数占全部仓房、设备数的比例大于等于95%。</w:t>
      </w:r>
    </w:p>
    <w:p>
      <w:pPr>
        <w:spacing w:line="500" w:lineRule="exact"/>
        <w:ind w:firstLine="560" w:firstLineChars="200"/>
        <w:jc w:val="left"/>
        <w:rPr>
          <w:rFonts w:ascii="Times New Roman" w:eastAsia="方正仿宋_GBK"/>
          <w:sz w:val="28"/>
        </w:rPr>
      </w:pPr>
      <w:r>
        <w:rPr>
          <w:rFonts w:ascii="Times New Roman" w:eastAsia="方正仿宋_GBK"/>
          <w:sz w:val="28"/>
        </w:rPr>
        <w:t>6、司法案件、纪检监察案件涉案、财物、行政工作所涉财物价格认定</w:t>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 绩效目标：接受司法机关、行政机关提出的价格认定事项，遵循依法、公正、科学、效率的原则，作出准确、可靠的价格认定结论，为司法机关办理相关案件、为行政工作提供依据，保障司法、行政工作顺利进行；接受纪检监察机关提出的价格认定事项，遵循依法、公正、科学、效率的原则，作出准确、可靠的价格认定结论，为纪检监察机关办理案件提供依据，保障纪检监察工作顺利进行</w:t>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    绩效指标：受理案件率，受理案件数量占案件受理数量的比例大于等于98%。</w:t>
      </w:r>
    </w:p>
    <w:p>
      <w:pPr>
        <w:pStyle w:val="10"/>
        <w:shd w:val="clear" w:color="auto" w:fill="FFFFFF"/>
        <w:spacing w:before="0" w:beforeAutospacing="0" w:after="0" w:afterAutospacing="0" w:line="405" w:lineRule="atLeast"/>
        <w:ind w:firstLine="420"/>
        <w:rPr>
          <w:rFonts w:hint="eastAsia" w:asciiTheme="minorEastAsia" w:hAnsiTheme="minorEastAsia" w:eastAsiaTheme="minorEastAsia" w:cstheme="minorEastAsia"/>
          <w:b/>
          <w:color w:val="000000"/>
          <w:sz w:val="21"/>
          <w:szCs w:val="21"/>
        </w:rPr>
      </w:pPr>
    </w:p>
    <w:p>
      <w:pPr>
        <w:pStyle w:val="10"/>
        <w:shd w:val="clear" w:color="auto" w:fill="FFFFFF"/>
        <w:spacing w:before="0" w:beforeAutospacing="0" w:after="0" w:afterAutospacing="0" w:line="405" w:lineRule="atLeast"/>
        <w:ind w:firstLine="420"/>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六、</w:t>
      </w:r>
      <w:r>
        <w:rPr>
          <w:rFonts w:hint="eastAsia" w:ascii="仿宋_GB2312" w:hAnsi="仿宋_GB2312" w:eastAsia="仿宋_GB2312" w:cs="仿宋_GB2312"/>
          <w:b/>
          <w:bCs/>
          <w:color w:val="000000"/>
          <w:sz w:val="32"/>
          <w:szCs w:val="32"/>
        </w:rPr>
        <w:t>政府采购预算情况</w:t>
      </w:r>
    </w:p>
    <w:p>
      <w:pPr>
        <w:pStyle w:val="10"/>
        <w:shd w:val="clear" w:color="auto" w:fill="FFFFFF"/>
        <w:spacing w:before="0" w:beforeAutospacing="0" w:after="0" w:afterAutospacing="0" w:line="405" w:lineRule="atLeast"/>
        <w:ind w:firstLine="420"/>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本年度部门预算安排政府采购项目</w:t>
      </w:r>
      <w:r>
        <w:rPr>
          <w:rFonts w:hint="eastAsia" w:ascii="仿宋_GB2312" w:hAnsi="仿宋_GB2312" w:eastAsia="仿宋_GB2312" w:cs="仿宋_GB2312"/>
          <w:b/>
          <w:color w:val="000000"/>
          <w:sz w:val="32"/>
          <w:szCs w:val="32"/>
          <w:lang w:val="en-US" w:eastAsia="zh-CN"/>
        </w:rPr>
        <w:t>1个</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color w:val="000000"/>
          <w:sz w:val="32"/>
          <w:szCs w:val="32"/>
          <w:lang w:eastAsia="zh-CN"/>
        </w:rPr>
        <w:t>购买公务用车一辆，金额</w:t>
      </w:r>
      <w:r>
        <w:rPr>
          <w:rFonts w:hint="eastAsia" w:ascii="仿宋_GB2312" w:hAnsi="仿宋_GB2312" w:eastAsia="仿宋_GB2312" w:cs="仿宋_GB2312"/>
          <w:b/>
          <w:color w:val="000000"/>
          <w:sz w:val="32"/>
          <w:szCs w:val="32"/>
          <w:lang w:val="en-US" w:eastAsia="zh-CN"/>
        </w:rPr>
        <w:t>18万元</w:t>
      </w:r>
      <w:r>
        <w:rPr>
          <w:rFonts w:hint="eastAsia" w:ascii="仿宋_GB2312" w:hAnsi="仿宋_GB2312" w:eastAsia="仿宋_GB2312" w:cs="仿宋_GB2312"/>
          <w:b/>
          <w:color w:val="000000"/>
          <w:sz w:val="32"/>
          <w:szCs w:val="32"/>
        </w:rPr>
        <w:t>。</w:t>
      </w:r>
    </w:p>
    <w:p>
      <w:pPr>
        <w:snapToGrid w:val="0"/>
        <w:spacing w:line="588" w:lineRule="exact"/>
        <w:ind w:firstLine="482" w:firstLineChars="150"/>
        <w:rPr>
          <w:rFonts w:ascii="仿宋_GB2312" w:hAnsi="仿宋_GB2312" w:eastAsia="仿宋_GB2312" w:cs="仿宋_GB2312"/>
          <w:b/>
          <w:sz w:val="32"/>
          <w:szCs w:val="32"/>
        </w:rPr>
      </w:pPr>
      <w:r>
        <w:rPr>
          <w:rFonts w:hint="eastAsia" w:ascii="仿宋_GB2312" w:hAnsi="仿宋_GB2312" w:eastAsia="仿宋_GB2312" w:cs="仿宋_GB2312"/>
          <w:b/>
          <w:sz w:val="32"/>
          <w:szCs w:val="32"/>
        </w:rPr>
        <w:t>七、国有资产情况</w:t>
      </w:r>
    </w:p>
    <w:p>
      <w:pPr>
        <w:snapToGrid w:val="0"/>
        <w:spacing w:line="588"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eastAsia="zh-CN"/>
        </w:rPr>
        <w:t>末</w:t>
      </w:r>
      <w:r>
        <w:rPr>
          <w:rFonts w:hint="eastAsia" w:asciiTheme="minorEastAsia" w:hAnsiTheme="minorEastAsia" w:eastAsiaTheme="minorEastAsia" w:cstheme="minorEastAsia"/>
          <w:sz w:val="32"/>
          <w:szCs w:val="32"/>
        </w:rPr>
        <w:t>固定资产原值</w:t>
      </w:r>
      <w:r>
        <w:rPr>
          <w:rFonts w:hint="eastAsia" w:asciiTheme="minorEastAsia" w:hAnsiTheme="minorEastAsia" w:eastAsiaTheme="minorEastAsia" w:cstheme="minorEastAsia"/>
          <w:sz w:val="32"/>
          <w:szCs w:val="32"/>
          <w:lang w:val="en-US" w:eastAsia="zh-CN"/>
        </w:rPr>
        <w:t>207.49</w:t>
      </w:r>
      <w:r>
        <w:rPr>
          <w:rFonts w:hint="eastAsia" w:asciiTheme="minorEastAsia" w:hAnsiTheme="minorEastAsia" w:eastAsiaTheme="minorEastAsia" w:cstheme="minorEastAsia"/>
          <w:sz w:val="32"/>
          <w:szCs w:val="32"/>
        </w:rPr>
        <w:t>万元，其中</w:t>
      </w:r>
      <w:r>
        <w:rPr>
          <w:rFonts w:hint="eastAsia" w:asciiTheme="minorEastAsia" w:hAnsiTheme="minorEastAsia" w:eastAsiaTheme="minorEastAsia" w:cstheme="minorEastAsia"/>
          <w:sz w:val="32"/>
          <w:szCs w:val="32"/>
          <w:lang w:eastAsia="zh-CN"/>
        </w:rPr>
        <w:t>专</w:t>
      </w:r>
      <w:r>
        <w:rPr>
          <w:rFonts w:hint="eastAsia" w:asciiTheme="minorEastAsia" w:hAnsiTheme="minorEastAsia" w:eastAsiaTheme="minorEastAsia" w:cstheme="minorEastAsia"/>
          <w:sz w:val="32"/>
          <w:szCs w:val="32"/>
        </w:rPr>
        <w:t>用设备</w:t>
      </w:r>
      <w:r>
        <w:rPr>
          <w:rFonts w:hint="eastAsia" w:asciiTheme="minorEastAsia" w:hAnsiTheme="minorEastAsia" w:eastAsiaTheme="minorEastAsia" w:cstheme="minorEastAsia"/>
          <w:sz w:val="32"/>
          <w:szCs w:val="32"/>
          <w:lang w:val="en-US" w:eastAsia="zh-CN"/>
        </w:rPr>
        <w:t>128.06</w:t>
      </w:r>
      <w:r>
        <w:rPr>
          <w:rFonts w:hint="eastAsia" w:asciiTheme="minorEastAsia" w:hAnsiTheme="minorEastAsia" w:eastAsiaTheme="minorEastAsia" w:cstheme="minorEastAsia"/>
          <w:sz w:val="32"/>
          <w:szCs w:val="32"/>
        </w:rPr>
        <w:t>万元，公务用车</w:t>
      </w: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辆，</w:t>
      </w:r>
      <w:r>
        <w:rPr>
          <w:rFonts w:hint="eastAsia" w:asciiTheme="minorEastAsia" w:hAnsiTheme="minorEastAsia" w:eastAsiaTheme="minorEastAsia" w:cstheme="minorEastAsia"/>
          <w:sz w:val="32"/>
          <w:szCs w:val="32"/>
          <w:lang w:val="en-US" w:eastAsia="zh-CN"/>
        </w:rPr>
        <w:t>64.75</w:t>
      </w:r>
      <w:r>
        <w:rPr>
          <w:rFonts w:hint="eastAsia" w:asciiTheme="minorEastAsia" w:hAnsiTheme="minorEastAsia" w:eastAsiaTheme="minorEastAsia" w:cstheme="minorEastAsia"/>
          <w:sz w:val="32"/>
          <w:szCs w:val="32"/>
        </w:rPr>
        <w:t>万元，家具、用具</w:t>
      </w:r>
      <w:r>
        <w:rPr>
          <w:rFonts w:hint="eastAsia" w:asciiTheme="minorEastAsia" w:hAnsiTheme="minorEastAsia" w:eastAsiaTheme="minorEastAsia" w:cstheme="minorEastAsia"/>
          <w:sz w:val="32"/>
          <w:szCs w:val="32"/>
          <w:lang w:val="en-US" w:eastAsia="zh-CN"/>
        </w:rPr>
        <w:t>14.68</w:t>
      </w:r>
      <w:r>
        <w:rPr>
          <w:rFonts w:hint="eastAsia" w:asciiTheme="minorEastAsia" w:hAnsiTheme="minorEastAsia" w:eastAsiaTheme="minorEastAsia" w:cstheme="minorEastAsia"/>
          <w:sz w:val="32"/>
          <w:szCs w:val="32"/>
        </w:rPr>
        <w:t>万元。</w:t>
      </w:r>
    </w:p>
    <w:p>
      <w:pPr>
        <w:snapToGrid w:val="0"/>
        <w:spacing w:line="588" w:lineRule="exact"/>
        <w:ind w:firstLine="640" w:firstLineChars="200"/>
        <w:rPr>
          <w:rFonts w:hint="default"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eastAsia="zh-CN"/>
        </w:rPr>
        <w:t>拟购置公务用车</w:t>
      </w:r>
      <w:r>
        <w:rPr>
          <w:rFonts w:hint="eastAsia" w:asciiTheme="minorEastAsia" w:hAnsiTheme="minorEastAsia" w:eastAsiaTheme="minorEastAsia" w:cstheme="minorEastAsia"/>
          <w:sz w:val="32"/>
          <w:szCs w:val="32"/>
          <w:lang w:val="en-US" w:eastAsia="zh-CN"/>
        </w:rPr>
        <w:t>1辆，金额18万元。</w:t>
      </w:r>
    </w:p>
    <w:p>
      <w:pPr>
        <w:snapToGrid w:val="0"/>
        <w:spacing w:line="588" w:lineRule="exact"/>
        <w:ind w:firstLine="640" w:firstLineChars="200"/>
        <w:rPr>
          <w:rFonts w:hint="eastAsia" w:asciiTheme="minorEastAsia" w:hAnsiTheme="minorEastAsia" w:eastAsiaTheme="minorEastAsia" w:cstheme="minorEastAsia"/>
          <w:sz w:val="32"/>
          <w:szCs w:val="32"/>
        </w:rPr>
      </w:pPr>
    </w:p>
    <w:tbl>
      <w:tblPr>
        <w:tblStyle w:val="13"/>
        <w:tblW w:w="0" w:type="auto"/>
        <w:tblInd w:w="0" w:type="dxa"/>
        <w:tblLayout w:type="fixed"/>
        <w:tblCellMar>
          <w:top w:w="0" w:type="dxa"/>
          <w:left w:w="108" w:type="dxa"/>
          <w:bottom w:w="0" w:type="dxa"/>
          <w:right w:w="108" w:type="dxa"/>
        </w:tblCellMar>
      </w:tblPr>
      <w:tblGrid>
        <w:gridCol w:w="2922"/>
        <w:gridCol w:w="1309"/>
        <w:gridCol w:w="4789"/>
      </w:tblGrid>
      <w:tr>
        <w:tblPrEx>
          <w:tblCellMar>
            <w:top w:w="0" w:type="dxa"/>
            <w:left w:w="108" w:type="dxa"/>
            <w:bottom w:w="0" w:type="dxa"/>
            <w:right w:w="108" w:type="dxa"/>
          </w:tblCellMar>
        </w:tblPrEx>
        <w:trPr>
          <w:trHeight w:val="90" w:hRule="atLeast"/>
        </w:trPr>
        <w:tc>
          <w:tcPr>
            <w:tcW w:w="9020" w:type="dxa"/>
            <w:gridSpan w:val="3"/>
            <w:tcBorders>
              <w:top w:val="nil"/>
              <w:left w:val="nil"/>
              <w:bottom w:val="nil"/>
              <w:right w:val="nil"/>
            </w:tcBorders>
            <w:vAlign w:val="center"/>
          </w:tcPr>
          <w:p>
            <w:pPr>
              <w:widowControl/>
              <w:jc w:val="center"/>
              <w:rPr>
                <w:rFonts w:ascii="宋体" w:cs="宋体"/>
                <w:b/>
                <w:bCs/>
                <w:kern w:val="0"/>
                <w:sz w:val="32"/>
                <w:szCs w:val="32"/>
              </w:rPr>
            </w:pPr>
            <w:r>
              <w:rPr>
                <w:rFonts w:hint="eastAsia" w:ascii="宋体" w:hAnsi="宋体" w:cs="宋体"/>
                <w:b/>
                <w:bCs/>
                <w:kern w:val="0"/>
                <w:sz w:val="32"/>
                <w:szCs w:val="32"/>
              </w:rPr>
              <w:t>部门固定资产占用情况表</w:t>
            </w:r>
          </w:p>
        </w:tc>
      </w:tr>
      <w:tr>
        <w:tblPrEx>
          <w:tblCellMar>
            <w:top w:w="0" w:type="dxa"/>
            <w:left w:w="108" w:type="dxa"/>
            <w:bottom w:w="0" w:type="dxa"/>
            <w:right w:w="108" w:type="dxa"/>
          </w:tblCellMar>
        </w:tblPrEx>
        <w:trPr>
          <w:trHeight w:val="90" w:hRule="atLeast"/>
        </w:trPr>
        <w:tc>
          <w:tcPr>
            <w:tcW w:w="4231" w:type="dxa"/>
            <w:gridSpan w:val="2"/>
            <w:tcBorders>
              <w:top w:val="nil"/>
              <w:left w:val="nil"/>
              <w:bottom w:val="nil"/>
              <w:right w:val="nil"/>
            </w:tcBorders>
            <w:vAlign w:val="center"/>
          </w:tcPr>
          <w:p>
            <w:pPr>
              <w:widowControl/>
              <w:jc w:val="left"/>
              <w:rPr>
                <w:rFonts w:eastAsia="仿宋"/>
                <w:kern w:val="0"/>
                <w:sz w:val="22"/>
              </w:rPr>
            </w:pPr>
            <w:r>
              <w:rPr>
                <w:rFonts w:hint="eastAsia" w:eastAsia="仿宋"/>
                <w:kern w:val="0"/>
                <w:sz w:val="22"/>
              </w:rPr>
              <w:t>编制部门：唐山市丰润区发展</w:t>
            </w:r>
            <w:r>
              <w:rPr>
                <w:rFonts w:hint="eastAsia" w:eastAsia="仿宋"/>
                <w:kern w:val="0"/>
                <w:sz w:val="22"/>
                <w:lang w:eastAsia="zh-CN"/>
              </w:rPr>
              <w:t>和</w:t>
            </w:r>
            <w:r>
              <w:rPr>
                <w:rFonts w:hint="eastAsia" w:eastAsia="仿宋"/>
                <w:kern w:val="0"/>
                <w:sz w:val="22"/>
              </w:rPr>
              <w:t>改革局</w:t>
            </w:r>
          </w:p>
        </w:tc>
        <w:tc>
          <w:tcPr>
            <w:tcW w:w="4789" w:type="dxa"/>
            <w:tcBorders>
              <w:top w:val="nil"/>
              <w:left w:val="nil"/>
              <w:bottom w:val="nil"/>
              <w:right w:val="nil"/>
            </w:tcBorders>
            <w:vAlign w:val="center"/>
          </w:tcPr>
          <w:p>
            <w:pPr>
              <w:widowControl/>
              <w:ind w:firstLine="1320" w:firstLineChars="600"/>
              <w:jc w:val="left"/>
              <w:rPr>
                <w:rFonts w:eastAsia="仿宋"/>
                <w:kern w:val="0"/>
                <w:sz w:val="22"/>
              </w:rPr>
            </w:pPr>
            <w:r>
              <w:rPr>
                <w:rFonts w:hint="eastAsia" w:eastAsia="仿宋"/>
                <w:kern w:val="0"/>
                <w:sz w:val="22"/>
              </w:rPr>
              <w:t>截止时间：</w:t>
            </w:r>
            <w:r>
              <w:rPr>
                <w:rFonts w:eastAsia="仿宋"/>
                <w:kern w:val="0"/>
                <w:sz w:val="22"/>
              </w:rPr>
              <w:t>20</w:t>
            </w:r>
            <w:r>
              <w:rPr>
                <w:rFonts w:hint="eastAsia" w:eastAsia="仿宋"/>
                <w:kern w:val="0"/>
                <w:sz w:val="22"/>
                <w:lang w:val="en-US" w:eastAsia="zh-CN"/>
              </w:rPr>
              <w:t>20</w:t>
            </w:r>
            <w:r>
              <w:rPr>
                <w:rFonts w:hint="eastAsia" w:eastAsia="仿宋"/>
                <w:kern w:val="0"/>
                <w:sz w:val="22"/>
              </w:rPr>
              <w:t>年</w:t>
            </w:r>
            <w:r>
              <w:rPr>
                <w:rFonts w:eastAsia="仿宋"/>
                <w:kern w:val="0"/>
                <w:sz w:val="22"/>
              </w:rPr>
              <w:t>12</w:t>
            </w:r>
            <w:r>
              <w:rPr>
                <w:rFonts w:hint="eastAsia" w:eastAsia="仿宋"/>
                <w:kern w:val="0"/>
                <w:sz w:val="22"/>
              </w:rPr>
              <w:t>月</w:t>
            </w:r>
            <w:r>
              <w:rPr>
                <w:rFonts w:eastAsia="仿宋"/>
                <w:kern w:val="0"/>
                <w:sz w:val="22"/>
              </w:rPr>
              <w:t>31</w:t>
            </w:r>
            <w:r>
              <w:rPr>
                <w:rFonts w:hint="eastAsia" w:eastAsia="仿宋"/>
                <w:kern w:val="0"/>
                <w:sz w:val="22"/>
              </w:rPr>
              <w:t>日</w:t>
            </w:r>
          </w:p>
        </w:tc>
      </w:tr>
      <w:tr>
        <w:tblPrEx>
          <w:tblCellMar>
            <w:top w:w="0" w:type="dxa"/>
            <w:left w:w="108" w:type="dxa"/>
            <w:bottom w:w="0" w:type="dxa"/>
            <w:right w:w="108" w:type="dxa"/>
          </w:tblCellMar>
        </w:tblPrEx>
        <w:trPr>
          <w:trHeight w:val="90" w:hRule="atLeast"/>
        </w:trPr>
        <w:tc>
          <w:tcPr>
            <w:tcW w:w="29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黑体简体" w:hAnsi="方正黑体简体" w:eastAsia="方正黑体简体" w:cs="方正黑体简体"/>
                <w:kern w:val="0"/>
                <w:sz w:val="22"/>
              </w:rPr>
            </w:pPr>
            <w:r>
              <w:rPr>
                <w:rFonts w:hint="eastAsia" w:ascii="方正黑体简体" w:hAnsi="方正黑体简体" w:eastAsia="方正黑体简体" w:cs="方正黑体简体"/>
                <w:kern w:val="0"/>
                <w:sz w:val="22"/>
              </w:rPr>
              <w:t>项目</w:t>
            </w:r>
          </w:p>
        </w:tc>
        <w:tc>
          <w:tcPr>
            <w:tcW w:w="1309" w:type="dxa"/>
            <w:tcBorders>
              <w:top w:val="single" w:color="auto" w:sz="4" w:space="0"/>
              <w:left w:val="nil"/>
              <w:bottom w:val="single" w:color="auto" w:sz="4" w:space="0"/>
              <w:right w:val="single" w:color="auto" w:sz="4" w:space="0"/>
            </w:tcBorders>
            <w:vAlign w:val="center"/>
          </w:tcPr>
          <w:p>
            <w:pPr>
              <w:widowControl/>
              <w:jc w:val="center"/>
              <w:rPr>
                <w:rFonts w:ascii="方正黑体简体" w:hAnsi="方正黑体简体" w:eastAsia="方正黑体简体" w:cs="方正黑体简体"/>
                <w:kern w:val="0"/>
                <w:sz w:val="22"/>
              </w:rPr>
            </w:pPr>
            <w:r>
              <w:rPr>
                <w:rFonts w:hint="eastAsia" w:ascii="方正黑体简体" w:hAnsi="方正黑体简体" w:eastAsia="方正黑体简体" w:cs="方正黑体简体"/>
                <w:kern w:val="0"/>
                <w:sz w:val="22"/>
              </w:rPr>
              <w:t>数量</w:t>
            </w:r>
          </w:p>
        </w:tc>
        <w:tc>
          <w:tcPr>
            <w:tcW w:w="4789" w:type="dxa"/>
            <w:tcBorders>
              <w:top w:val="single" w:color="auto" w:sz="4" w:space="0"/>
              <w:left w:val="nil"/>
              <w:bottom w:val="single" w:color="auto" w:sz="4" w:space="0"/>
              <w:right w:val="single" w:color="auto" w:sz="4" w:space="0"/>
            </w:tcBorders>
            <w:vAlign w:val="center"/>
          </w:tcPr>
          <w:p>
            <w:pPr>
              <w:widowControl/>
              <w:jc w:val="center"/>
              <w:rPr>
                <w:rFonts w:ascii="方正黑体简体" w:hAnsi="方正黑体简体" w:eastAsia="方正黑体简体" w:cs="方正黑体简体"/>
                <w:kern w:val="0"/>
                <w:sz w:val="22"/>
              </w:rPr>
            </w:pPr>
            <w:r>
              <w:rPr>
                <w:rFonts w:hint="eastAsia" w:ascii="方正黑体简体" w:hAnsi="方正黑体简体" w:eastAsia="方正黑体简体" w:cs="方正黑体简体"/>
                <w:kern w:val="0"/>
                <w:sz w:val="22"/>
              </w:rPr>
              <w:t>价值（金额单位：</w:t>
            </w:r>
            <w:r>
              <w:rPr>
                <w:rFonts w:hint="eastAsia" w:ascii="方正黑体简体" w:hAnsi="方正黑体简体" w:eastAsia="方正黑体简体" w:cs="方正黑体简体"/>
                <w:kern w:val="0"/>
                <w:sz w:val="22"/>
                <w:lang w:eastAsia="zh-CN"/>
              </w:rPr>
              <w:t>万</w:t>
            </w:r>
            <w:r>
              <w:rPr>
                <w:rFonts w:hint="eastAsia" w:ascii="方正黑体简体" w:hAnsi="方正黑体简体" w:eastAsia="方正黑体简体" w:cs="方正黑体简体"/>
                <w:kern w:val="0"/>
                <w:sz w:val="22"/>
              </w:rPr>
              <w:t>元）</w:t>
            </w:r>
          </w:p>
        </w:tc>
      </w:tr>
      <w:tr>
        <w:tblPrEx>
          <w:tblCellMar>
            <w:top w:w="0" w:type="dxa"/>
            <w:left w:w="108" w:type="dxa"/>
            <w:bottom w:w="0" w:type="dxa"/>
            <w:right w:w="108" w:type="dxa"/>
          </w:tblCellMar>
        </w:tblPrEx>
        <w:trPr>
          <w:trHeight w:val="90" w:hRule="atLeast"/>
        </w:trPr>
        <w:tc>
          <w:tcPr>
            <w:tcW w:w="2922" w:type="dxa"/>
            <w:tcBorders>
              <w:top w:val="nil"/>
              <w:left w:val="single" w:color="auto" w:sz="4" w:space="0"/>
              <w:bottom w:val="single" w:color="auto" w:sz="4" w:space="0"/>
              <w:right w:val="single" w:color="auto" w:sz="4" w:space="0"/>
            </w:tcBorders>
            <w:vAlign w:val="center"/>
          </w:tcPr>
          <w:p>
            <w:pPr>
              <w:widowControl/>
              <w:jc w:val="center"/>
              <w:rPr>
                <w:rFonts w:eastAsia="仿宋"/>
                <w:kern w:val="0"/>
                <w:sz w:val="22"/>
              </w:rPr>
            </w:pPr>
            <w:r>
              <w:rPr>
                <w:rFonts w:hint="eastAsia" w:eastAsia="仿宋"/>
                <w:kern w:val="0"/>
                <w:sz w:val="22"/>
              </w:rPr>
              <w:t>资产总额</w:t>
            </w:r>
          </w:p>
        </w:tc>
        <w:tc>
          <w:tcPr>
            <w:tcW w:w="1309" w:type="dxa"/>
            <w:tcBorders>
              <w:top w:val="nil"/>
              <w:left w:val="nil"/>
              <w:bottom w:val="single" w:color="auto" w:sz="4" w:space="0"/>
              <w:right w:val="single" w:color="auto" w:sz="4" w:space="0"/>
            </w:tcBorders>
            <w:vAlign w:val="center"/>
          </w:tcPr>
          <w:p>
            <w:pPr>
              <w:widowControl/>
              <w:jc w:val="center"/>
              <w:rPr>
                <w:rFonts w:eastAsia="仿宋"/>
                <w:kern w:val="0"/>
                <w:sz w:val="22"/>
              </w:rPr>
            </w:pPr>
            <w:r>
              <w:rPr>
                <w:rFonts w:eastAsia="仿宋"/>
                <w:kern w:val="0"/>
                <w:sz w:val="22"/>
              </w:rPr>
              <w:t>——</w:t>
            </w:r>
          </w:p>
        </w:tc>
        <w:tc>
          <w:tcPr>
            <w:tcW w:w="4789" w:type="dxa"/>
            <w:tcBorders>
              <w:top w:val="nil"/>
              <w:left w:val="nil"/>
              <w:bottom w:val="single" w:color="auto" w:sz="4" w:space="0"/>
              <w:right w:val="single" w:color="auto" w:sz="4" w:space="0"/>
            </w:tcBorders>
            <w:vAlign w:val="center"/>
          </w:tcPr>
          <w:p>
            <w:pPr>
              <w:widowControl/>
              <w:jc w:val="center"/>
              <w:rPr>
                <w:rFonts w:hint="default" w:eastAsia="仿宋"/>
                <w:kern w:val="0"/>
                <w:sz w:val="22"/>
                <w:lang w:val="en-US" w:eastAsia="zh-CN"/>
              </w:rPr>
            </w:pPr>
            <w:r>
              <w:rPr>
                <w:rFonts w:hint="eastAsia" w:eastAsia="仿宋"/>
                <w:kern w:val="0"/>
                <w:sz w:val="22"/>
                <w:lang w:val="en-US" w:eastAsia="zh-CN"/>
              </w:rPr>
              <w:t>207.49</w:t>
            </w:r>
          </w:p>
        </w:tc>
      </w:tr>
      <w:tr>
        <w:tblPrEx>
          <w:tblCellMar>
            <w:top w:w="0" w:type="dxa"/>
            <w:left w:w="108" w:type="dxa"/>
            <w:bottom w:w="0" w:type="dxa"/>
            <w:right w:w="108" w:type="dxa"/>
          </w:tblCellMar>
        </w:tblPrEx>
        <w:trPr>
          <w:trHeight w:val="90" w:hRule="atLeast"/>
        </w:trPr>
        <w:tc>
          <w:tcPr>
            <w:tcW w:w="2922" w:type="dxa"/>
            <w:tcBorders>
              <w:top w:val="nil"/>
              <w:left w:val="single" w:color="auto" w:sz="4" w:space="0"/>
              <w:bottom w:val="single" w:color="auto" w:sz="4" w:space="0"/>
              <w:right w:val="single" w:color="auto" w:sz="4" w:space="0"/>
            </w:tcBorders>
            <w:vAlign w:val="center"/>
          </w:tcPr>
          <w:p>
            <w:pPr>
              <w:widowControl/>
              <w:jc w:val="left"/>
              <w:rPr>
                <w:rFonts w:eastAsia="仿宋"/>
                <w:kern w:val="0"/>
                <w:sz w:val="22"/>
              </w:rPr>
            </w:pPr>
            <w:r>
              <w:rPr>
                <w:rFonts w:eastAsia="仿宋"/>
                <w:kern w:val="0"/>
                <w:sz w:val="22"/>
              </w:rPr>
              <w:t>1</w:t>
            </w:r>
            <w:r>
              <w:rPr>
                <w:rFonts w:hint="eastAsia" w:eastAsia="仿宋"/>
                <w:kern w:val="0"/>
                <w:sz w:val="22"/>
              </w:rPr>
              <w:t>、房屋（平方米）</w:t>
            </w:r>
          </w:p>
        </w:tc>
        <w:tc>
          <w:tcPr>
            <w:tcW w:w="1309" w:type="dxa"/>
            <w:tcBorders>
              <w:top w:val="nil"/>
              <w:left w:val="nil"/>
              <w:bottom w:val="single" w:color="auto" w:sz="4" w:space="0"/>
              <w:right w:val="single" w:color="auto" w:sz="4" w:space="0"/>
            </w:tcBorders>
            <w:vAlign w:val="center"/>
          </w:tcPr>
          <w:p>
            <w:pPr>
              <w:widowControl/>
              <w:jc w:val="center"/>
              <w:rPr>
                <w:rFonts w:eastAsia="仿宋"/>
                <w:kern w:val="0"/>
                <w:sz w:val="22"/>
              </w:rPr>
            </w:pPr>
          </w:p>
        </w:tc>
        <w:tc>
          <w:tcPr>
            <w:tcW w:w="4789" w:type="dxa"/>
            <w:tcBorders>
              <w:top w:val="nil"/>
              <w:left w:val="nil"/>
              <w:bottom w:val="single" w:color="auto" w:sz="4" w:space="0"/>
              <w:right w:val="single" w:color="auto" w:sz="4" w:space="0"/>
            </w:tcBorders>
            <w:vAlign w:val="center"/>
          </w:tcPr>
          <w:p>
            <w:pPr>
              <w:widowControl/>
              <w:jc w:val="center"/>
              <w:rPr>
                <w:rFonts w:eastAsia="仿宋"/>
                <w:kern w:val="0"/>
                <w:sz w:val="22"/>
              </w:rPr>
            </w:pPr>
          </w:p>
        </w:tc>
      </w:tr>
      <w:tr>
        <w:tblPrEx>
          <w:tblCellMar>
            <w:top w:w="0" w:type="dxa"/>
            <w:left w:w="108" w:type="dxa"/>
            <w:bottom w:w="0" w:type="dxa"/>
            <w:right w:w="108" w:type="dxa"/>
          </w:tblCellMar>
        </w:tblPrEx>
        <w:trPr>
          <w:trHeight w:val="90" w:hRule="atLeast"/>
        </w:trPr>
        <w:tc>
          <w:tcPr>
            <w:tcW w:w="2922" w:type="dxa"/>
            <w:tcBorders>
              <w:top w:val="nil"/>
              <w:left w:val="single" w:color="auto" w:sz="4" w:space="0"/>
              <w:bottom w:val="single" w:color="auto" w:sz="4" w:space="0"/>
              <w:right w:val="single" w:color="auto" w:sz="4" w:space="0"/>
            </w:tcBorders>
            <w:vAlign w:val="center"/>
          </w:tcPr>
          <w:p>
            <w:pPr>
              <w:widowControl/>
              <w:jc w:val="left"/>
              <w:rPr>
                <w:rFonts w:eastAsia="仿宋"/>
                <w:kern w:val="0"/>
                <w:sz w:val="22"/>
              </w:rPr>
            </w:pPr>
            <w:r>
              <w:rPr>
                <w:rFonts w:hint="eastAsia" w:eastAsia="仿宋"/>
                <w:kern w:val="0"/>
                <w:sz w:val="22"/>
              </w:rPr>
              <w:t>其中：办公用房（平方米）</w:t>
            </w:r>
          </w:p>
        </w:tc>
        <w:tc>
          <w:tcPr>
            <w:tcW w:w="1309" w:type="dxa"/>
            <w:tcBorders>
              <w:top w:val="nil"/>
              <w:left w:val="nil"/>
              <w:bottom w:val="single" w:color="auto" w:sz="4" w:space="0"/>
              <w:right w:val="single" w:color="auto" w:sz="4" w:space="0"/>
            </w:tcBorders>
            <w:vAlign w:val="center"/>
          </w:tcPr>
          <w:p>
            <w:pPr>
              <w:widowControl/>
              <w:jc w:val="center"/>
              <w:rPr>
                <w:rFonts w:eastAsia="仿宋"/>
                <w:kern w:val="0"/>
                <w:sz w:val="22"/>
              </w:rPr>
            </w:pPr>
          </w:p>
        </w:tc>
        <w:tc>
          <w:tcPr>
            <w:tcW w:w="4789" w:type="dxa"/>
            <w:tcBorders>
              <w:top w:val="nil"/>
              <w:left w:val="nil"/>
              <w:bottom w:val="single" w:color="auto" w:sz="4" w:space="0"/>
              <w:right w:val="single" w:color="auto" w:sz="4" w:space="0"/>
            </w:tcBorders>
            <w:vAlign w:val="center"/>
          </w:tcPr>
          <w:p>
            <w:pPr>
              <w:widowControl/>
              <w:jc w:val="center"/>
              <w:rPr>
                <w:rFonts w:eastAsia="仿宋"/>
                <w:kern w:val="0"/>
                <w:sz w:val="22"/>
              </w:rPr>
            </w:pPr>
          </w:p>
        </w:tc>
      </w:tr>
      <w:tr>
        <w:tblPrEx>
          <w:tblCellMar>
            <w:top w:w="0" w:type="dxa"/>
            <w:left w:w="108" w:type="dxa"/>
            <w:bottom w:w="0" w:type="dxa"/>
            <w:right w:w="108" w:type="dxa"/>
          </w:tblCellMar>
        </w:tblPrEx>
        <w:trPr>
          <w:trHeight w:val="90" w:hRule="atLeast"/>
        </w:trPr>
        <w:tc>
          <w:tcPr>
            <w:tcW w:w="2922" w:type="dxa"/>
            <w:tcBorders>
              <w:top w:val="nil"/>
              <w:left w:val="single" w:color="auto" w:sz="4" w:space="0"/>
              <w:bottom w:val="single" w:color="auto" w:sz="4" w:space="0"/>
              <w:right w:val="single" w:color="auto" w:sz="4" w:space="0"/>
            </w:tcBorders>
            <w:vAlign w:val="center"/>
          </w:tcPr>
          <w:p>
            <w:pPr>
              <w:widowControl/>
              <w:jc w:val="left"/>
              <w:rPr>
                <w:rFonts w:eastAsia="仿宋"/>
                <w:kern w:val="0"/>
                <w:sz w:val="22"/>
              </w:rPr>
            </w:pPr>
            <w:r>
              <w:rPr>
                <w:rFonts w:eastAsia="仿宋"/>
                <w:kern w:val="0"/>
                <w:sz w:val="22"/>
              </w:rPr>
              <w:t>2</w:t>
            </w:r>
            <w:r>
              <w:rPr>
                <w:rFonts w:hint="eastAsia" w:eastAsia="仿宋"/>
                <w:kern w:val="0"/>
                <w:sz w:val="22"/>
              </w:rPr>
              <w:t>、车辆（台、辆）</w:t>
            </w:r>
          </w:p>
        </w:tc>
        <w:tc>
          <w:tcPr>
            <w:tcW w:w="1309" w:type="dxa"/>
            <w:tcBorders>
              <w:top w:val="nil"/>
              <w:left w:val="nil"/>
              <w:bottom w:val="single" w:color="auto" w:sz="4" w:space="0"/>
              <w:right w:val="single" w:color="auto" w:sz="4" w:space="0"/>
            </w:tcBorders>
            <w:vAlign w:val="center"/>
          </w:tcPr>
          <w:p>
            <w:pPr>
              <w:widowControl/>
              <w:jc w:val="center"/>
              <w:rPr>
                <w:rFonts w:hint="eastAsia" w:eastAsia="仿宋"/>
                <w:kern w:val="0"/>
                <w:sz w:val="22"/>
                <w:lang w:eastAsia="zh-CN"/>
              </w:rPr>
            </w:pPr>
            <w:r>
              <w:rPr>
                <w:rFonts w:hint="eastAsia" w:eastAsia="仿宋"/>
                <w:kern w:val="0"/>
                <w:sz w:val="22"/>
                <w:lang w:val="en-US" w:eastAsia="zh-CN"/>
              </w:rPr>
              <w:t>3</w:t>
            </w:r>
          </w:p>
        </w:tc>
        <w:tc>
          <w:tcPr>
            <w:tcW w:w="4789" w:type="dxa"/>
            <w:tcBorders>
              <w:top w:val="nil"/>
              <w:left w:val="nil"/>
              <w:bottom w:val="single" w:color="auto" w:sz="4" w:space="0"/>
              <w:right w:val="single" w:color="auto" w:sz="4" w:space="0"/>
            </w:tcBorders>
            <w:vAlign w:val="center"/>
          </w:tcPr>
          <w:p>
            <w:pPr>
              <w:widowControl/>
              <w:jc w:val="center"/>
              <w:rPr>
                <w:rFonts w:hint="default" w:eastAsia="仿宋"/>
                <w:kern w:val="0"/>
                <w:sz w:val="22"/>
                <w:lang w:val="en-US" w:eastAsia="zh-CN"/>
              </w:rPr>
            </w:pPr>
            <w:r>
              <w:rPr>
                <w:rFonts w:hint="eastAsia" w:eastAsia="仿宋"/>
                <w:kern w:val="0"/>
                <w:sz w:val="22"/>
                <w:lang w:val="en-US" w:eastAsia="zh-CN"/>
              </w:rPr>
              <w:t>64.75</w:t>
            </w:r>
          </w:p>
        </w:tc>
      </w:tr>
      <w:tr>
        <w:tblPrEx>
          <w:tblCellMar>
            <w:top w:w="0" w:type="dxa"/>
            <w:left w:w="108" w:type="dxa"/>
            <w:bottom w:w="0" w:type="dxa"/>
            <w:right w:w="108" w:type="dxa"/>
          </w:tblCellMar>
        </w:tblPrEx>
        <w:trPr>
          <w:trHeight w:val="90" w:hRule="atLeast"/>
        </w:trPr>
        <w:tc>
          <w:tcPr>
            <w:tcW w:w="2922" w:type="dxa"/>
            <w:tcBorders>
              <w:top w:val="nil"/>
              <w:left w:val="single" w:color="auto" w:sz="4" w:space="0"/>
              <w:bottom w:val="single" w:color="auto" w:sz="4" w:space="0"/>
              <w:right w:val="single" w:color="auto" w:sz="4" w:space="0"/>
            </w:tcBorders>
            <w:vAlign w:val="center"/>
          </w:tcPr>
          <w:p>
            <w:pPr>
              <w:widowControl/>
              <w:jc w:val="left"/>
              <w:rPr>
                <w:rFonts w:eastAsia="仿宋"/>
                <w:kern w:val="0"/>
                <w:sz w:val="22"/>
              </w:rPr>
            </w:pPr>
            <w:r>
              <w:rPr>
                <w:rFonts w:eastAsia="仿宋"/>
                <w:kern w:val="0"/>
                <w:sz w:val="22"/>
              </w:rPr>
              <w:t>3</w:t>
            </w:r>
            <w:r>
              <w:rPr>
                <w:rFonts w:hint="eastAsia" w:eastAsia="仿宋"/>
                <w:kern w:val="0"/>
                <w:sz w:val="22"/>
              </w:rPr>
              <w:t>、单价在</w:t>
            </w:r>
            <w:r>
              <w:rPr>
                <w:rFonts w:eastAsia="仿宋"/>
                <w:kern w:val="0"/>
                <w:sz w:val="22"/>
              </w:rPr>
              <w:t>20</w:t>
            </w:r>
            <w:r>
              <w:rPr>
                <w:rFonts w:hint="eastAsia" w:eastAsia="仿宋"/>
                <w:kern w:val="0"/>
                <w:sz w:val="22"/>
              </w:rPr>
              <w:t>万元以上设备</w:t>
            </w:r>
          </w:p>
        </w:tc>
        <w:tc>
          <w:tcPr>
            <w:tcW w:w="1309" w:type="dxa"/>
            <w:tcBorders>
              <w:top w:val="nil"/>
              <w:left w:val="nil"/>
              <w:bottom w:val="single" w:color="auto" w:sz="4" w:space="0"/>
              <w:right w:val="single" w:color="auto" w:sz="4" w:space="0"/>
            </w:tcBorders>
            <w:vAlign w:val="center"/>
          </w:tcPr>
          <w:p>
            <w:pPr>
              <w:widowControl/>
              <w:jc w:val="center"/>
              <w:rPr>
                <w:rFonts w:eastAsia="仿宋"/>
                <w:kern w:val="0"/>
                <w:sz w:val="22"/>
              </w:rPr>
            </w:pPr>
            <w:r>
              <w:rPr>
                <w:rFonts w:eastAsia="仿宋"/>
                <w:kern w:val="0"/>
                <w:sz w:val="22"/>
              </w:rPr>
              <w:t>——</w:t>
            </w:r>
          </w:p>
        </w:tc>
        <w:tc>
          <w:tcPr>
            <w:tcW w:w="4789" w:type="dxa"/>
            <w:tcBorders>
              <w:top w:val="nil"/>
              <w:left w:val="nil"/>
              <w:bottom w:val="single" w:color="auto" w:sz="4" w:space="0"/>
              <w:right w:val="single" w:color="auto" w:sz="4" w:space="0"/>
            </w:tcBorders>
            <w:vAlign w:val="center"/>
          </w:tcPr>
          <w:p>
            <w:pPr>
              <w:widowControl/>
              <w:jc w:val="center"/>
              <w:rPr>
                <w:rFonts w:eastAsia="仿宋"/>
                <w:kern w:val="0"/>
                <w:sz w:val="22"/>
              </w:rPr>
            </w:pPr>
          </w:p>
        </w:tc>
      </w:tr>
      <w:tr>
        <w:tblPrEx>
          <w:tblCellMar>
            <w:top w:w="0" w:type="dxa"/>
            <w:left w:w="108" w:type="dxa"/>
            <w:bottom w:w="0" w:type="dxa"/>
            <w:right w:w="108" w:type="dxa"/>
          </w:tblCellMar>
        </w:tblPrEx>
        <w:trPr>
          <w:trHeight w:val="90" w:hRule="atLeast"/>
        </w:trPr>
        <w:tc>
          <w:tcPr>
            <w:tcW w:w="2922" w:type="dxa"/>
            <w:tcBorders>
              <w:top w:val="nil"/>
              <w:left w:val="single" w:color="auto" w:sz="4" w:space="0"/>
              <w:bottom w:val="single" w:color="auto" w:sz="4" w:space="0"/>
              <w:right w:val="single" w:color="auto" w:sz="4" w:space="0"/>
            </w:tcBorders>
            <w:vAlign w:val="center"/>
          </w:tcPr>
          <w:p>
            <w:pPr>
              <w:widowControl/>
              <w:jc w:val="left"/>
              <w:rPr>
                <w:rFonts w:eastAsia="仿宋"/>
                <w:kern w:val="0"/>
                <w:sz w:val="22"/>
              </w:rPr>
            </w:pPr>
            <w:r>
              <w:rPr>
                <w:rFonts w:eastAsia="仿宋"/>
                <w:kern w:val="0"/>
                <w:sz w:val="22"/>
              </w:rPr>
              <w:t>4</w:t>
            </w:r>
            <w:r>
              <w:rPr>
                <w:rFonts w:hint="eastAsia" w:eastAsia="仿宋"/>
                <w:kern w:val="0"/>
                <w:sz w:val="22"/>
              </w:rPr>
              <w:t>、其他固定资产</w:t>
            </w:r>
          </w:p>
        </w:tc>
        <w:tc>
          <w:tcPr>
            <w:tcW w:w="1309" w:type="dxa"/>
            <w:tcBorders>
              <w:top w:val="nil"/>
              <w:left w:val="nil"/>
              <w:bottom w:val="single" w:color="auto" w:sz="4" w:space="0"/>
              <w:right w:val="single" w:color="auto" w:sz="4" w:space="0"/>
            </w:tcBorders>
            <w:vAlign w:val="center"/>
          </w:tcPr>
          <w:p>
            <w:pPr>
              <w:widowControl/>
              <w:jc w:val="center"/>
              <w:rPr>
                <w:rFonts w:eastAsia="仿宋"/>
                <w:kern w:val="0"/>
                <w:sz w:val="22"/>
              </w:rPr>
            </w:pPr>
            <w:r>
              <w:rPr>
                <w:rFonts w:eastAsia="仿宋"/>
                <w:kern w:val="0"/>
                <w:sz w:val="22"/>
              </w:rPr>
              <w:t>——</w:t>
            </w:r>
          </w:p>
        </w:tc>
        <w:tc>
          <w:tcPr>
            <w:tcW w:w="4789" w:type="dxa"/>
            <w:tcBorders>
              <w:top w:val="nil"/>
              <w:left w:val="nil"/>
              <w:bottom w:val="single" w:color="auto" w:sz="4" w:space="0"/>
              <w:right w:val="single" w:color="auto" w:sz="4" w:space="0"/>
            </w:tcBorders>
            <w:vAlign w:val="center"/>
          </w:tcPr>
          <w:p>
            <w:pPr>
              <w:widowControl/>
              <w:jc w:val="center"/>
              <w:rPr>
                <w:rFonts w:hint="default" w:eastAsia="仿宋"/>
                <w:kern w:val="0"/>
                <w:sz w:val="22"/>
                <w:lang w:val="en-US" w:eastAsia="zh-CN"/>
              </w:rPr>
            </w:pPr>
            <w:r>
              <w:rPr>
                <w:rFonts w:hint="eastAsia" w:eastAsia="仿宋"/>
                <w:kern w:val="0"/>
                <w:sz w:val="22"/>
                <w:lang w:val="en-US" w:eastAsia="zh-CN"/>
              </w:rPr>
              <w:t>142.74</w:t>
            </w:r>
          </w:p>
        </w:tc>
      </w:tr>
    </w:tbl>
    <w:p>
      <w:pPr>
        <w:snapToGrid w:val="0"/>
        <w:spacing w:line="588" w:lineRule="exact"/>
        <w:ind w:firstLine="640" w:firstLineChars="200"/>
        <w:rPr>
          <w:rFonts w:ascii="仿宋_GB2312" w:hAnsi="仿宋_GB2312" w:eastAsia="仿宋_GB2312" w:cs="仿宋_GB2312"/>
          <w:sz w:val="32"/>
          <w:szCs w:val="32"/>
        </w:rPr>
      </w:pPr>
    </w:p>
    <w:p>
      <w:pPr>
        <w:snapToGrid w:val="0"/>
        <w:spacing w:line="588"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八、专业名词解释</w:t>
      </w:r>
    </w:p>
    <w:p>
      <w:pPr>
        <w:ind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（1）财政拨款收入：指中央或区财政当年拨付的资金，包含一般公共预算财政拨款和政府性基金预算财政拨款。</w:t>
      </w:r>
    </w:p>
    <w:p>
      <w:pPr>
        <w:ind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（2）基本支出：指为保障机构正常运转、完成日常工作任务而发生的人员支出和公用支出。</w:t>
      </w:r>
    </w:p>
    <w:p>
      <w:pPr>
        <w:ind w:firstLine="640" w:firstLineChars="200"/>
        <w:jc w:val="left"/>
        <w:rPr>
          <w:rFonts w:ascii="仿宋_GB2312" w:hAnsi="仿宋_GB2312" w:eastAsia="仿宋_GB2312" w:cs="仿宋_GB2312"/>
          <w:b/>
          <w:sz w:val="32"/>
          <w:szCs w:val="32"/>
        </w:rPr>
      </w:pPr>
      <w:r>
        <w:rPr>
          <w:rFonts w:hint="eastAsia" w:asciiTheme="minorEastAsia" w:hAnsiTheme="minorEastAsia" w:eastAsiaTheme="minorEastAsia" w:cstheme="minorEastAsia"/>
          <w:sz w:val="32"/>
          <w:szCs w:val="32"/>
        </w:rPr>
        <w:t>（3）项目支出：指在基本支出之外为完成特定行政任务和事业发展目标所发生的支出。</w:t>
      </w:r>
    </w:p>
    <w:p>
      <w:pPr>
        <w:snapToGrid w:val="0"/>
        <w:spacing w:line="588"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九、其他情况说明</w:t>
      </w:r>
    </w:p>
    <w:p>
      <w:pPr>
        <w:snapToGrid w:val="0"/>
        <w:spacing w:line="588"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政府性性基金支出和国有资本经营支出：无</w:t>
      </w:r>
    </w:p>
    <w:p>
      <w:pPr>
        <w:snapToGrid w:val="0"/>
        <w:spacing w:line="588"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p>
    <w:p>
      <w:pPr>
        <w:snapToGrid w:val="0"/>
        <w:spacing w:line="588"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p>
    <w:p>
      <w:pPr>
        <w:snapToGrid w:val="0"/>
        <w:spacing w:line="588"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p>
    <w:p>
      <w:pPr>
        <w:rPr>
          <w:rFonts w:ascii="仿宋_GB2312" w:hAnsi="仿宋_GB2312" w:eastAsia="仿宋_GB2312" w:cs="仿宋_GB2312"/>
          <w:sz w:val="32"/>
          <w:szCs w:val="32"/>
        </w:rPr>
      </w:pPr>
    </w:p>
    <w:p>
      <w:pPr>
        <w:rPr>
          <w:rFonts w:ascii="仿宋_GB2312" w:hAnsi="仿宋_GB2312" w:eastAsia="仿宋_GB2312" w:cs="仿宋_GB2312"/>
        </w:rPr>
      </w:pPr>
    </w:p>
    <w:p>
      <w:pPr>
        <w:snapToGrid w:val="0"/>
        <w:spacing w:line="588"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p>
    <w:p>
      <w:pPr>
        <w:rPr>
          <w:rFonts w:ascii="仿宋_GB2312" w:hAnsi="仿宋_GB2312" w:eastAsia="仿宋_GB2312" w:cs="仿宋_GB2312"/>
          <w:sz w:val="32"/>
          <w:szCs w:val="32"/>
        </w:rPr>
      </w:pPr>
    </w:p>
    <w:p>
      <w:pPr>
        <w:rPr>
          <w:rFonts w:ascii="仿宋_GB2312" w:hAnsi="仿宋_GB2312" w:eastAsia="仿宋_GB2312" w:cs="仿宋_GB2312"/>
        </w:rPr>
      </w:pPr>
    </w:p>
    <w:sectPr>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_GBK">
    <w:altName w:val="宋体"/>
    <w:panose1 w:val="00000000000000000000"/>
    <w:charset w:val="86"/>
    <w:family w:val="roman"/>
    <w:pitch w:val="default"/>
    <w:sig w:usb0="00000000" w:usb1="00000000" w:usb2="00000000" w:usb3="00000000" w:csb0="00040001" w:csb1="00000000"/>
  </w:font>
  <w:font w:name="方正仿宋_GBK">
    <w:altName w:val="宋体"/>
    <w:panose1 w:val="00000000000000000000"/>
    <w:charset w:val="86"/>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黑体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5"/>
      </w:rPr>
    </w:pPr>
    <w:r>
      <w:fldChar w:fldCharType="begin"/>
    </w:r>
    <w:r>
      <w:rPr>
        <w:rStyle w:val="15"/>
      </w:rPr>
      <w:instrText xml:space="preserve">PAGE  </w:instrText>
    </w:r>
    <w:r>
      <w:fldChar w:fldCharType="separate"/>
    </w:r>
    <w:r>
      <w:rPr>
        <w:rStyle w:val="15"/>
      </w:rPr>
      <w:t>21</w:t>
    </w:r>
    <w:r>
      <w:fldChar w:fldCharType="end"/>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18</w:t>
    </w:r>
    <w:r>
      <w:rPr>
        <w:lang w:val="zh-CN"/>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F3C53"/>
    <w:multiLevelType w:val="singleLevel"/>
    <w:tmpl w:val="242F3C53"/>
    <w:lvl w:ilvl="0" w:tentative="0">
      <w:start w:val="1"/>
      <w:numFmt w:val="decimal"/>
      <w:suff w:val="nothing"/>
      <w:lvlText w:val="%1、"/>
      <w:lvlJc w:val="left"/>
    </w:lvl>
  </w:abstractNum>
  <w:abstractNum w:abstractNumId="1">
    <w:nsid w:val="37041494"/>
    <w:multiLevelType w:val="singleLevel"/>
    <w:tmpl w:val="3704149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623C3"/>
    <w:rsid w:val="00003973"/>
    <w:rsid w:val="00033C19"/>
    <w:rsid w:val="00061A15"/>
    <w:rsid w:val="00133A73"/>
    <w:rsid w:val="00160420"/>
    <w:rsid w:val="00186619"/>
    <w:rsid w:val="001D6A9F"/>
    <w:rsid w:val="001E7A25"/>
    <w:rsid w:val="003112F7"/>
    <w:rsid w:val="00315E82"/>
    <w:rsid w:val="00333F3F"/>
    <w:rsid w:val="0037077A"/>
    <w:rsid w:val="004F2294"/>
    <w:rsid w:val="005056F4"/>
    <w:rsid w:val="005662B7"/>
    <w:rsid w:val="005719E6"/>
    <w:rsid w:val="0059725B"/>
    <w:rsid w:val="005D05BD"/>
    <w:rsid w:val="006A2698"/>
    <w:rsid w:val="00707C5F"/>
    <w:rsid w:val="00763D66"/>
    <w:rsid w:val="008A55FF"/>
    <w:rsid w:val="008F19FF"/>
    <w:rsid w:val="009125F5"/>
    <w:rsid w:val="00957D4D"/>
    <w:rsid w:val="00973616"/>
    <w:rsid w:val="009B1180"/>
    <w:rsid w:val="00A41530"/>
    <w:rsid w:val="00A510C9"/>
    <w:rsid w:val="00A96346"/>
    <w:rsid w:val="00B3001E"/>
    <w:rsid w:val="00B51CE4"/>
    <w:rsid w:val="00B62823"/>
    <w:rsid w:val="00CE3EBD"/>
    <w:rsid w:val="00D03905"/>
    <w:rsid w:val="00D43B44"/>
    <w:rsid w:val="00DD1481"/>
    <w:rsid w:val="00DF5FD0"/>
    <w:rsid w:val="00E46165"/>
    <w:rsid w:val="00E56E15"/>
    <w:rsid w:val="00ED07ED"/>
    <w:rsid w:val="00EE5D61"/>
    <w:rsid w:val="00F36314"/>
    <w:rsid w:val="00F37E93"/>
    <w:rsid w:val="00FF6DC3"/>
    <w:rsid w:val="05DA1A5D"/>
    <w:rsid w:val="094525CA"/>
    <w:rsid w:val="0BBD10CA"/>
    <w:rsid w:val="0CDF396D"/>
    <w:rsid w:val="0D563808"/>
    <w:rsid w:val="0D80194E"/>
    <w:rsid w:val="100213FE"/>
    <w:rsid w:val="11302211"/>
    <w:rsid w:val="152826DC"/>
    <w:rsid w:val="193725CF"/>
    <w:rsid w:val="19420C28"/>
    <w:rsid w:val="1CC7564A"/>
    <w:rsid w:val="1CDE1857"/>
    <w:rsid w:val="20977888"/>
    <w:rsid w:val="247618C3"/>
    <w:rsid w:val="248C380D"/>
    <w:rsid w:val="285F4127"/>
    <w:rsid w:val="2ED91E89"/>
    <w:rsid w:val="305F2259"/>
    <w:rsid w:val="32A94EBB"/>
    <w:rsid w:val="342B523F"/>
    <w:rsid w:val="350B283E"/>
    <w:rsid w:val="366C704B"/>
    <w:rsid w:val="37A20965"/>
    <w:rsid w:val="39572E10"/>
    <w:rsid w:val="3957515E"/>
    <w:rsid w:val="3B07519F"/>
    <w:rsid w:val="3D6C4836"/>
    <w:rsid w:val="3DD221DF"/>
    <w:rsid w:val="3F5865ED"/>
    <w:rsid w:val="45B27EA5"/>
    <w:rsid w:val="483E3B9D"/>
    <w:rsid w:val="4C6249E7"/>
    <w:rsid w:val="4F7519B9"/>
    <w:rsid w:val="545431DA"/>
    <w:rsid w:val="54760CD4"/>
    <w:rsid w:val="55AC0F64"/>
    <w:rsid w:val="56361C04"/>
    <w:rsid w:val="56EB3644"/>
    <w:rsid w:val="579947BB"/>
    <w:rsid w:val="5A635805"/>
    <w:rsid w:val="5D5C67D3"/>
    <w:rsid w:val="5DBA59DC"/>
    <w:rsid w:val="62297733"/>
    <w:rsid w:val="67B623C3"/>
    <w:rsid w:val="6AC75AB1"/>
    <w:rsid w:val="6CF24B41"/>
    <w:rsid w:val="6D0A6CB1"/>
    <w:rsid w:val="6EBF6A2B"/>
    <w:rsid w:val="74627044"/>
    <w:rsid w:val="759839CE"/>
    <w:rsid w:val="77AC2373"/>
    <w:rsid w:val="7CBA279A"/>
    <w:rsid w:val="7ED835DB"/>
    <w:rsid w:val="7F051FA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qFormat="1" w:unhideWhenUsed="0" w:uiPriority="99" w:name="footnote text"/>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qFormat="1" w:unhideWhenUsed="0" w:uiPriority="99" w:name="footnote reference"/>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link w:val="17"/>
    <w:qFormat/>
    <w:locked/>
    <w:uiPriority w:val="99"/>
    <w:pPr>
      <w:keepNext/>
      <w:keepLines/>
      <w:spacing w:before="340" w:after="330" w:line="578" w:lineRule="auto"/>
      <w:outlineLvl w:val="0"/>
    </w:pPr>
    <w:rPr>
      <w:b/>
      <w:bCs/>
      <w:kern w:val="44"/>
      <w:sz w:val="44"/>
      <w:szCs w:val="44"/>
    </w:rPr>
  </w:style>
  <w:style w:type="paragraph" w:styleId="3">
    <w:name w:val="heading 2"/>
    <w:basedOn w:val="1"/>
    <w:next w:val="1"/>
    <w:link w:val="18"/>
    <w:qFormat/>
    <w:locked/>
    <w:uiPriority w:val="99"/>
    <w:pPr>
      <w:keepNext/>
      <w:keepLines/>
      <w:spacing w:before="260" w:after="260" w:line="416" w:lineRule="auto"/>
      <w:outlineLvl w:val="1"/>
    </w:pPr>
    <w:rPr>
      <w:rFonts w:ascii="Arial" w:hAnsi="Arial" w:eastAsia="黑体"/>
      <w:b/>
      <w:bCs/>
      <w:sz w:val="32"/>
      <w:szCs w:val="32"/>
    </w:rPr>
  </w:style>
  <w:style w:type="character" w:default="1" w:styleId="14">
    <w:name w:val="Default Paragraph Font"/>
    <w:semiHidden/>
    <w:qFormat/>
    <w:uiPriority w:val="99"/>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22"/>
    <w:qFormat/>
    <w:uiPriority w:val="99"/>
    <w:pPr>
      <w:spacing w:after="120"/>
    </w:pPr>
  </w:style>
  <w:style w:type="paragraph" w:styleId="5">
    <w:name w:val="Body Text Indent"/>
    <w:basedOn w:val="1"/>
    <w:link w:val="24"/>
    <w:qFormat/>
    <w:uiPriority w:val="99"/>
    <w:pPr>
      <w:spacing w:after="120"/>
      <w:ind w:left="420" w:leftChars="200"/>
    </w:pPr>
  </w:style>
  <w:style w:type="paragraph" w:styleId="6">
    <w:name w:val="List 2"/>
    <w:basedOn w:val="1"/>
    <w:qFormat/>
    <w:uiPriority w:val="99"/>
    <w:pPr>
      <w:ind w:left="100" w:leftChars="200" w:hanging="200" w:hangingChars="200"/>
    </w:pPr>
  </w:style>
  <w:style w:type="paragraph" w:styleId="7">
    <w:name w:val="footer"/>
    <w:basedOn w:val="1"/>
    <w:link w:val="19"/>
    <w:qFormat/>
    <w:uiPriority w:val="99"/>
    <w:pPr>
      <w:tabs>
        <w:tab w:val="center" w:pos="4153"/>
        <w:tab w:val="right" w:pos="8306"/>
      </w:tabs>
      <w:snapToGrid w:val="0"/>
      <w:jc w:val="left"/>
    </w:pPr>
    <w:rPr>
      <w:sz w:val="18"/>
      <w:szCs w:val="18"/>
    </w:rPr>
  </w:style>
  <w:style w:type="paragraph" w:styleId="8">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link w:val="21"/>
    <w:semiHidden/>
    <w:qFormat/>
    <w:uiPriority w:val="99"/>
    <w:pPr>
      <w:snapToGrid w:val="0"/>
      <w:jc w:val="left"/>
    </w:pPr>
    <w:rPr>
      <w:rFonts w:ascii="Times New Roman" w:hAnsi="Times New Roman"/>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1">
    <w:name w:val="Body Text First Indent"/>
    <w:basedOn w:val="4"/>
    <w:link w:val="23"/>
    <w:qFormat/>
    <w:uiPriority w:val="99"/>
    <w:pPr>
      <w:ind w:firstLine="420" w:firstLineChars="100"/>
    </w:pPr>
  </w:style>
  <w:style w:type="paragraph" w:styleId="12">
    <w:name w:val="Body Text First Indent 2"/>
    <w:basedOn w:val="5"/>
    <w:link w:val="25"/>
    <w:qFormat/>
    <w:uiPriority w:val="99"/>
    <w:pPr>
      <w:ind w:firstLine="420" w:firstLineChars="200"/>
    </w:pPr>
  </w:style>
  <w:style w:type="character" w:styleId="15">
    <w:name w:val="page number"/>
    <w:basedOn w:val="14"/>
    <w:qFormat/>
    <w:uiPriority w:val="99"/>
    <w:rPr>
      <w:rFonts w:cs="Times New Roman"/>
    </w:rPr>
  </w:style>
  <w:style w:type="character" w:styleId="16">
    <w:name w:val="footnote reference"/>
    <w:basedOn w:val="14"/>
    <w:semiHidden/>
    <w:qFormat/>
    <w:uiPriority w:val="99"/>
    <w:rPr>
      <w:rFonts w:cs="Times New Roman"/>
      <w:vertAlign w:val="superscript"/>
    </w:rPr>
  </w:style>
  <w:style w:type="character" w:customStyle="1" w:styleId="17">
    <w:name w:val="Heading 1 Char"/>
    <w:basedOn w:val="14"/>
    <w:link w:val="2"/>
    <w:qFormat/>
    <w:locked/>
    <w:uiPriority w:val="99"/>
    <w:rPr>
      <w:rFonts w:cs="Times New Roman"/>
      <w:b/>
      <w:bCs/>
      <w:kern w:val="44"/>
      <w:sz w:val="44"/>
      <w:szCs w:val="44"/>
    </w:rPr>
  </w:style>
  <w:style w:type="character" w:customStyle="1" w:styleId="18">
    <w:name w:val="Heading 2 Char"/>
    <w:basedOn w:val="14"/>
    <w:link w:val="3"/>
    <w:semiHidden/>
    <w:qFormat/>
    <w:locked/>
    <w:uiPriority w:val="99"/>
    <w:rPr>
      <w:rFonts w:ascii="Cambria" w:hAnsi="Cambria" w:eastAsia="宋体" w:cs="Times New Roman"/>
      <w:b/>
      <w:bCs/>
      <w:sz w:val="32"/>
      <w:szCs w:val="32"/>
    </w:rPr>
  </w:style>
  <w:style w:type="character" w:customStyle="1" w:styleId="19">
    <w:name w:val="Footer Char"/>
    <w:basedOn w:val="14"/>
    <w:link w:val="7"/>
    <w:semiHidden/>
    <w:qFormat/>
    <w:locked/>
    <w:uiPriority w:val="99"/>
    <w:rPr>
      <w:rFonts w:cs="Times New Roman"/>
      <w:sz w:val="18"/>
      <w:szCs w:val="18"/>
    </w:rPr>
  </w:style>
  <w:style w:type="character" w:customStyle="1" w:styleId="20">
    <w:name w:val="Header Char"/>
    <w:basedOn w:val="14"/>
    <w:link w:val="8"/>
    <w:semiHidden/>
    <w:qFormat/>
    <w:locked/>
    <w:uiPriority w:val="99"/>
    <w:rPr>
      <w:rFonts w:cs="Times New Roman"/>
      <w:sz w:val="18"/>
      <w:szCs w:val="18"/>
    </w:rPr>
  </w:style>
  <w:style w:type="character" w:customStyle="1" w:styleId="21">
    <w:name w:val="Footnote Text Char"/>
    <w:basedOn w:val="14"/>
    <w:link w:val="9"/>
    <w:semiHidden/>
    <w:qFormat/>
    <w:locked/>
    <w:uiPriority w:val="99"/>
    <w:rPr>
      <w:rFonts w:cs="Times New Roman"/>
      <w:sz w:val="18"/>
      <w:szCs w:val="18"/>
    </w:rPr>
  </w:style>
  <w:style w:type="character" w:customStyle="1" w:styleId="22">
    <w:name w:val="Body Text Char"/>
    <w:basedOn w:val="14"/>
    <w:link w:val="4"/>
    <w:semiHidden/>
    <w:qFormat/>
    <w:locked/>
    <w:uiPriority w:val="99"/>
    <w:rPr>
      <w:rFonts w:cs="Times New Roman"/>
      <w:sz w:val="21"/>
      <w:szCs w:val="21"/>
    </w:rPr>
  </w:style>
  <w:style w:type="character" w:customStyle="1" w:styleId="23">
    <w:name w:val="Body Text First Indent Char"/>
    <w:basedOn w:val="22"/>
    <w:link w:val="11"/>
    <w:semiHidden/>
    <w:qFormat/>
    <w:locked/>
    <w:uiPriority w:val="99"/>
  </w:style>
  <w:style w:type="character" w:customStyle="1" w:styleId="24">
    <w:name w:val="Body Text Indent Char"/>
    <w:basedOn w:val="14"/>
    <w:link w:val="5"/>
    <w:semiHidden/>
    <w:qFormat/>
    <w:locked/>
    <w:uiPriority w:val="99"/>
    <w:rPr>
      <w:rFonts w:cs="Times New Roman"/>
      <w:sz w:val="21"/>
      <w:szCs w:val="21"/>
    </w:rPr>
  </w:style>
  <w:style w:type="character" w:customStyle="1" w:styleId="25">
    <w:name w:val="Body Text First Indent 2 Char"/>
    <w:basedOn w:val="24"/>
    <w:link w:val="12"/>
    <w:semiHidden/>
    <w:qFormat/>
    <w:locked/>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19</Pages>
  <Words>1417</Words>
  <Characters>8077</Characters>
  <Lines>0</Lines>
  <Paragraphs>0</Paragraphs>
  <TotalTime>16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2017-06-21T05:16:00Z</dcterms:created>
  <dc:creator>Administrator</dc:creator>
  <cp:lastModifiedBy>阳春白雪</cp:lastModifiedBy>
  <cp:lastPrinted>2018-03-01T06:39:00Z</cp:lastPrinted>
  <dcterms:modified xsi:type="dcterms:W3CDTF">2021-03-09T07:59:04Z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489042818_btnclosed</vt:lpwstr>
  </property>
</Properties>
</file>