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52" w:rsidRDefault="004D1C52" w:rsidP="004D1C52">
      <w:pPr>
        <w:widowControl/>
        <w:shd w:val="clear" w:color="auto" w:fill="FFFFFF"/>
        <w:spacing w:line="59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唐山市丰润区商务和投资促进局</w:t>
      </w:r>
    </w:p>
    <w:p w:rsidR="00B1792A" w:rsidRPr="00B1792A" w:rsidRDefault="004D1C52" w:rsidP="00B1792A">
      <w:pPr>
        <w:widowControl/>
        <w:shd w:val="clear" w:color="auto" w:fill="FFFFFF"/>
        <w:spacing w:line="59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40"/>
          <w:szCs w:val="40"/>
        </w:rPr>
        <w:t>202</w:t>
      </w:r>
      <w:r w:rsidR="00AD672F">
        <w:rPr>
          <w:rFonts w:ascii="方正小标宋简体" w:eastAsia="方正小标宋简体" w:hAnsi="方正小标宋简体" w:cs="方正小标宋简体" w:hint="eastAsia"/>
          <w:kern w:val="0"/>
          <w:sz w:val="40"/>
          <w:szCs w:val="40"/>
        </w:rPr>
        <w:t>1</w:t>
      </w:r>
      <w:r>
        <w:rPr>
          <w:rFonts w:ascii="方正小标宋简体" w:eastAsia="方正小标宋简体" w:hAnsi="方正小标宋简体" w:cs="方正小标宋简体" w:hint="eastAsia"/>
          <w:kern w:val="0"/>
          <w:sz w:val="40"/>
          <w:szCs w:val="40"/>
        </w:rPr>
        <w:t>年部门预算公开有关事项的说明</w:t>
      </w:r>
    </w:p>
    <w:p w:rsidR="004D1C52" w:rsidRDefault="004D1C52" w:rsidP="00BC3C07">
      <w:pPr>
        <w:shd w:val="clear" w:color="auto" w:fill="FFFFFF"/>
        <w:spacing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一、部门职责、机构设置等基本情况</w:t>
      </w:r>
    </w:p>
    <w:p w:rsidR="004D1C52" w:rsidRDefault="004D1C52" w:rsidP="00BC3C07">
      <w:pPr>
        <w:spacing w:line="500" w:lineRule="exact"/>
        <w:rPr>
          <w:rFonts w:eastAsia="方正仿宋简体"/>
          <w:kern w:val="0"/>
          <w:sz w:val="32"/>
          <w:szCs w:val="32"/>
        </w:rPr>
      </w:pPr>
      <w:r>
        <w:rPr>
          <w:rFonts w:eastAsia="方正仿宋简体" w:hint="eastAsia"/>
          <w:kern w:val="0"/>
          <w:sz w:val="32"/>
          <w:szCs w:val="32"/>
        </w:rPr>
        <w:t>（一）</w:t>
      </w:r>
      <w:r>
        <w:rPr>
          <w:rFonts w:eastAsia="方正仿宋简体" w:hint="eastAsia"/>
          <w:kern w:val="0"/>
          <w:sz w:val="32"/>
          <w:szCs w:val="32"/>
        </w:rPr>
        <w:t xml:space="preserve"> </w:t>
      </w:r>
      <w:r>
        <w:rPr>
          <w:rFonts w:eastAsia="方正仿宋简体"/>
          <w:kern w:val="0"/>
          <w:sz w:val="32"/>
          <w:szCs w:val="32"/>
        </w:rPr>
        <w:t>部门职责</w:t>
      </w:r>
    </w:p>
    <w:p w:rsidR="004D1C52" w:rsidRPr="00D65E7B" w:rsidRDefault="004D1C52" w:rsidP="00BC3C07">
      <w:pPr>
        <w:spacing w:line="500" w:lineRule="exact"/>
        <w:ind w:firstLineChars="250" w:firstLine="700"/>
        <w:rPr>
          <w:rFonts w:ascii="宋体" w:hAnsi="宋体" w:cs="宋体"/>
          <w:color w:val="333333"/>
          <w:kern w:val="0"/>
          <w:sz w:val="28"/>
          <w:szCs w:val="28"/>
        </w:rPr>
      </w:pPr>
      <w:r>
        <w:rPr>
          <w:rFonts w:ascii="方正仿宋_GBK" w:eastAsia="方正仿宋_GBK" w:hint="eastAsia"/>
          <w:sz w:val="28"/>
        </w:rPr>
        <w:t>（</w:t>
      </w:r>
      <w:r>
        <w:rPr>
          <w:rFonts w:ascii="宋体" w:hAnsi="宋体" w:cs="宋体" w:hint="eastAsia"/>
          <w:color w:val="333333"/>
          <w:kern w:val="0"/>
          <w:sz w:val="28"/>
          <w:szCs w:val="28"/>
        </w:rPr>
        <w:t>1</w:t>
      </w:r>
      <w:r w:rsidRPr="00D65E7B">
        <w:rPr>
          <w:rFonts w:ascii="宋体" w:hAnsi="宋体" w:cs="宋体" w:hint="eastAsia"/>
          <w:color w:val="333333"/>
          <w:kern w:val="0"/>
          <w:sz w:val="28"/>
          <w:szCs w:val="28"/>
        </w:rPr>
        <w:t>）</w:t>
      </w:r>
      <w:r w:rsidRPr="00D65E7B">
        <w:rPr>
          <w:rFonts w:ascii="宋体" w:hAnsi="宋体" w:cs="宋体"/>
          <w:color w:val="333333"/>
          <w:kern w:val="0"/>
          <w:sz w:val="28"/>
          <w:szCs w:val="28"/>
        </w:rPr>
        <w:t>贯彻落实国家和省市有关内外贸易、国际经济合作、招商引资的发展战略，方针、政策，拟订全区的</w:t>
      </w:r>
      <w:r w:rsidRPr="00D65E7B">
        <w:rPr>
          <w:rFonts w:ascii="宋体" w:hAnsi="宋体" w:cs="宋体" w:hint="eastAsia"/>
          <w:color w:val="333333"/>
          <w:kern w:val="0"/>
          <w:sz w:val="28"/>
          <w:szCs w:val="28"/>
        </w:rPr>
        <w:t>商务发展</w:t>
      </w:r>
      <w:r w:rsidRPr="00D65E7B">
        <w:rPr>
          <w:rFonts w:ascii="宋体" w:hAnsi="宋体" w:cs="宋体"/>
          <w:color w:val="333333"/>
          <w:kern w:val="0"/>
          <w:sz w:val="28"/>
          <w:szCs w:val="28"/>
        </w:rPr>
        <w:t>规划</w:t>
      </w:r>
      <w:r w:rsidRPr="00D65E7B">
        <w:rPr>
          <w:rFonts w:ascii="宋体" w:hAnsi="宋体" w:cs="宋体" w:hint="eastAsia"/>
          <w:color w:val="333333"/>
          <w:kern w:val="0"/>
          <w:sz w:val="28"/>
          <w:szCs w:val="28"/>
        </w:rPr>
        <w:t>、政策</w:t>
      </w:r>
      <w:r w:rsidRPr="00D65E7B">
        <w:rPr>
          <w:rFonts w:ascii="宋体" w:hAnsi="宋体" w:cs="宋体"/>
          <w:color w:val="333333"/>
          <w:kern w:val="0"/>
          <w:sz w:val="28"/>
          <w:szCs w:val="28"/>
        </w:rPr>
        <w:t>措施</w:t>
      </w:r>
      <w:r w:rsidRPr="00D65E7B">
        <w:rPr>
          <w:rFonts w:ascii="宋体" w:hAnsi="宋体" w:cs="宋体" w:hint="eastAsia"/>
          <w:color w:val="333333"/>
          <w:kern w:val="0"/>
          <w:sz w:val="28"/>
          <w:szCs w:val="28"/>
        </w:rPr>
        <w:t>和年度安排并组织实施</w:t>
      </w:r>
      <w:r w:rsidRPr="00D65E7B">
        <w:rPr>
          <w:rFonts w:ascii="宋体" w:hAnsi="宋体" w:cs="宋体"/>
          <w:color w:val="333333"/>
          <w:kern w:val="0"/>
          <w:sz w:val="28"/>
          <w:szCs w:val="28"/>
        </w:rPr>
        <w:t>。</w:t>
      </w:r>
    </w:p>
    <w:p w:rsidR="004D1C52" w:rsidRPr="00D65E7B" w:rsidRDefault="004D1C52" w:rsidP="004D1C52">
      <w:pPr>
        <w:spacing w:line="600" w:lineRule="exact"/>
        <w:ind w:firstLineChars="200" w:firstLine="56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2</w:t>
      </w:r>
      <w:r w:rsidRPr="00D65E7B">
        <w:rPr>
          <w:rFonts w:ascii="宋体" w:hAnsi="宋体" w:cs="宋体" w:hint="eastAsia"/>
          <w:color w:val="333333"/>
          <w:kern w:val="0"/>
          <w:sz w:val="28"/>
          <w:szCs w:val="28"/>
        </w:rPr>
        <w:t>）拟订全区国内贸易发展规划，促进城乡市场发展，提出引导市场体系建设的政策，指导大宗产品批发市场建设和城市商业网点规划、商务体系建设工作；推进农村市场体系建设，组织实施农村现代流通网络工程。</w:t>
      </w:r>
    </w:p>
    <w:p w:rsidR="004D1C52" w:rsidRPr="00D65E7B" w:rsidRDefault="004D1C52" w:rsidP="004D1C52">
      <w:pPr>
        <w:spacing w:line="600" w:lineRule="exact"/>
        <w:ind w:firstLineChars="200" w:firstLine="56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3</w:t>
      </w:r>
      <w:r w:rsidRPr="00D65E7B">
        <w:rPr>
          <w:rFonts w:ascii="宋体" w:hAnsi="宋体" w:cs="宋体" w:hint="eastAsia"/>
          <w:color w:val="333333"/>
          <w:kern w:val="0"/>
          <w:sz w:val="28"/>
          <w:szCs w:val="28"/>
        </w:rPr>
        <w:t>）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rsidR="004D1C52" w:rsidRPr="00D65E7B" w:rsidRDefault="004D1C52" w:rsidP="004D1C52">
      <w:pPr>
        <w:spacing w:line="600" w:lineRule="exact"/>
        <w:ind w:firstLineChars="150" w:firstLine="420"/>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4</w:t>
      </w:r>
      <w:r w:rsidRPr="00D65E7B">
        <w:rPr>
          <w:rFonts w:ascii="宋体" w:hAnsi="宋体" w:cs="宋体" w:hint="eastAsia"/>
          <w:color w:val="333333"/>
          <w:kern w:val="0"/>
          <w:sz w:val="28"/>
          <w:szCs w:val="28"/>
        </w:rPr>
        <w:t>）牵头推进商务领域信用体系建设，规范商贸企业交易行为。牵头推动重要产品追溯体系建设。按有关规定对特殊流通行业进行监督管理。</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5</w:t>
      </w:r>
      <w:r w:rsidRPr="00D65E7B">
        <w:rPr>
          <w:rFonts w:ascii="宋体" w:hAnsi="宋体" w:cs="宋体" w:hint="eastAsia"/>
          <w:color w:val="333333"/>
          <w:kern w:val="0"/>
          <w:sz w:val="28"/>
          <w:szCs w:val="28"/>
        </w:rPr>
        <w:t>）调查分析商品价格信息，进行预测预警和信息引导，</w:t>
      </w:r>
      <w:bookmarkStart w:id="0" w:name="OLE_LINK1"/>
      <w:r w:rsidRPr="00D65E7B">
        <w:rPr>
          <w:rFonts w:ascii="宋体" w:hAnsi="宋体" w:cs="宋体" w:hint="eastAsia"/>
          <w:color w:val="333333"/>
          <w:kern w:val="0"/>
          <w:sz w:val="28"/>
          <w:szCs w:val="28"/>
        </w:rPr>
        <w:t>按分工负责重要消费品市场调控工作，按有关规定对成品油市场进行监督管理。</w:t>
      </w:r>
      <w:bookmarkEnd w:id="0"/>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6</w:t>
      </w:r>
      <w:r w:rsidRPr="00D65E7B">
        <w:rPr>
          <w:rFonts w:ascii="宋体" w:hAnsi="宋体" w:cs="宋体" w:hint="eastAsia"/>
          <w:color w:val="333333"/>
          <w:kern w:val="0"/>
          <w:sz w:val="28"/>
          <w:szCs w:val="28"/>
        </w:rPr>
        <w:t>）执行国家和省市区制定的进出口商品、加工贸易管理办法和</w:t>
      </w:r>
      <w:r w:rsidRPr="00D65E7B">
        <w:rPr>
          <w:rFonts w:ascii="宋体" w:hAnsi="宋体" w:cs="宋体" w:hint="eastAsia"/>
          <w:color w:val="333333"/>
          <w:kern w:val="0"/>
          <w:sz w:val="28"/>
          <w:szCs w:val="28"/>
        </w:rPr>
        <w:lastRenderedPageBreak/>
        <w:t>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7</w:t>
      </w:r>
      <w:r w:rsidRPr="00D65E7B">
        <w:rPr>
          <w:rFonts w:ascii="宋体" w:hAnsi="宋体" w:cs="宋体" w:hint="eastAsia"/>
          <w:color w:val="333333"/>
          <w:kern w:val="0"/>
          <w:sz w:val="28"/>
          <w:szCs w:val="28"/>
        </w:rPr>
        <w:t>）贯彻执行国家和省市区对外技术贸易、进出口管制以及鼓励技术和成套设备进出口的贸易政策；拟定和推进全区科技兴贸战略；依法监督技术引进、设备进口、国家和省市限制出口技术的工作；依法颁发防扩散等与国家和省市区安全相关的出口许可证件。</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8</w:t>
      </w:r>
      <w:r w:rsidRPr="00D65E7B">
        <w:rPr>
          <w:rFonts w:ascii="宋体" w:hAnsi="宋体" w:cs="宋体" w:hint="eastAsia"/>
          <w:color w:val="333333"/>
          <w:kern w:val="0"/>
          <w:sz w:val="28"/>
          <w:szCs w:val="28"/>
        </w:rPr>
        <w:t>）会同有关部门贯彻执行国家和省市区促进服务出口和服务外包发展的规划、政策，牵头拟订全区服务贸易发展规划并组织实施。</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9</w:t>
      </w:r>
      <w:r w:rsidRPr="00D65E7B">
        <w:rPr>
          <w:rFonts w:ascii="宋体" w:hAnsi="宋体" w:cs="宋体" w:hint="eastAsia"/>
          <w:color w:val="333333"/>
          <w:kern w:val="0"/>
          <w:sz w:val="28"/>
          <w:szCs w:val="28"/>
        </w:rPr>
        <w:t>）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经济技术开发区有关工作；指导和管理全区外商投资企业进出口工作。</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10</w:t>
      </w:r>
      <w:r w:rsidRPr="00D65E7B">
        <w:rPr>
          <w:rFonts w:ascii="宋体" w:hAnsi="宋体" w:cs="宋体" w:hint="eastAsia"/>
          <w:color w:val="333333"/>
          <w:kern w:val="0"/>
          <w:sz w:val="28"/>
          <w:szCs w:val="28"/>
        </w:rPr>
        <w:t>）配合商务部、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lastRenderedPageBreak/>
        <w:t>（</w:t>
      </w:r>
      <w:r>
        <w:rPr>
          <w:rFonts w:ascii="宋体" w:hAnsi="宋体" w:cs="宋体" w:hint="eastAsia"/>
          <w:color w:val="333333"/>
          <w:kern w:val="0"/>
          <w:sz w:val="28"/>
          <w:szCs w:val="28"/>
        </w:rPr>
        <w:t>11</w:t>
      </w:r>
      <w:r w:rsidRPr="00D65E7B">
        <w:rPr>
          <w:rFonts w:ascii="宋体" w:hAnsi="宋体" w:cs="宋体" w:hint="eastAsia"/>
          <w:color w:val="333333"/>
          <w:kern w:val="0"/>
          <w:sz w:val="28"/>
          <w:szCs w:val="28"/>
        </w:rPr>
        <w:t>）负责全区商务系统涉及世贸组织相关事务的研究、指导和服务工作，配合商务部、商务厅和市商务局解决世贸组织框架下涉及全区的贸易争端，负责推进全区进出口贸易的标准化建设。</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12</w:t>
      </w:r>
      <w:r w:rsidRPr="00D65E7B">
        <w:rPr>
          <w:rFonts w:ascii="宋体" w:hAnsi="宋体" w:cs="宋体" w:hint="eastAsia"/>
          <w:color w:val="333333"/>
          <w:kern w:val="0"/>
          <w:sz w:val="28"/>
          <w:szCs w:val="28"/>
        </w:rPr>
        <w:t>）负责丰润区会展业促进与管理工作;指导、管理境内外对外经济技术展览会和赴境外非商业性办展活动。</w:t>
      </w:r>
    </w:p>
    <w:p w:rsidR="004D1C52" w:rsidRPr="00D65E7B" w:rsidRDefault="004D1C52" w:rsidP="004D1C52">
      <w:pPr>
        <w:spacing w:line="600" w:lineRule="exact"/>
        <w:ind w:firstLineChars="150" w:firstLine="42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13</w:t>
      </w:r>
      <w:r w:rsidRPr="00D65E7B">
        <w:rPr>
          <w:rFonts w:ascii="宋体" w:hAnsi="宋体" w:cs="宋体" w:hint="eastAsia"/>
          <w:color w:val="333333"/>
          <w:kern w:val="0"/>
          <w:sz w:val="28"/>
          <w:szCs w:val="28"/>
        </w:rPr>
        <w:t>）监测分析全区商务运行情况，承担全区商务系统对外宣传和信息发布工作。</w:t>
      </w:r>
    </w:p>
    <w:p w:rsidR="004D1C52" w:rsidRPr="00D65E7B" w:rsidRDefault="004D1C52" w:rsidP="004D1C52">
      <w:pPr>
        <w:spacing w:line="600" w:lineRule="exact"/>
        <w:ind w:firstLineChars="100" w:firstLine="28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14</w:t>
      </w:r>
      <w:r w:rsidRPr="00D65E7B">
        <w:rPr>
          <w:rFonts w:ascii="宋体" w:hAnsi="宋体" w:cs="宋体" w:hint="eastAsia"/>
          <w:color w:val="333333"/>
          <w:kern w:val="0"/>
          <w:sz w:val="28"/>
          <w:szCs w:val="28"/>
        </w:rPr>
        <w:t>）负责原局属破产改制企业遗留问题处置工作。</w:t>
      </w:r>
    </w:p>
    <w:p w:rsidR="004D1C52" w:rsidRPr="00D65E7B" w:rsidRDefault="004D1C52" w:rsidP="00BC3C07">
      <w:pPr>
        <w:spacing w:line="600" w:lineRule="exact"/>
        <w:ind w:firstLineChars="100" w:firstLine="280"/>
        <w:outlineLvl w:val="1"/>
        <w:rPr>
          <w:rFonts w:ascii="宋体" w:hAnsi="宋体" w:cs="宋体"/>
          <w:color w:val="333333"/>
          <w:kern w:val="0"/>
          <w:sz w:val="28"/>
          <w:szCs w:val="28"/>
        </w:rPr>
      </w:pPr>
      <w:r w:rsidRPr="00D65E7B">
        <w:rPr>
          <w:rFonts w:ascii="宋体" w:hAnsi="宋体" w:cs="宋体" w:hint="eastAsia"/>
          <w:color w:val="333333"/>
          <w:kern w:val="0"/>
          <w:sz w:val="28"/>
          <w:szCs w:val="28"/>
        </w:rPr>
        <w:t>（</w:t>
      </w:r>
      <w:r>
        <w:rPr>
          <w:rFonts w:ascii="宋体" w:hAnsi="宋体" w:cs="宋体" w:hint="eastAsia"/>
          <w:color w:val="333333"/>
          <w:kern w:val="0"/>
          <w:sz w:val="28"/>
          <w:szCs w:val="28"/>
        </w:rPr>
        <w:t>15</w:t>
      </w:r>
      <w:r w:rsidRPr="00D65E7B">
        <w:rPr>
          <w:rFonts w:ascii="宋体" w:hAnsi="宋体" w:cs="宋体" w:hint="eastAsia"/>
          <w:color w:val="333333"/>
          <w:kern w:val="0"/>
          <w:sz w:val="28"/>
          <w:szCs w:val="28"/>
        </w:rPr>
        <w:t>）完成区委、区政府交办的其他事项。</w:t>
      </w:r>
    </w:p>
    <w:p w:rsidR="004D1C52" w:rsidRDefault="004D1C52" w:rsidP="00BC3C07">
      <w:pPr>
        <w:rPr>
          <w:rFonts w:eastAsia="方正仿宋简体"/>
          <w:kern w:val="0"/>
          <w:sz w:val="32"/>
          <w:szCs w:val="32"/>
        </w:rPr>
      </w:pPr>
      <w:r>
        <w:rPr>
          <w:rFonts w:eastAsia="方正仿宋简体" w:hint="eastAsia"/>
          <w:kern w:val="0"/>
          <w:sz w:val="32"/>
          <w:szCs w:val="32"/>
        </w:rPr>
        <w:t>（二）</w:t>
      </w:r>
      <w:r>
        <w:rPr>
          <w:rFonts w:eastAsia="方正仿宋简体" w:hint="eastAsia"/>
          <w:kern w:val="0"/>
          <w:sz w:val="32"/>
          <w:szCs w:val="32"/>
        </w:rPr>
        <w:t xml:space="preserve"> </w:t>
      </w:r>
      <w:r>
        <w:rPr>
          <w:rFonts w:eastAsia="方正仿宋简体"/>
          <w:kern w:val="0"/>
          <w:sz w:val="32"/>
          <w:szCs w:val="32"/>
        </w:rPr>
        <w:t>机构设置</w:t>
      </w:r>
    </w:p>
    <w:p w:rsidR="004D1C52" w:rsidRDefault="004D1C52" w:rsidP="00BC3C07">
      <w:pPr>
        <w:ind w:firstLine="560"/>
        <w:rPr>
          <w:rFonts w:ascii="宋体" w:hAnsi="宋体" w:cs="宋体"/>
          <w:sz w:val="28"/>
          <w:szCs w:val="28"/>
        </w:rPr>
      </w:pPr>
      <w:r w:rsidRPr="00F84BAA">
        <w:rPr>
          <w:rFonts w:ascii="宋体" w:hAnsi="宋体" w:cs="宋体" w:hint="eastAsia"/>
          <w:sz w:val="28"/>
          <w:szCs w:val="28"/>
        </w:rPr>
        <w:t>唐山市丰润区商务局与唐山市丰润区招商局于</w:t>
      </w:r>
      <w:smartTag w:uri="urn:schemas-microsoft-com:office:smarttags" w:element="chsdate">
        <w:smartTagPr>
          <w:attr w:name="Year" w:val="2015"/>
          <w:attr w:name="Month" w:val="7"/>
          <w:attr w:name="Day" w:val="23"/>
          <w:attr w:name="IsLunarDate" w:val="False"/>
          <w:attr w:name="IsROCDate" w:val="False"/>
        </w:smartTagPr>
        <w:r w:rsidRPr="00F84BAA">
          <w:rPr>
            <w:rFonts w:ascii="宋体" w:hAnsi="宋体" w:cs="宋体" w:hint="eastAsia"/>
            <w:sz w:val="28"/>
            <w:szCs w:val="28"/>
          </w:rPr>
          <w:t>2015年7月23日</w:t>
        </w:r>
      </w:smartTag>
      <w:r w:rsidRPr="00F84BAA">
        <w:rPr>
          <w:rFonts w:ascii="宋体" w:hAnsi="宋体" w:cs="宋体" w:hint="eastAsia"/>
          <w:sz w:val="28"/>
          <w:szCs w:val="28"/>
        </w:rPr>
        <w:t>根据（唐办字【2015】32号）丰润区人民政府职能转变和机构改革</w:t>
      </w:r>
      <w:r>
        <w:rPr>
          <w:rFonts w:ascii="宋体" w:hAnsi="宋体" w:cs="宋体" w:hint="eastAsia"/>
          <w:sz w:val="28"/>
          <w:szCs w:val="28"/>
        </w:rPr>
        <w:t>方案的通知，设立唐山市丰润区商务局；2018年12月31日根据丰润字【2018】29号中共唐山市丰润区委和唐山市丰润区人民政府关于《唐山市丰润区机构改革方案》的通知，更名为唐山市丰润区商务和投资促进局，</w:t>
      </w:r>
      <w:r w:rsidRPr="00F84BAA">
        <w:rPr>
          <w:rFonts w:ascii="宋体" w:hAnsi="宋体" w:cs="宋体" w:hint="eastAsia"/>
          <w:sz w:val="28"/>
          <w:szCs w:val="28"/>
        </w:rPr>
        <w:t>为区政府工作部门，正科级行政财政性资金基本保证单位。设</w:t>
      </w:r>
      <w:r>
        <w:rPr>
          <w:rFonts w:ascii="宋体" w:hAnsi="宋体" w:cs="宋体" w:hint="eastAsia"/>
          <w:sz w:val="28"/>
          <w:szCs w:val="28"/>
        </w:rPr>
        <w:t>5</w:t>
      </w:r>
      <w:r w:rsidRPr="00F84BAA">
        <w:rPr>
          <w:rFonts w:ascii="宋体" w:hAnsi="宋体" w:cs="宋体" w:hint="eastAsia"/>
          <w:sz w:val="28"/>
          <w:szCs w:val="28"/>
        </w:rPr>
        <w:t>个内设机构，分别为：办公室、招商科、</w:t>
      </w:r>
      <w:r>
        <w:rPr>
          <w:rFonts w:ascii="宋体" w:hAnsi="宋体" w:cs="宋体" w:hint="eastAsia"/>
          <w:sz w:val="28"/>
          <w:szCs w:val="28"/>
        </w:rPr>
        <w:t>外经外贸科、</w:t>
      </w:r>
      <w:r w:rsidRPr="00F84BAA">
        <w:rPr>
          <w:rFonts w:ascii="宋体" w:hAnsi="宋体" w:cs="宋体" w:hint="eastAsia"/>
          <w:sz w:val="28"/>
          <w:szCs w:val="28"/>
        </w:rPr>
        <w:t>市场</w:t>
      </w:r>
      <w:r>
        <w:rPr>
          <w:rFonts w:ascii="宋体" w:hAnsi="宋体" w:cs="宋体" w:hint="eastAsia"/>
          <w:sz w:val="28"/>
          <w:szCs w:val="28"/>
        </w:rPr>
        <w:t>建设和</w:t>
      </w:r>
      <w:r w:rsidRPr="00F84BAA">
        <w:rPr>
          <w:rFonts w:ascii="宋体" w:hAnsi="宋体" w:cs="宋体" w:hint="eastAsia"/>
          <w:sz w:val="28"/>
          <w:szCs w:val="28"/>
        </w:rPr>
        <w:t>运行科、</w:t>
      </w:r>
      <w:r>
        <w:rPr>
          <w:rFonts w:ascii="宋体" w:hAnsi="宋体" w:cs="宋体" w:hint="eastAsia"/>
          <w:sz w:val="28"/>
          <w:szCs w:val="28"/>
        </w:rPr>
        <w:t>产业发展</w:t>
      </w:r>
      <w:r w:rsidRPr="00F84BAA">
        <w:rPr>
          <w:rFonts w:ascii="宋体" w:hAnsi="宋体" w:cs="宋体" w:hint="eastAsia"/>
          <w:sz w:val="28"/>
          <w:szCs w:val="28"/>
        </w:rPr>
        <w:t>科，还有一个</w:t>
      </w:r>
      <w:r>
        <w:rPr>
          <w:rFonts w:ascii="宋体" w:hAnsi="宋体" w:cs="宋体" w:hint="eastAsia"/>
          <w:sz w:val="28"/>
          <w:szCs w:val="28"/>
        </w:rPr>
        <w:t>机关党委</w:t>
      </w:r>
      <w:r w:rsidRPr="00F84BAA">
        <w:rPr>
          <w:rFonts w:ascii="宋体" w:hAnsi="宋体" w:cs="宋体" w:hint="eastAsia"/>
          <w:sz w:val="28"/>
          <w:szCs w:val="28"/>
        </w:rPr>
        <w:t>。下设执法大队、招商服务中心、</w:t>
      </w:r>
      <w:r>
        <w:rPr>
          <w:rFonts w:ascii="宋体" w:hAnsi="宋体" w:cs="宋体" w:hint="eastAsia"/>
          <w:sz w:val="28"/>
          <w:szCs w:val="28"/>
        </w:rPr>
        <w:t>电子商务服务中心3</w:t>
      </w:r>
      <w:r w:rsidRPr="00F84BAA">
        <w:rPr>
          <w:rFonts w:ascii="宋体" w:hAnsi="宋体" w:cs="宋体" w:hint="eastAsia"/>
          <w:sz w:val="28"/>
          <w:szCs w:val="28"/>
        </w:rPr>
        <w:t>个下属事业单位（非独立核算）。</w:t>
      </w:r>
    </w:p>
    <w:p w:rsidR="00B1792A" w:rsidRDefault="00B1792A" w:rsidP="004D1C52">
      <w:pPr>
        <w:ind w:firstLine="560"/>
        <w:jc w:val="center"/>
        <w:rPr>
          <w:rFonts w:ascii="宋体" w:hAnsi="宋体" w:cs="宋体"/>
          <w:b/>
          <w:sz w:val="30"/>
          <w:szCs w:val="30"/>
        </w:rPr>
      </w:pPr>
    </w:p>
    <w:p w:rsidR="004D1C52" w:rsidRPr="002835FF" w:rsidRDefault="004D1C52" w:rsidP="004D1C52">
      <w:pPr>
        <w:ind w:firstLine="560"/>
        <w:jc w:val="center"/>
        <w:rPr>
          <w:rFonts w:ascii="宋体" w:hAnsi="宋体" w:cs="宋体"/>
          <w:b/>
          <w:sz w:val="30"/>
          <w:szCs w:val="30"/>
        </w:rPr>
      </w:pPr>
      <w:r w:rsidRPr="002835FF">
        <w:rPr>
          <w:rFonts w:ascii="宋体" w:hAnsi="宋体" w:cs="宋体" w:hint="eastAsia"/>
          <w:b/>
          <w:sz w:val="30"/>
          <w:szCs w:val="30"/>
        </w:rPr>
        <w:t>部门机构设置情况</w:t>
      </w:r>
    </w:p>
    <w:tbl>
      <w:tblPr>
        <w:tblStyle w:val="a3"/>
        <w:tblW w:w="0" w:type="auto"/>
        <w:tblLook w:val="01E0"/>
      </w:tblPr>
      <w:tblGrid>
        <w:gridCol w:w="2130"/>
        <w:gridCol w:w="2130"/>
        <w:gridCol w:w="2131"/>
        <w:gridCol w:w="2131"/>
      </w:tblGrid>
      <w:tr w:rsidR="004D1C52" w:rsidTr="00723676">
        <w:tc>
          <w:tcPr>
            <w:tcW w:w="2378" w:type="dxa"/>
          </w:tcPr>
          <w:p w:rsidR="004D1C52" w:rsidRPr="002835FF" w:rsidRDefault="004D1C52" w:rsidP="00723676">
            <w:pPr>
              <w:rPr>
                <w:rFonts w:ascii="宋体" w:hAnsi="宋体"/>
                <w:b/>
                <w:sz w:val="24"/>
              </w:rPr>
            </w:pPr>
            <w:r w:rsidRPr="002835FF">
              <w:rPr>
                <w:rFonts w:ascii="宋体" w:hAnsi="宋体" w:hint="eastAsia"/>
                <w:b/>
                <w:sz w:val="24"/>
              </w:rPr>
              <w:t>单位名称</w:t>
            </w:r>
          </w:p>
        </w:tc>
        <w:tc>
          <w:tcPr>
            <w:tcW w:w="2378" w:type="dxa"/>
          </w:tcPr>
          <w:p w:rsidR="004D1C52" w:rsidRPr="002835FF" w:rsidRDefault="004D1C52" w:rsidP="00723676">
            <w:pPr>
              <w:rPr>
                <w:rFonts w:ascii="宋体" w:hAnsi="宋体"/>
                <w:b/>
                <w:sz w:val="24"/>
              </w:rPr>
            </w:pPr>
            <w:r w:rsidRPr="002835FF">
              <w:rPr>
                <w:rFonts w:ascii="宋体" w:hAnsi="宋体" w:hint="eastAsia"/>
                <w:b/>
                <w:sz w:val="24"/>
              </w:rPr>
              <w:t>单位性质</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单位规格</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经费保障形式</w:t>
            </w:r>
          </w:p>
        </w:tc>
      </w:tr>
      <w:tr w:rsidR="004D1C52" w:rsidTr="00723676">
        <w:tc>
          <w:tcPr>
            <w:tcW w:w="2378" w:type="dxa"/>
          </w:tcPr>
          <w:p w:rsidR="004D1C52" w:rsidRPr="002835FF" w:rsidRDefault="004D1C52" w:rsidP="00723676">
            <w:pPr>
              <w:rPr>
                <w:rFonts w:ascii="宋体" w:hAnsi="宋体"/>
                <w:sz w:val="24"/>
              </w:rPr>
            </w:pPr>
            <w:r w:rsidRPr="002835FF">
              <w:rPr>
                <w:rFonts w:ascii="宋体" w:hAnsi="宋体" w:hint="eastAsia"/>
                <w:sz w:val="24"/>
              </w:rPr>
              <w:t>唐山市丰润区</w:t>
            </w:r>
            <w:r>
              <w:rPr>
                <w:rFonts w:ascii="宋体" w:hAnsi="宋体" w:hint="eastAsia"/>
                <w:sz w:val="24"/>
              </w:rPr>
              <w:t>商务和投资促进局</w:t>
            </w:r>
          </w:p>
        </w:tc>
        <w:tc>
          <w:tcPr>
            <w:tcW w:w="2378" w:type="dxa"/>
          </w:tcPr>
          <w:p w:rsidR="004D1C52" w:rsidRPr="002835FF" w:rsidRDefault="004D1C52" w:rsidP="00723676">
            <w:pPr>
              <w:rPr>
                <w:rFonts w:ascii="宋体" w:hAnsi="宋体"/>
                <w:sz w:val="24"/>
              </w:rPr>
            </w:pPr>
            <w:r w:rsidRPr="002835FF">
              <w:rPr>
                <w:rFonts w:ascii="宋体" w:hAnsi="宋体" w:hint="eastAsia"/>
                <w:sz w:val="24"/>
              </w:rPr>
              <w:t>行政</w:t>
            </w:r>
          </w:p>
        </w:tc>
        <w:tc>
          <w:tcPr>
            <w:tcW w:w="2379" w:type="dxa"/>
          </w:tcPr>
          <w:p w:rsidR="004D1C52" w:rsidRPr="002835FF" w:rsidRDefault="004D1C52" w:rsidP="00723676">
            <w:pPr>
              <w:rPr>
                <w:rFonts w:ascii="宋体" w:hAnsi="宋体"/>
                <w:sz w:val="24"/>
              </w:rPr>
            </w:pPr>
            <w:r w:rsidRPr="002835FF">
              <w:rPr>
                <w:rFonts w:ascii="宋体" w:hAnsi="宋体" w:hint="eastAsia"/>
                <w:sz w:val="24"/>
              </w:rPr>
              <w:t>正科级</w:t>
            </w:r>
          </w:p>
        </w:tc>
        <w:tc>
          <w:tcPr>
            <w:tcW w:w="2379" w:type="dxa"/>
          </w:tcPr>
          <w:p w:rsidR="004D1C52" w:rsidRPr="002835FF" w:rsidRDefault="004D1C52" w:rsidP="00723676">
            <w:pPr>
              <w:rPr>
                <w:rFonts w:ascii="宋体" w:hAnsi="宋体"/>
                <w:sz w:val="24"/>
              </w:rPr>
            </w:pPr>
            <w:r w:rsidRPr="002835FF">
              <w:rPr>
                <w:rFonts w:ascii="宋体" w:hAnsi="宋体" w:hint="eastAsia"/>
                <w:sz w:val="24"/>
              </w:rPr>
              <w:t>财政拨款</w:t>
            </w:r>
          </w:p>
        </w:tc>
      </w:tr>
    </w:tbl>
    <w:p w:rsidR="004D1C52" w:rsidRDefault="004D1C52" w:rsidP="002D3FDF">
      <w:pPr>
        <w:shd w:val="clear" w:color="auto" w:fill="FFFFFF"/>
        <w:spacing w:beforeLines="100" w:afterLines="100"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lastRenderedPageBreak/>
        <w:t>二、部门预算安排总体情况</w:t>
      </w:r>
    </w:p>
    <w:p w:rsidR="00985D14" w:rsidRPr="00F84BAA" w:rsidRDefault="00985D14" w:rsidP="00D90BD4">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1、收入情况：20</w:t>
      </w:r>
      <w:r>
        <w:rPr>
          <w:rFonts w:ascii="宋体" w:hAnsi="宋体" w:cs="宋体" w:hint="eastAsia"/>
          <w:kern w:val="0"/>
          <w:sz w:val="28"/>
          <w:szCs w:val="28"/>
        </w:rPr>
        <w:t>2</w:t>
      </w:r>
      <w:r w:rsidR="00411EB7">
        <w:rPr>
          <w:rFonts w:ascii="宋体" w:hAnsi="宋体" w:cs="宋体" w:hint="eastAsia"/>
          <w:kern w:val="0"/>
          <w:sz w:val="28"/>
          <w:szCs w:val="28"/>
        </w:rPr>
        <w:t>1</w:t>
      </w:r>
      <w:r w:rsidRPr="00F84BAA">
        <w:rPr>
          <w:rFonts w:ascii="宋体" w:hAnsi="宋体" w:cs="宋体" w:hint="eastAsia"/>
          <w:kern w:val="0"/>
          <w:sz w:val="28"/>
          <w:szCs w:val="28"/>
        </w:rPr>
        <w:t>年部门预算安排</w:t>
      </w:r>
      <w:r>
        <w:rPr>
          <w:rFonts w:ascii="宋体" w:hAnsi="宋体" w:cs="宋体" w:hint="eastAsia"/>
          <w:kern w:val="0"/>
          <w:sz w:val="28"/>
          <w:szCs w:val="28"/>
        </w:rPr>
        <w:t>总体</w:t>
      </w:r>
      <w:r w:rsidRPr="00F84BAA">
        <w:rPr>
          <w:rFonts w:ascii="宋体" w:hAnsi="宋体" w:cs="宋体" w:hint="eastAsia"/>
          <w:kern w:val="0"/>
          <w:sz w:val="28"/>
          <w:szCs w:val="28"/>
        </w:rPr>
        <w:t>收入</w:t>
      </w:r>
      <w:r w:rsidR="00411EB7">
        <w:rPr>
          <w:rFonts w:ascii="方正书宋_GBK" w:eastAsia="方正书宋_GBK" w:hint="eastAsia"/>
          <w:sz w:val="28"/>
          <w:szCs w:val="28"/>
        </w:rPr>
        <w:t>1293.42万元</w:t>
      </w:r>
      <w:r w:rsidRPr="004D5F83">
        <w:rPr>
          <w:rFonts w:ascii="宋体" w:hAnsi="宋体" w:cs="宋体" w:hint="eastAsia"/>
          <w:kern w:val="0"/>
          <w:sz w:val="28"/>
          <w:szCs w:val="28"/>
        </w:rPr>
        <w:t>：</w:t>
      </w:r>
      <w:r>
        <w:rPr>
          <w:rFonts w:ascii="宋体" w:hAnsi="宋体" w:cs="宋体" w:hint="eastAsia"/>
          <w:kern w:val="0"/>
          <w:sz w:val="28"/>
          <w:szCs w:val="28"/>
        </w:rPr>
        <w:t>主要是一般公共预算拨款收入</w:t>
      </w:r>
      <w:r w:rsidR="00411EB7">
        <w:rPr>
          <w:rFonts w:ascii="方正书宋_GBK" w:eastAsia="方正书宋_GBK" w:hint="eastAsia"/>
          <w:sz w:val="28"/>
          <w:szCs w:val="28"/>
        </w:rPr>
        <w:t>1293.42</w:t>
      </w:r>
      <w:r w:rsidR="002D3FDF">
        <w:rPr>
          <w:rFonts w:ascii="方正书宋_GBK" w:eastAsia="方正书宋_GBK" w:hint="eastAsia"/>
          <w:sz w:val="28"/>
          <w:szCs w:val="28"/>
        </w:rPr>
        <w:t>万元</w:t>
      </w:r>
      <w:r>
        <w:rPr>
          <w:rFonts w:ascii="宋体" w:hAnsi="宋体" w:cs="宋体" w:hint="eastAsia"/>
          <w:kern w:val="0"/>
          <w:sz w:val="28"/>
          <w:szCs w:val="28"/>
        </w:rPr>
        <w:t>，分别是财政拨款收入</w:t>
      </w:r>
      <w:r w:rsidR="00411EB7" w:rsidRPr="00411EB7">
        <w:rPr>
          <w:rFonts w:ascii="宋体" w:hAnsi="宋体" w:cs="宋体" w:hint="eastAsia"/>
          <w:kern w:val="0"/>
          <w:sz w:val="28"/>
          <w:szCs w:val="28"/>
        </w:rPr>
        <w:t>1253.27万元</w:t>
      </w:r>
      <w:r>
        <w:rPr>
          <w:rFonts w:ascii="宋体" w:hAnsi="宋体" w:cs="宋体" w:hint="eastAsia"/>
          <w:kern w:val="0"/>
          <w:sz w:val="28"/>
          <w:szCs w:val="28"/>
        </w:rPr>
        <w:t>、国有资产有偿使用收入</w:t>
      </w:r>
      <w:r w:rsidR="00411EB7">
        <w:rPr>
          <w:rFonts w:ascii="宋体" w:hAnsi="宋体" w:cs="宋体" w:hint="eastAsia"/>
          <w:kern w:val="0"/>
          <w:sz w:val="28"/>
          <w:szCs w:val="28"/>
        </w:rPr>
        <w:t>40.15万</w:t>
      </w:r>
      <w:r>
        <w:rPr>
          <w:rFonts w:ascii="宋体" w:hAnsi="宋体" w:cs="宋体" w:hint="eastAsia"/>
          <w:kern w:val="0"/>
          <w:sz w:val="28"/>
          <w:szCs w:val="28"/>
        </w:rPr>
        <w:t>元、</w:t>
      </w:r>
      <w:r w:rsidRPr="00F84BAA">
        <w:rPr>
          <w:rFonts w:ascii="宋体" w:hAnsi="宋体" w:cs="宋体" w:hint="eastAsia"/>
          <w:kern w:val="0"/>
          <w:sz w:val="28"/>
          <w:szCs w:val="28"/>
        </w:rPr>
        <w:t>与20</w:t>
      </w:r>
      <w:r w:rsidR="00FC7645">
        <w:rPr>
          <w:rFonts w:ascii="宋体" w:hAnsi="宋体" w:cs="宋体" w:hint="eastAsia"/>
          <w:kern w:val="0"/>
          <w:sz w:val="28"/>
          <w:szCs w:val="28"/>
        </w:rPr>
        <w:t>20</w:t>
      </w:r>
      <w:r w:rsidRPr="00F84BAA">
        <w:rPr>
          <w:rFonts w:ascii="宋体" w:hAnsi="宋体" w:cs="宋体" w:hint="eastAsia"/>
          <w:kern w:val="0"/>
          <w:sz w:val="28"/>
          <w:szCs w:val="28"/>
        </w:rPr>
        <w:t>年预算安排总体收入相比</w:t>
      </w:r>
      <w:r w:rsidR="00FC7645">
        <w:rPr>
          <w:rFonts w:ascii="宋体" w:hAnsi="宋体" w:cs="宋体" w:hint="eastAsia"/>
          <w:kern w:val="0"/>
          <w:sz w:val="28"/>
          <w:szCs w:val="28"/>
        </w:rPr>
        <w:t>上升3.5</w:t>
      </w:r>
      <w:r w:rsidRPr="00F84BAA">
        <w:rPr>
          <w:rFonts w:ascii="宋体" w:hAnsi="宋体" w:cs="宋体" w:hint="eastAsia"/>
          <w:kern w:val="0"/>
          <w:sz w:val="28"/>
          <w:szCs w:val="28"/>
        </w:rPr>
        <w:t>%。</w:t>
      </w:r>
      <w:r>
        <w:rPr>
          <w:rFonts w:ascii="宋体" w:hAnsi="宋体" w:cs="宋体" w:hint="eastAsia"/>
          <w:kern w:val="0"/>
          <w:sz w:val="28"/>
          <w:szCs w:val="28"/>
        </w:rPr>
        <w:t>主要原因是</w:t>
      </w:r>
      <w:r w:rsidR="00FC7645">
        <w:rPr>
          <w:rFonts w:ascii="宋体" w:hAnsi="宋体" w:cs="宋体" w:hint="eastAsia"/>
          <w:kern w:val="0"/>
          <w:sz w:val="28"/>
          <w:szCs w:val="28"/>
        </w:rPr>
        <w:t>基本支出增加。</w:t>
      </w:r>
    </w:p>
    <w:p w:rsidR="004D5F83" w:rsidRDefault="00985D14" w:rsidP="00D90BD4">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2、支出情况：20</w:t>
      </w:r>
      <w:r w:rsidR="004D5F83">
        <w:rPr>
          <w:rFonts w:ascii="宋体" w:hAnsi="宋体" w:cs="宋体" w:hint="eastAsia"/>
          <w:kern w:val="0"/>
          <w:sz w:val="28"/>
          <w:szCs w:val="28"/>
        </w:rPr>
        <w:t>2</w:t>
      </w:r>
      <w:r w:rsidR="007C2A60">
        <w:rPr>
          <w:rFonts w:ascii="宋体" w:hAnsi="宋体" w:cs="宋体" w:hint="eastAsia"/>
          <w:kern w:val="0"/>
          <w:sz w:val="28"/>
          <w:szCs w:val="28"/>
        </w:rPr>
        <w:t>1</w:t>
      </w:r>
      <w:r w:rsidRPr="00F84BAA">
        <w:rPr>
          <w:rFonts w:ascii="宋体" w:hAnsi="宋体" w:cs="宋体" w:hint="eastAsia"/>
          <w:kern w:val="0"/>
          <w:sz w:val="28"/>
          <w:szCs w:val="28"/>
        </w:rPr>
        <w:t>年部门预算安排总体支出</w:t>
      </w:r>
      <w:r w:rsidR="00FC7645">
        <w:rPr>
          <w:rFonts w:ascii="方正书宋_GBK" w:eastAsia="方正书宋_GBK" w:hint="eastAsia"/>
          <w:sz w:val="28"/>
          <w:szCs w:val="28"/>
        </w:rPr>
        <w:t>1293.42万</w:t>
      </w:r>
      <w:r w:rsidRPr="004D5F83">
        <w:rPr>
          <w:rFonts w:ascii="宋体" w:hAnsi="宋体" w:cs="宋体" w:hint="eastAsia"/>
          <w:kern w:val="0"/>
          <w:sz w:val="28"/>
          <w:szCs w:val="28"/>
        </w:rPr>
        <w:t>元</w:t>
      </w:r>
      <w:r w:rsidRPr="00F84BAA">
        <w:rPr>
          <w:rFonts w:ascii="宋体" w:hAnsi="宋体" w:cs="宋体" w:hint="eastAsia"/>
          <w:kern w:val="0"/>
          <w:sz w:val="28"/>
          <w:szCs w:val="28"/>
        </w:rPr>
        <w:t>，其中基本支出</w:t>
      </w:r>
      <w:r w:rsidR="00FC7645">
        <w:rPr>
          <w:rFonts w:ascii="方正书宋_GBK" w:eastAsia="方正书宋_GBK" w:hint="eastAsia"/>
          <w:sz w:val="28"/>
          <w:szCs w:val="28"/>
        </w:rPr>
        <w:t>775.42万</w:t>
      </w:r>
      <w:r w:rsidRPr="00F84BAA">
        <w:rPr>
          <w:rFonts w:ascii="宋体" w:hAnsi="宋体" w:cs="宋体" w:hint="eastAsia"/>
          <w:kern w:val="0"/>
          <w:sz w:val="28"/>
          <w:szCs w:val="28"/>
        </w:rPr>
        <w:t>元（人员支出</w:t>
      </w:r>
      <w:r w:rsidR="00FC7645">
        <w:rPr>
          <w:rFonts w:ascii="方正书宋_GBK" w:eastAsia="方正书宋_GBK" w:hint="eastAsia"/>
          <w:sz w:val="28"/>
          <w:szCs w:val="28"/>
        </w:rPr>
        <w:t>720.85万</w:t>
      </w:r>
      <w:r w:rsidRPr="00F84BAA">
        <w:rPr>
          <w:rFonts w:ascii="宋体" w:hAnsi="宋体" w:cs="宋体" w:hint="eastAsia"/>
          <w:kern w:val="0"/>
          <w:sz w:val="28"/>
          <w:szCs w:val="28"/>
        </w:rPr>
        <w:t>元，正常公用支出</w:t>
      </w:r>
      <w:r w:rsidR="00FC7645">
        <w:rPr>
          <w:rFonts w:ascii="方正书宋_GBK" w:eastAsia="方正书宋_GBK" w:hint="eastAsia"/>
          <w:sz w:val="28"/>
          <w:szCs w:val="28"/>
        </w:rPr>
        <w:t>54.57万</w:t>
      </w:r>
      <w:r w:rsidRPr="00FC7645">
        <w:rPr>
          <w:rFonts w:ascii="宋体" w:hAnsi="宋体" w:cs="宋体" w:hint="eastAsia"/>
          <w:kern w:val="0"/>
          <w:sz w:val="28"/>
          <w:szCs w:val="28"/>
        </w:rPr>
        <w:t>元</w:t>
      </w:r>
      <w:r w:rsidRPr="00F84BAA">
        <w:rPr>
          <w:rFonts w:ascii="宋体" w:hAnsi="宋体" w:cs="宋体" w:hint="eastAsia"/>
          <w:kern w:val="0"/>
          <w:sz w:val="28"/>
          <w:szCs w:val="28"/>
        </w:rPr>
        <w:t>），项目支出</w:t>
      </w:r>
      <w:r w:rsidR="00FC7645">
        <w:rPr>
          <w:rFonts w:ascii="宋体" w:hAnsi="宋体" w:cs="宋体" w:hint="eastAsia"/>
          <w:kern w:val="0"/>
          <w:sz w:val="28"/>
          <w:szCs w:val="28"/>
        </w:rPr>
        <w:t>518万</w:t>
      </w:r>
      <w:r w:rsidRPr="00F84BAA">
        <w:rPr>
          <w:rFonts w:ascii="宋体" w:hAnsi="宋体" w:cs="宋体" w:hint="eastAsia"/>
          <w:kern w:val="0"/>
          <w:sz w:val="28"/>
          <w:szCs w:val="28"/>
        </w:rPr>
        <w:t>元。与20</w:t>
      </w:r>
      <w:r w:rsidR="00FC7645">
        <w:rPr>
          <w:rFonts w:ascii="宋体" w:hAnsi="宋体" w:cs="宋体" w:hint="eastAsia"/>
          <w:kern w:val="0"/>
          <w:sz w:val="28"/>
          <w:szCs w:val="28"/>
        </w:rPr>
        <w:t>20</w:t>
      </w:r>
      <w:r w:rsidRPr="00F84BAA">
        <w:rPr>
          <w:rFonts w:ascii="宋体" w:hAnsi="宋体" w:cs="宋体" w:hint="eastAsia"/>
          <w:kern w:val="0"/>
          <w:sz w:val="28"/>
          <w:szCs w:val="28"/>
        </w:rPr>
        <w:t>年预算安排总体支出相比</w:t>
      </w:r>
      <w:r w:rsidR="00FC7645">
        <w:rPr>
          <w:rFonts w:ascii="宋体" w:hAnsi="宋体" w:cs="宋体" w:hint="eastAsia"/>
          <w:kern w:val="0"/>
          <w:sz w:val="28"/>
          <w:szCs w:val="28"/>
        </w:rPr>
        <w:t>上升3.5</w:t>
      </w:r>
      <w:r w:rsidRPr="00F84BAA">
        <w:rPr>
          <w:rFonts w:ascii="宋体" w:hAnsi="宋体" w:cs="宋体" w:hint="eastAsia"/>
          <w:kern w:val="0"/>
          <w:sz w:val="28"/>
          <w:szCs w:val="28"/>
        </w:rPr>
        <w:t>%。</w:t>
      </w:r>
      <w:r>
        <w:rPr>
          <w:rFonts w:ascii="宋体" w:hAnsi="宋体" w:cs="宋体" w:hint="eastAsia"/>
          <w:kern w:val="0"/>
          <w:sz w:val="28"/>
          <w:szCs w:val="28"/>
        </w:rPr>
        <w:t>主要原因是</w:t>
      </w:r>
      <w:r w:rsidR="00FC7645">
        <w:rPr>
          <w:rFonts w:ascii="宋体" w:hAnsi="宋体" w:cs="宋体" w:hint="eastAsia"/>
          <w:kern w:val="0"/>
          <w:sz w:val="28"/>
          <w:szCs w:val="28"/>
        </w:rPr>
        <w:t>基本支出增加</w:t>
      </w:r>
      <w:r w:rsidR="004D5F83">
        <w:rPr>
          <w:rFonts w:ascii="宋体" w:hAnsi="宋体" w:cs="宋体" w:hint="eastAsia"/>
          <w:kern w:val="0"/>
          <w:sz w:val="28"/>
          <w:szCs w:val="28"/>
        </w:rPr>
        <w:t>。</w:t>
      </w:r>
    </w:p>
    <w:p w:rsidR="00985D14" w:rsidRPr="00F84BAA" w:rsidRDefault="00985D14" w:rsidP="00985D14">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一般公共预算基本支出中人员经费共计</w:t>
      </w:r>
      <w:r w:rsidR="00FC7645">
        <w:rPr>
          <w:rFonts w:ascii="方正书宋_GBK" w:eastAsia="方正书宋_GBK" w:hint="eastAsia"/>
          <w:sz w:val="28"/>
          <w:szCs w:val="28"/>
        </w:rPr>
        <w:t>720.85万</w:t>
      </w:r>
      <w:r w:rsidRPr="00F84BAA">
        <w:rPr>
          <w:rFonts w:ascii="宋体" w:hAnsi="宋体" w:cs="宋体" w:hint="eastAsia"/>
          <w:kern w:val="0"/>
          <w:sz w:val="28"/>
          <w:szCs w:val="28"/>
        </w:rPr>
        <w:t>元。</w:t>
      </w:r>
      <w:r w:rsidRPr="00F84BAA">
        <w:rPr>
          <w:rFonts w:ascii="宋体" w:hAnsi="宋体" w:cs="宋体" w:hint="eastAsia"/>
          <w:b/>
          <w:kern w:val="0"/>
          <w:sz w:val="28"/>
          <w:szCs w:val="28"/>
        </w:rPr>
        <w:t>其中一是工资福利支出</w:t>
      </w:r>
      <w:r w:rsidR="00FC7645">
        <w:rPr>
          <w:rFonts w:ascii="方正书宋_GBK" w:eastAsia="方正书宋_GBK" w:hint="eastAsia"/>
          <w:b/>
          <w:sz w:val="28"/>
          <w:szCs w:val="28"/>
        </w:rPr>
        <w:t>627.43万</w:t>
      </w:r>
      <w:r w:rsidRPr="00F84BAA">
        <w:rPr>
          <w:rFonts w:ascii="宋体" w:hAnsi="宋体" w:cs="宋体" w:hint="eastAsia"/>
          <w:b/>
          <w:kern w:val="0"/>
          <w:sz w:val="28"/>
          <w:szCs w:val="28"/>
        </w:rPr>
        <w:t>元：</w:t>
      </w:r>
      <w:r w:rsidRPr="00F84BAA">
        <w:rPr>
          <w:rFonts w:ascii="宋体" w:hAnsi="宋体" w:cs="宋体" w:hint="eastAsia"/>
          <w:kern w:val="0"/>
          <w:sz w:val="28"/>
          <w:szCs w:val="28"/>
        </w:rPr>
        <w:t>分别是基本工资</w:t>
      </w:r>
      <w:r w:rsidR="00FC7645">
        <w:rPr>
          <w:rFonts w:ascii="方正书宋_GBK" w:eastAsia="方正书宋_GBK" w:hint="eastAsia"/>
          <w:sz w:val="28"/>
          <w:szCs w:val="28"/>
        </w:rPr>
        <w:t>194.39万</w:t>
      </w:r>
      <w:r w:rsidRPr="00F84BAA">
        <w:rPr>
          <w:rFonts w:ascii="宋体" w:hAnsi="宋体" w:cs="宋体" w:hint="eastAsia"/>
          <w:kern w:val="0"/>
          <w:sz w:val="28"/>
          <w:szCs w:val="28"/>
        </w:rPr>
        <w:t>元、津贴补贴</w:t>
      </w:r>
      <w:r w:rsidR="00FC7645">
        <w:rPr>
          <w:rFonts w:ascii="方正书宋_GBK" w:eastAsia="方正书宋_GBK" w:hint="eastAsia"/>
          <w:sz w:val="28"/>
          <w:szCs w:val="28"/>
        </w:rPr>
        <w:t>96.11万</w:t>
      </w:r>
      <w:r w:rsidRPr="00F84BAA">
        <w:rPr>
          <w:rFonts w:ascii="宋体" w:hAnsi="宋体" w:cs="宋体" w:hint="eastAsia"/>
          <w:kern w:val="0"/>
          <w:sz w:val="28"/>
          <w:szCs w:val="28"/>
        </w:rPr>
        <w:t>元、奖金</w:t>
      </w:r>
      <w:r w:rsidR="00FC7645">
        <w:rPr>
          <w:rFonts w:ascii="方正书宋_GBK" w:eastAsia="方正书宋_GBK" w:hint="eastAsia"/>
          <w:sz w:val="28"/>
          <w:szCs w:val="28"/>
        </w:rPr>
        <w:t>5.98万</w:t>
      </w:r>
      <w:r w:rsidRPr="00F84BAA">
        <w:rPr>
          <w:rFonts w:ascii="宋体" w:hAnsi="宋体" w:cs="宋体" w:hint="eastAsia"/>
          <w:kern w:val="0"/>
          <w:sz w:val="28"/>
          <w:szCs w:val="28"/>
        </w:rPr>
        <w:t>元、绩效工资</w:t>
      </w:r>
      <w:r w:rsidR="00FC7645">
        <w:rPr>
          <w:rFonts w:ascii="方正书宋_GBK" w:eastAsia="方正书宋_GBK" w:hint="eastAsia"/>
          <w:sz w:val="28"/>
          <w:szCs w:val="28"/>
        </w:rPr>
        <w:t>103.71万</w:t>
      </w:r>
      <w:r w:rsidRPr="00F84BAA">
        <w:rPr>
          <w:rFonts w:ascii="宋体" w:hAnsi="宋体" w:cs="宋体" w:hint="eastAsia"/>
          <w:kern w:val="0"/>
          <w:sz w:val="28"/>
          <w:szCs w:val="28"/>
        </w:rPr>
        <w:t>元、机关事业单位基本养老保险缴费</w:t>
      </w:r>
      <w:r w:rsidR="00FC7645">
        <w:rPr>
          <w:rFonts w:ascii="方正书宋_GBK" w:eastAsia="方正书宋_GBK" w:hint="eastAsia"/>
          <w:sz w:val="28"/>
          <w:szCs w:val="28"/>
        </w:rPr>
        <w:t>57.78万</w:t>
      </w:r>
      <w:r w:rsidRPr="00F84BAA">
        <w:rPr>
          <w:rFonts w:ascii="宋体" w:hAnsi="宋体" w:cs="宋体" w:hint="eastAsia"/>
          <w:kern w:val="0"/>
          <w:sz w:val="28"/>
          <w:szCs w:val="28"/>
        </w:rPr>
        <w:t>元、职工基本医疗保险缴费</w:t>
      </w:r>
      <w:r w:rsidR="00FC7645">
        <w:rPr>
          <w:rFonts w:ascii="方正书宋_GBK" w:eastAsia="方正书宋_GBK" w:hint="eastAsia"/>
          <w:sz w:val="28"/>
          <w:szCs w:val="28"/>
        </w:rPr>
        <w:t>28.16万</w:t>
      </w:r>
      <w:r w:rsidRPr="00F84BAA">
        <w:rPr>
          <w:rFonts w:ascii="宋体" w:hAnsi="宋体" w:cs="宋体" w:hint="eastAsia"/>
          <w:kern w:val="0"/>
          <w:sz w:val="28"/>
          <w:szCs w:val="28"/>
        </w:rPr>
        <w:t>元、公务员医疗补助缴费</w:t>
      </w:r>
      <w:r w:rsidR="00FC7645">
        <w:rPr>
          <w:rFonts w:ascii="方正书宋_GBK" w:eastAsia="方正书宋_GBK" w:hint="eastAsia"/>
          <w:sz w:val="28"/>
          <w:szCs w:val="28"/>
        </w:rPr>
        <w:t>50.97万</w:t>
      </w:r>
      <w:r w:rsidRPr="00F84BAA">
        <w:rPr>
          <w:rFonts w:ascii="宋体" w:hAnsi="宋体" w:cs="宋体" w:hint="eastAsia"/>
          <w:kern w:val="0"/>
          <w:sz w:val="28"/>
          <w:szCs w:val="28"/>
        </w:rPr>
        <w:t>元、其他社会保障缴费</w:t>
      </w:r>
      <w:r w:rsidR="00FC7645">
        <w:rPr>
          <w:rFonts w:ascii="方正书宋_GBK" w:eastAsia="方正书宋_GBK" w:hint="eastAsia"/>
          <w:sz w:val="28"/>
          <w:szCs w:val="28"/>
        </w:rPr>
        <w:t>3.40万</w:t>
      </w:r>
      <w:r w:rsidRPr="00F84BAA">
        <w:rPr>
          <w:rFonts w:ascii="宋体" w:hAnsi="宋体" w:cs="宋体" w:hint="eastAsia"/>
          <w:kern w:val="0"/>
          <w:sz w:val="28"/>
          <w:szCs w:val="28"/>
        </w:rPr>
        <w:t>元、住房公积金</w:t>
      </w:r>
      <w:r w:rsidR="00FC7645">
        <w:rPr>
          <w:rFonts w:ascii="方正书宋_GBK" w:eastAsia="方正书宋_GBK" w:hint="eastAsia"/>
          <w:sz w:val="28"/>
          <w:szCs w:val="28"/>
        </w:rPr>
        <w:t>43.34万</w:t>
      </w:r>
      <w:r w:rsidRPr="00F84BAA">
        <w:rPr>
          <w:rFonts w:ascii="宋体" w:hAnsi="宋体" w:cs="宋体" w:hint="eastAsia"/>
          <w:kern w:val="0"/>
          <w:sz w:val="28"/>
          <w:szCs w:val="28"/>
        </w:rPr>
        <w:t>元，其他工资福利支出</w:t>
      </w:r>
      <w:r w:rsidR="00FC7645">
        <w:rPr>
          <w:rFonts w:ascii="方正书宋_GBK" w:eastAsia="方正书宋_GBK" w:hint="eastAsia"/>
          <w:sz w:val="28"/>
          <w:szCs w:val="28"/>
        </w:rPr>
        <w:t>43.59万</w:t>
      </w:r>
      <w:r w:rsidRPr="00F84BAA">
        <w:rPr>
          <w:rFonts w:ascii="宋体" w:hAnsi="宋体" w:cs="宋体" w:hint="eastAsia"/>
          <w:kern w:val="0"/>
          <w:sz w:val="28"/>
          <w:szCs w:val="28"/>
        </w:rPr>
        <w:t>元；</w:t>
      </w:r>
      <w:r w:rsidRPr="00F84BAA">
        <w:rPr>
          <w:rFonts w:ascii="宋体" w:hAnsi="宋体" w:cs="宋体" w:hint="eastAsia"/>
          <w:b/>
          <w:kern w:val="0"/>
          <w:sz w:val="28"/>
          <w:szCs w:val="28"/>
        </w:rPr>
        <w:t>二是对个人和家庭的补助支出</w:t>
      </w:r>
      <w:r w:rsidR="00FC7645" w:rsidRPr="00FC7645">
        <w:rPr>
          <w:rFonts w:ascii="方正书宋_GBK" w:eastAsia="方正书宋_GBK" w:hint="eastAsia"/>
          <w:b/>
          <w:sz w:val="28"/>
          <w:szCs w:val="28"/>
        </w:rPr>
        <w:t>93.42万</w:t>
      </w:r>
      <w:r w:rsidRPr="00F84BAA">
        <w:rPr>
          <w:rFonts w:ascii="宋体" w:hAnsi="宋体" w:cs="宋体" w:hint="eastAsia"/>
          <w:b/>
          <w:kern w:val="0"/>
          <w:sz w:val="28"/>
          <w:szCs w:val="28"/>
        </w:rPr>
        <w:t>元</w:t>
      </w:r>
      <w:r w:rsidRPr="00F84BAA">
        <w:rPr>
          <w:rFonts w:ascii="宋体" w:hAnsi="宋体" w:cs="宋体" w:hint="eastAsia"/>
          <w:kern w:val="0"/>
          <w:sz w:val="28"/>
          <w:szCs w:val="28"/>
        </w:rPr>
        <w:t>：分别是离休</w:t>
      </w:r>
      <w:r w:rsidR="00FC7645">
        <w:rPr>
          <w:rFonts w:ascii="宋体" w:hAnsi="宋体" w:cs="宋体" w:hint="eastAsia"/>
          <w:kern w:val="0"/>
          <w:sz w:val="28"/>
          <w:szCs w:val="28"/>
        </w:rPr>
        <w:t>费</w:t>
      </w:r>
      <w:r w:rsidR="00FC7645">
        <w:rPr>
          <w:rFonts w:ascii="方正书宋_GBK" w:eastAsia="方正书宋_GBK" w:hint="eastAsia"/>
          <w:sz w:val="28"/>
          <w:szCs w:val="28"/>
        </w:rPr>
        <w:t>1.13万</w:t>
      </w:r>
      <w:r w:rsidRPr="00F84BAA">
        <w:rPr>
          <w:rFonts w:ascii="宋体" w:hAnsi="宋体" w:cs="宋体" w:hint="eastAsia"/>
          <w:kern w:val="0"/>
          <w:sz w:val="28"/>
          <w:szCs w:val="28"/>
        </w:rPr>
        <w:t>元、退休</w:t>
      </w:r>
      <w:r w:rsidR="00FC7645">
        <w:rPr>
          <w:rFonts w:ascii="宋体" w:hAnsi="宋体" w:cs="宋体" w:hint="eastAsia"/>
          <w:kern w:val="0"/>
          <w:sz w:val="28"/>
          <w:szCs w:val="28"/>
        </w:rPr>
        <w:t>费</w:t>
      </w:r>
      <w:r w:rsidR="00FC7645">
        <w:rPr>
          <w:rFonts w:ascii="方正书宋_GBK" w:eastAsia="方正书宋_GBK" w:hint="eastAsia"/>
          <w:sz w:val="28"/>
          <w:szCs w:val="28"/>
        </w:rPr>
        <w:t>41.25万</w:t>
      </w:r>
      <w:r w:rsidRPr="00F84BAA">
        <w:rPr>
          <w:rFonts w:ascii="宋体" w:hAnsi="宋体" w:cs="宋体" w:hint="eastAsia"/>
          <w:kern w:val="0"/>
          <w:sz w:val="28"/>
          <w:szCs w:val="28"/>
        </w:rPr>
        <w:t>元、生活补助（遗属补助）</w:t>
      </w:r>
      <w:r w:rsidR="00FC7645">
        <w:rPr>
          <w:rFonts w:ascii="方正书宋_GBK" w:eastAsia="方正书宋_GBK" w:hint="eastAsia"/>
          <w:sz w:val="28"/>
          <w:szCs w:val="28"/>
        </w:rPr>
        <w:t>10.83万</w:t>
      </w:r>
      <w:r w:rsidRPr="00F84BAA">
        <w:rPr>
          <w:rFonts w:ascii="宋体" w:hAnsi="宋体" w:cs="宋体" w:hint="eastAsia"/>
          <w:kern w:val="0"/>
          <w:sz w:val="28"/>
          <w:szCs w:val="28"/>
        </w:rPr>
        <w:t>元、奖励金（独生子女父母奖励）</w:t>
      </w:r>
      <w:r w:rsidR="00FC7645">
        <w:rPr>
          <w:rFonts w:ascii="方正书宋_GBK" w:eastAsia="方正书宋_GBK" w:hint="eastAsia"/>
          <w:sz w:val="28"/>
          <w:szCs w:val="28"/>
        </w:rPr>
        <w:t>0.06万</w:t>
      </w:r>
      <w:r w:rsidRPr="00F84BAA">
        <w:rPr>
          <w:rFonts w:ascii="宋体" w:hAnsi="宋体" w:cs="宋体" w:hint="eastAsia"/>
          <w:kern w:val="0"/>
          <w:sz w:val="28"/>
          <w:szCs w:val="28"/>
        </w:rPr>
        <w:t>元、其他对个人和家庭的补助支出</w:t>
      </w:r>
      <w:r w:rsidR="00FC7645">
        <w:rPr>
          <w:rFonts w:ascii="宋体" w:hAnsi="宋体" w:cs="宋体" w:hint="eastAsia"/>
          <w:kern w:val="0"/>
          <w:sz w:val="28"/>
          <w:szCs w:val="28"/>
        </w:rPr>
        <w:t>40.15</w:t>
      </w:r>
      <w:r w:rsidR="001B29FC">
        <w:rPr>
          <w:rFonts w:ascii="宋体" w:hAnsi="宋体" w:cs="宋体" w:hint="eastAsia"/>
          <w:kern w:val="0"/>
          <w:sz w:val="28"/>
          <w:szCs w:val="28"/>
        </w:rPr>
        <w:t>万</w:t>
      </w:r>
      <w:r w:rsidRPr="00F84BAA">
        <w:rPr>
          <w:rFonts w:ascii="宋体" w:hAnsi="宋体" w:cs="宋体" w:hint="eastAsia"/>
          <w:kern w:val="0"/>
          <w:sz w:val="28"/>
          <w:szCs w:val="28"/>
        </w:rPr>
        <w:t>元。</w:t>
      </w:r>
    </w:p>
    <w:p w:rsidR="00985D14" w:rsidRPr="00F84BAA" w:rsidRDefault="00985D14" w:rsidP="00985D14">
      <w:pPr>
        <w:shd w:val="clear" w:color="auto" w:fill="FFFFFF"/>
        <w:spacing w:line="580" w:lineRule="exact"/>
        <w:ind w:firstLineChars="200" w:firstLine="562"/>
        <w:jc w:val="left"/>
        <w:rPr>
          <w:rFonts w:ascii="宋体" w:hAnsi="宋体" w:cs="宋体"/>
          <w:kern w:val="0"/>
          <w:sz w:val="28"/>
          <w:szCs w:val="28"/>
        </w:rPr>
      </w:pPr>
      <w:r w:rsidRPr="00F84BAA">
        <w:rPr>
          <w:rFonts w:ascii="宋体" w:hAnsi="宋体" w:cs="宋体" w:hint="eastAsia"/>
          <w:b/>
          <w:kern w:val="0"/>
          <w:sz w:val="28"/>
          <w:szCs w:val="28"/>
        </w:rPr>
        <w:t>日常公用经费合计</w:t>
      </w:r>
      <w:r w:rsidR="00FC7645">
        <w:rPr>
          <w:rFonts w:ascii="方正书宋_GBK" w:eastAsia="方正书宋_GBK" w:hint="eastAsia"/>
          <w:b/>
          <w:sz w:val="28"/>
          <w:szCs w:val="28"/>
        </w:rPr>
        <w:t>54.57万</w:t>
      </w:r>
      <w:r w:rsidRPr="00F84BAA">
        <w:rPr>
          <w:rFonts w:ascii="宋体" w:hAnsi="宋体" w:cs="宋体" w:hint="eastAsia"/>
          <w:b/>
          <w:kern w:val="0"/>
          <w:sz w:val="28"/>
          <w:szCs w:val="28"/>
        </w:rPr>
        <w:t>元：</w:t>
      </w:r>
      <w:r w:rsidRPr="00F84BAA">
        <w:rPr>
          <w:rFonts w:ascii="宋体" w:hAnsi="宋体" w:cs="宋体" w:hint="eastAsia"/>
          <w:kern w:val="0"/>
          <w:sz w:val="28"/>
          <w:szCs w:val="28"/>
        </w:rPr>
        <w:t>其中办公费</w:t>
      </w:r>
      <w:r w:rsidR="00FC7645">
        <w:rPr>
          <w:rFonts w:ascii="方正书宋_GBK" w:eastAsia="方正书宋_GBK" w:hint="eastAsia"/>
          <w:sz w:val="28"/>
          <w:szCs w:val="28"/>
        </w:rPr>
        <w:t>7.35万</w:t>
      </w:r>
      <w:r w:rsidRPr="00F84BAA">
        <w:rPr>
          <w:rFonts w:ascii="宋体" w:hAnsi="宋体" w:cs="宋体" w:hint="eastAsia"/>
          <w:kern w:val="0"/>
          <w:sz w:val="28"/>
          <w:szCs w:val="28"/>
        </w:rPr>
        <w:t>元、水电费</w:t>
      </w:r>
      <w:r w:rsidR="007C2A60">
        <w:rPr>
          <w:rFonts w:ascii="方正书宋_GBK" w:eastAsia="方正书宋_GBK" w:hint="eastAsia"/>
          <w:sz w:val="28"/>
          <w:szCs w:val="28"/>
        </w:rPr>
        <w:t>3.92万</w:t>
      </w:r>
      <w:r w:rsidRPr="00BE33AB">
        <w:rPr>
          <w:rFonts w:ascii="宋体" w:hAnsi="宋体" w:cs="宋体" w:hint="eastAsia"/>
          <w:kern w:val="0"/>
          <w:sz w:val="28"/>
          <w:szCs w:val="28"/>
        </w:rPr>
        <w:t>元</w:t>
      </w:r>
      <w:r w:rsidRPr="00F84BAA">
        <w:rPr>
          <w:rFonts w:ascii="宋体" w:hAnsi="宋体" w:cs="宋体" w:hint="eastAsia"/>
          <w:kern w:val="0"/>
          <w:sz w:val="28"/>
          <w:szCs w:val="28"/>
        </w:rPr>
        <w:t>、邮电费</w:t>
      </w:r>
      <w:r w:rsidR="007C2A60">
        <w:rPr>
          <w:rFonts w:ascii="宋体" w:hAnsi="宋体" w:cs="宋体" w:hint="eastAsia"/>
          <w:kern w:val="0"/>
          <w:sz w:val="28"/>
          <w:szCs w:val="28"/>
        </w:rPr>
        <w:t>8.3</w:t>
      </w:r>
      <w:r w:rsidR="001B29FC">
        <w:rPr>
          <w:rFonts w:ascii="宋体" w:hAnsi="宋体" w:cs="宋体" w:hint="eastAsia"/>
          <w:kern w:val="0"/>
          <w:sz w:val="28"/>
          <w:szCs w:val="28"/>
        </w:rPr>
        <w:t>0</w:t>
      </w:r>
      <w:r w:rsidR="007C2A60">
        <w:rPr>
          <w:rFonts w:ascii="宋体" w:hAnsi="宋体" w:cs="宋体" w:hint="eastAsia"/>
          <w:kern w:val="0"/>
          <w:sz w:val="28"/>
          <w:szCs w:val="28"/>
        </w:rPr>
        <w:t>万</w:t>
      </w:r>
      <w:r w:rsidRPr="00F84BAA">
        <w:rPr>
          <w:rFonts w:ascii="宋体" w:hAnsi="宋体" w:cs="宋体" w:hint="eastAsia"/>
          <w:kern w:val="0"/>
          <w:sz w:val="28"/>
          <w:szCs w:val="28"/>
        </w:rPr>
        <w:t>元、办公用房取暖费</w:t>
      </w:r>
      <w:r w:rsidR="007C2A60">
        <w:rPr>
          <w:rFonts w:ascii="宋体" w:hAnsi="宋体" w:cs="宋体" w:hint="eastAsia"/>
          <w:kern w:val="0"/>
          <w:sz w:val="28"/>
          <w:szCs w:val="28"/>
        </w:rPr>
        <w:t>14.5万</w:t>
      </w:r>
      <w:r w:rsidR="006C6BA6">
        <w:rPr>
          <w:rFonts w:ascii="宋体" w:hAnsi="宋体" w:cs="宋体" w:hint="eastAsia"/>
          <w:kern w:val="0"/>
          <w:sz w:val="28"/>
          <w:szCs w:val="28"/>
        </w:rPr>
        <w:t>元</w:t>
      </w:r>
      <w:r w:rsidRPr="00F84BAA">
        <w:rPr>
          <w:rFonts w:ascii="宋体" w:hAnsi="宋体" w:cs="宋体" w:hint="eastAsia"/>
          <w:kern w:val="0"/>
          <w:sz w:val="28"/>
          <w:szCs w:val="28"/>
        </w:rPr>
        <w:t>、</w:t>
      </w:r>
      <w:r w:rsidR="007C2A60" w:rsidRPr="00F84BAA">
        <w:rPr>
          <w:rFonts w:ascii="宋体" w:hAnsi="宋体" w:cs="宋体" w:hint="eastAsia"/>
          <w:kern w:val="0"/>
          <w:sz w:val="28"/>
          <w:szCs w:val="28"/>
        </w:rPr>
        <w:t>差旅费</w:t>
      </w:r>
      <w:r w:rsidR="007C2A60">
        <w:rPr>
          <w:rFonts w:ascii="方正书宋_GBK" w:eastAsia="方正书宋_GBK" w:hint="eastAsia"/>
          <w:sz w:val="28"/>
          <w:szCs w:val="28"/>
        </w:rPr>
        <w:t>0.98万</w:t>
      </w:r>
      <w:r w:rsidR="007C2A60" w:rsidRPr="00F84BAA">
        <w:rPr>
          <w:rFonts w:ascii="宋体" w:hAnsi="宋体" w:cs="宋体" w:hint="eastAsia"/>
          <w:kern w:val="0"/>
          <w:sz w:val="28"/>
          <w:szCs w:val="28"/>
        </w:rPr>
        <w:t>元、</w:t>
      </w:r>
      <w:r w:rsidRPr="00F84BAA">
        <w:rPr>
          <w:rFonts w:ascii="宋体" w:hAnsi="宋体" w:cs="宋体" w:hint="eastAsia"/>
          <w:kern w:val="0"/>
          <w:sz w:val="28"/>
          <w:szCs w:val="28"/>
        </w:rPr>
        <w:t>劳务费</w:t>
      </w:r>
      <w:r w:rsidR="007C2A60">
        <w:rPr>
          <w:rFonts w:ascii="宋体" w:hAnsi="宋体" w:cs="宋体" w:hint="eastAsia"/>
          <w:kern w:val="0"/>
          <w:sz w:val="28"/>
          <w:szCs w:val="28"/>
        </w:rPr>
        <w:t>2万</w:t>
      </w:r>
      <w:r w:rsidRPr="00F84BAA">
        <w:rPr>
          <w:rFonts w:ascii="宋体" w:hAnsi="宋体" w:cs="宋体" w:hint="eastAsia"/>
          <w:kern w:val="0"/>
          <w:sz w:val="28"/>
          <w:szCs w:val="28"/>
        </w:rPr>
        <w:t>元、工会经费</w:t>
      </w:r>
      <w:r w:rsidR="007C2A60">
        <w:rPr>
          <w:rFonts w:ascii="方正书宋_GBK" w:eastAsia="方正书宋_GBK" w:hint="eastAsia"/>
          <w:sz w:val="28"/>
          <w:szCs w:val="28"/>
        </w:rPr>
        <w:t>0.49万</w:t>
      </w:r>
      <w:r w:rsidRPr="00F84BAA">
        <w:rPr>
          <w:rFonts w:ascii="宋体" w:hAnsi="宋体" w:cs="宋体" w:hint="eastAsia"/>
          <w:kern w:val="0"/>
          <w:sz w:val="28"/>
          <w:szCs w:val="28"/>
        </w:rPr>
        <w:t>元、福利费</w:t>
      </w:r>
      <w:r w:rsidR="007C2A60">
        <w:rPr>
          <w:rFonts w:ascii="方正书宋_GBK" w:eastAsia="方正书宋_GBK" w:hint="eastAsia"/>
          <w:sz w:val="28"/>
          <w:szCs w:val="28"/>
        </w:rPr>
        <w:t>0.83万</w:t>
      </w:r>
      <w:r w:rsidRPr="00F84BAA">
        <w:rPr>
          <w:rFonts w:ascii="宋体" w:hAnsi="宋体" w:cs="宋体" w:hint="eastAsia"/>
          <w:kern w:val="0"/>
          <w:sz w:val="28"/>
          <w:szCs w:val="28"/>
        </w:rPr>
        <w:t>元、公务用车运行维护费6</w:t>
      </w:r>
      <w:r w:rsidR="007C2A60">
        <w:rPr>
          <w:rFonts w:ascii="宋体" w:hAnsi="宋体" w:cs="宋体" w:hint="eastAsia"/>
          <w:kern w:val="0"/>
          <w:sz w:val="28"/>
          <w:szCs w:val="28"/>
        </w:rPr>
        <w:t>万</w:t>
      </w:r>
      <w:r w:rsidRPr="00F84BAA">
        <w:rPr>
          <w:rFonts w:ascii="宋体" w:hAnsi="宋体" w:cs="宋体" w:hint="eastAsia"/>
          <w:kern w:val="0"/>
          <w:sz w:val="28"/>
          <w:szCs w:val="28"/>
        </w:rPr>
        <w:t>元、其他交通费（公务交通补贴）</w:t>
      </w:r>
      <w:r w:rsidR="007C2A60">
        <w:rPr>
          <w:rFonts w:ascii="方正书宋_GBK" w:eastAsia="方正书宋_GBK" w:hint="eastAsia"/>
          <w:sz w:val="28"/>
          <w:szCs w:val="28"/>
        </w:rPr>
        <w:t>10.20万</w:t>
      </w:r>
      <w:r w:rsidRPr="00F84BAA">
        <w:rPr>
          <w:rFonts w:ascii="宋体" w:hAnsi="宋体" w:cs="宋体" w:hint="eastAsia"/>
          <w:kern w:val="0"/>
          <w:sz w:val="28"/>
          <w:szCs w:val="28"/>
        </w:rPr>
        <w:t>元。</w:t>
      </w:r>
    </w:p>
    <w:p w:rsidR="004D1C52" w:rsidRDefault="004D1C52" w:rsidP="004D1C52">
      <w:pPr>
        <w:shd w:val="clear" w:color="auto" w:fill="FFFFFF"/>
        <w:spacing w:line="590" w:lineRule="exact"/>
        <w:ind w:firstLineChars="200" w:firstLine="640"/>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lastRenderedPageBreak/>
        <w:t>三、机关运行经费安排情况</w:t>
      </w:r>
    </w:p>
    <w:p w:rsidR="007C2A60" w:rsidRDefault="00957F4E" w:rsidP="00BC3C07">
      <w:pPr>
        <w:shd w:val="clear" w:color="auto" w:fill="FFFFFF"/>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202</w:t>
      </w:r>
      <w:r w:rsidR="007C2A60">
        <w:rPr>
          <w:rFonts w:ascii="宋体" w:hAnsi="宋体" w:cs="宋体" w:hint="eastAsia"/>
          <w:kern w:val="0"/>
          <w:sz w:val="28"/>
          <w:szCs w:val="28"/>
        </w:rPr>
        <w:t>1</w:t>
      </w:r>
      <w:r w:rsidRPr="00F84BAA">
        <w:rPr>
          <w:rFonts w:ascii="宋体" w:hAnsi="宋体" w:cs="宋体" w:hint="eastAsia"/>
          <w:kern w:val="0"/>
          <w:sz w:val="28"/>
          <w:szCs w:val="28"/>
        </w:rPr>
        <w:t>年机关运行经费总计</w:t>
      </w:r>
      <w:r w:rsidR="007C2A60" w:rsidRPr="007C2A60">
        <w:rPr>
          <w:rFonts w:ascii="方正书宋_GBK" w:eastAsia="方正书宋_GBK" w:hint="eastAsia"/>
          <w:sz w:val="28"/>
          <w:szCs w:val="28"/>
        </w:rPr>
        <w:t>54.57万</w:t>
      </w:r>
      <w:r w:rsidRPr="00F84BAA">
        <w:rPr>
          <w:rFonts w:ascii="宋体" w:hAnsi="宋体" w:cs="宋体" w:hint="eastAsia"/>
          <w:kern w:val="0"/>
          <w:sz w:val="28"/>
          <w:szCs w:val="28"/>
        </w:rPr>
        <w:t>元。其中：</w:t>
      </w:r>
      <w:r w:rsidR="007C2A60" w:rsidRPr="00F84BAA">
        <w:rPr>
          <w:rFonts w:ascii="宋体" w:hAnsi="宋体" w:cs="宋体" w:hint="eastAsia"/>
          <w:kern w:val="0"/>
          <w:sz w:val="28"/>
          <w:szCs w:val="28"/>
        </w:rPr>
        <w:t>办公费</w:t>
      </w:r>
      <w:r w:rsidR="007C2A60">
        <w:rPr>
          <w:rFonts w:ascii="方正书宋_GBK" w:eastAsia="方正书宋_GBK" w:hint="eastAsia"/>
          <w:sz w:val="28"/>
          <w:szCs w:val="28"/>
        </w:rPr>
        <w:t>7.35万</w:t>
      </w:r>
      <w:r w:rsidR="007C2A60" w:rsidRPr="00F84BAA">
        <w:rPr>
          <w:rFonts w:ascii="宋体" w:hAnsi="宋体" w:cs="宋体" w:hint="eastAsia"/>
          <w:kern w:val="0"/>
          <w:sz w:val="28"/>
          <w:szCs w:val="28"/>
        </w:rPr>
        <w:t>元、水电费</w:t>
      </w:r>
      <w:r w:rsidR="007C2A60">
        <w:rPr>
          <w:rFonts w:ascii="方正书宋_GBK" w:eastAsia="方正书宋_GBK" w:hint="eastAsia"/>
          <w:sz w:val="28"/>
          <w:szCs w:val="28"/>
        </w:rPr>
        <w:t>3.92万</w:t>
      </w:r>
      <w:r w:rsidR="007C2A60" w:rsidRPr="00BE33AB">
        <w:rPr>
          <w:rFonts w:ascii="宋体" w:hAnsi="宋体" w:cs="宋体" w:hint="eastAsia"/>
          <w:kern w:val="0"/>
          <w:sz w:val="28"/>
          <w:szCs w:val="28"/>
        </w:rPr>
        <w:t>元</w:t>
      </w:r>
      <w:r w:rsidR="007C2A60" w:rsidRPr="00F84BAA">
        <w:rPr>
          <w:rFonts w:ascii="宋体" w:hAnsi="宋体" w:cs="宋体" w:hint="eastAsia"/>
          <w:kern w:val="0"/>
          <w:sz w:val="28"/>
          <w:szCs w:val="28"/>
        </w:rPr>
        <w:t>、邮电费</w:t>
      </w:r>
      <w:r w:rsidR="007C2A60">
        <w:rPr>
          <w:rFonts w:ascii="宋体" w:hAnsi="宋体" w:cs="宋体" w:hint="eastAsia"/>
          <w:kern w:val="0"/>
          <w:sz w:val="28"/>
          <w:szCs w:val="28"/>
        </w:rPr>
        <w:t>8.3</w:t>
      </w:r>
      <w:r w:rsidR="001B29FC">
        <w:rPr>
          <w:rFonts w:ascii="宋体" w:hAnsi="宋体" w:cs="宋体" w:hint="eastAsia"/>
          <w:kern w:val="0"/>
          <w:sz w:val="28"/>
          <w:szCs w:val="28"/>
        </w:rPr>
        <w:t>0</w:t>
      </w:r>
      <w:r w:rsidR="007C2A60">
        <w:rPr>
          <w:rFonts w:ascii="宋体" w:hAnsi="宋体" w:cs="宋体" w:hint="eastAsia"/>
          <w:kern w:val="0"/>
          <w:sz w:val="28"/>
          <w:szCs w:val="28"/>
        </w:rPr>
        <w:t>万</w:t>
      </w:r>
      <w:r w:rsidR="007C2A60" w:rsidRPr="00F84BAA">
        <w:rPr>
          <w:rFonts w:ascii="宋体" w:hAnsi="宋体" w:cs="宋体" w:hint="eastAsia"/>
          <w:kern w:val="0"/>
          <w:sz w:val="28"/>
          <w:szCs w:val="28"/>
        </w:rPr>
        <w:t>元、办公用房取暖费</w:t>
      </w:r>
      <w:r w:rsidR="007C2A60">
        <w:rPr>
          <w:rFonts w:ascii="宋体" w:hAnsi="宋体" w:cs="宋体" w:hint="eastAsia"/>
          <w:kern w:val="0"/>
          <w:sz w:val="28"/>
          <w:szCs w:val="28"/>
        </w:rPr>
        <w:t>14.5万元</w:t>
      </w:r>
      <w:r w:rsidR="007C2A60" w:rsidRPr="00F84BAA">
        <w:rPr>
          <w:rFonts w:ascii="宋体" w:hAnsi="宋体" w:cs="宋体" w:hint="eastAsia"/>
          <w:kern w:val="0"/>
          <w:sz w:val="28"/>
          <w:szCs w:val="28"/>
        </w:rPr>
        <w:t>、差旅费</w:t>
      </w:r>
      <w:r w:rsidR="007C2A60">
        <w:rPr>
          <w:rFonts w:ascii="方正书宋_GBK" w:eastAsia="方正书宋_GBK" w:hint="eastAsia"/>
          <w:sz w:val="28"/>
          <w:szCs w:val="28"/>
        </w:rPr>
        <w:t>0.98万</w:t>
      </w:r>
      <w:r w:rsidR="007C2A60" w:rsidRPr="00F84BAA">
        <w:rPr>
          <w:rFonts w:ascii="宋体" w:hAnsi="宋体" w:cs="宋体" w:hint="eastAsia"/>
          <w:kern w:val="0"/>
          <w:sz w:val="28"/>
          <w:szCs w:val="28"/>
        </w:rPr>
        <w:t>元、劳务费</w:t>
      </w:r>
      <w:r w:rsidR="007C2A60">
        <w:rPr>
          <w:rFonts w:ascii="宋体" w:hAnsi="宋体" w:cs="宋体" w:hint="eastAsia"/>
          <w:kern w:val="0"/>
          <w:sz w:val="28"/>
          <w:szCs w:val="28"/>
        </w:rPr>
        <w:t>2万</w:t>
      </w:r>
      <w:r w:rsidR="007C2A60" w:rsidRPr="00F84BAA">
        <w:rPr>
          <w:rFonts w:ascii="宋体" w:hAnsi="宋体" w:cs="宋体" w:hint="eastAsia"/>
          <w:kern w:val="0"/>
          <w:sz w:val="28"/>
          <w:szCs w:val="28"/>
        </w:rPr>
        <w:t>元、工会经费</w:t>
      </w:r>
      <w:r w:rsidR="007C2A60">
        <w:rPr>
          <w:rFonts w:ascii="方正书宋_GBK" w:eastAsia="方正书宋_GBK" w:hint="eastAsia"/>
          <w:sz w:val="28"/>
          <w:szCs w:val="28"/>
        </w:rPr>
        <w:t>0.49万</w:t>
      </w:r>
      <w:r w:rsidR="007C2A60" w:rsidRPr="00F84BAA">
        <w:rPr>
          <w:rFonts w:ascii="宋体" w:hAnsi="宋体" w:cs="宋体" w:hint="eastAsia"/>
          <w:kern w:val="0"/>
          <w:sz w:val="28"/>
          <w:szCs w:val="28"/>
        </w:rPr>
        <w:t>元、福利费</w:t>
      </w:r>
      <w:r w:rsidR="007C2A60">
        <w:rPr>
          <w:rFonts w:ascii="方正书宋_GBK" w:eastAsia="方正书宋_GBK" w:hint="eastAsia"/>
          <w:sz w:val="28"/>
          <w:szCs w:val="28"/>
        </w:rPr>
        <w:t>0.83万</w:t>
      </w:r>
      <w:r w:rsidR="007C2A60" w:rsidRPr="00F84BAA">
        <w:rPr>
          <w:rFonts w:ascii="宋体" w:hAnsi="宋体" w:cs="宋体" w:hint="eastAsia"/>
          <w:kern w:val="0"/>
          <w:sz w:val="28"/>
          <w:szCs w:val="28"/>
        </w:rPr>
        <w:t>元、公务用车运行维护费6</w:t>
      </w:r>
      <w:r w:rsidR="007C2A60">
        <w:rPr>
          <w:rFonts w:ascii="宋体" w:hAnsi="宋体" w:cs="宋体" w:hint="eastAsia"/>
          <w:kern w:val="0"/>
          <w:sz w:val="28"/>
          <w:szCs w:val="28"/>
        </w:rPr>
        <w:t>万</w:t>
      </w:r>
      <w:r w:rsidR="007C2A60" w:rsidRPr="00F84BAA">
        <w:rPr>
          <w:rFonts w:ascii="宋体" w:hAnsi="宋体" w:cs="宋体" w:hint="eastAsia"/>
          <w:kern w:val="0"/>
          <w:sz w:val="28"/>
          <w:szCs w:val="28"/>
        </w:rPr>
        <w:t>元、其他交通费（公务交通补贴）</w:t>
      </w:r>
      <w:r w:rsidR="007C2A60">
        <w:rPr>
          <w:rFonts w:ascii="方正书宋_GBK" w:eastAsia="方正书宋_GBK" w:hint="eastAsia"/>
          <w:sz w:val="28"/>
          <w:szCs w:val="28"/>
        </w:rPr>
        <w:t>10.20万</w:t>
      </w:r>
      <w:r w:rsidR="007C2A60" w:rsidRPr="00F84BAA">
        <w:rPr>
          <w:rFonts w:ascii="宋体" w:hAnsi="宋体" w:cs="宋体" w:hint="eastAsia"/>
          <w:kern w:val="0"/>
          <w:sz w:val="28"/>
          <w:szCs w:val="28"/>
        </w:rPr>
        <w:t>元</w:t>
      </w:r>
      <w:r w:rsidR="007C2A60">
        <w:rPr>
          <w:rFonts w:ascii="宋体" w:hAnsi="宋体" w:cs="宋体" w:hint="eastAsia"/>
          <w:kern w:val="0"/>
          <w:sz w:val="28"/>
          <w:szCs w:val="28"/>
        </w:rPr>
        <w:t>。</w:t>
      </w:r>
    </w:p>
    <w:p w:rsidR="004D1C52" w:rsidRDefault="004D1C52" w:rsidP="00BC3C07">
      <w:pPr>
        <w:shd w:val="clear" w:color="auto" w:fill="FFFFFF"/>
        <w:spacing w:line="580" w:lineRule="exact"/>
        <w:ind w:firstLineChars="200" w:firstLine="640"/>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四、财政拨款“三公”经费预算情况</w:t>
      </w:r>
    </w:p>
    <w:p w:rsidR="00585960" w:rsidRPr="00F84BAA" w:rsidRDefault="00585960" w:rsidP="00BC3C07">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20</w:t>
      </w:r>
      <w:r>
        <w:rPr>
          <w:rFonts w:ascii="宋体" w:hAnsi="宋体" w:cs="宋体" w:hint="eastAsia"/>
          <w:kern w:val="0"/>
          <w:sz w:val="28"/>
          <w:szCs w:val="28"/>
        </w:rPr>
        <w:t>2</w:t>
      </w:r>
      <w:r w:rsidR="007C2A60">
        <w:rPr>
          <w:rFonts w:ascii="宋体" w:hAnsi="宋体" w:cs="宋体" w:hint="eastAsia"/>
          <w:kern w:val="0"/>
          <w:sz w:val="28"/>
          <w:szCs w:val="28"/>
        </w:rPr>
        <w:t>1</w:t>
      </w:r>
      <w:r w:rsidRPr="00F84BAA">
        <w:rPr>
          <w:rFonts w:ascii="宋体" w:hAnsi="宋体" w:cs="宋体" w:hint="eastAsia"/>
          <w:kern w:val="0"/>
          <w:sz w:val="28"/>
          <w:szCs w:val="28"/>
        </w:rPr>
        <w:t>年度本部门 “三公”经费预算总额</w:t>
      </w:r>
      <w:r w:rsidR="003B408A">
        <w:rPr>
          <w:rFonts w:ascii="宋体" w:hAnsi="宋体" w:cs="宋体" w:hint="eastAsia"/>
          <w:kern w:val="0"/>
          <w:sz w:val="28"/>
          <w:szCs w:val="28"/>
        </w:rPr>
        <w:t>36万</w:t>
      </w:r>
      <w:r w:rsidRPr="00F84BAA">
        <w:rPr>
          <w:rFonts w:ascii="宋体" w:hAnsi="宋体" w:cs="宋体" w:hint="eastAsia"/>
          <w:kern w:val="0"/>
          <w:sz w:val="28"/>
          <w:szCs w:val="28"/>
        </w:rPr>
        <w:t>元，与20</w:t>
      </w:r>
      <w:r w:rsidR="003B408A">
        <w:rPr>
          <w:rFonts w:ascii="宋体" w:hAnsi="宋体" w:cs="宋体" w:hint="eastAsia"/>
          <w:kern w:val="0"/>
          <w:sz w:val="28"/>
          <w:szCs w:val="28"/>
        </w:rPr>
        <w:t>20</w:t>
      </w:r>
      <w:r w:rsidRPr="00F84BAA">
        <w:rPr>
          <w:rFonts w:ascii="宋体" w:hAnsi="宋体" w:cs="宋体" w:hint="eastAsia"/>
          <w:kern w:val="0"/>
          <w:sz w:val="28"/>
          <w:szCs w:val="28"/>
        </w:rPr>
        <w:t>年预算安排</w:t>
      </w:r>
      <w:r>
        <w:rPr>
          <w:rFonts w:ascii="宋体" w:hAnsi="宋体" w:cs="宋体" w:hint="eastAsia"/>
          <w:kern w:val="0"/>
          <w:sz w:val="28"/>
          <w:szCs w:val="28"/>
        </w:rPr>
        <w:t>相比大幅下降</w:t>
      </w:r>
      <w:r w:rsidRPr="00F84BAA">
        <w:rPr>
          <w:rFonts w:ascii="宋体" w:hAnsi="宋体" w:cs="宋体" w:hint="eastAsia"/>
          <w:kern w:val="0"/>
          <w:sz w:val="28"/>
          <w:szCs w:val="28"/>
        </w:rPr>
        <w:t>。</w:t>
      </w:r>
      <w:r w:rsidR="000C5B9A">
        <w:rPr>
          <w:rFonts w:ascii="宋体" w:hAnsi="宋体" w:cs="宋体" w:hint="eastAsia"/>
          <w:kern w:val="0"/>
          <w:sz w:val="28"/>
          <w:szCs w:val="28"/>
        </w:rPr>
        <w:t>主要原因是因公临时出国（境）经费减少</w:t>
      </w:r>
      <w:r w:rsidR="003B408A">
        <w:rPr>
          <w:rFonts w:ascii="宋体" w:hAnsi="宋体" w:cs="宋体" w:hint="eastAsia"/>
          <w:kern w:val="0"/>
          <w:sz w:val="28"/>
          <w:szCs w:val="28"/>
        </w:rPr>
        <w:t>，公务接待费减少</w:t>
      </w:r>
      <w:r w:rsidR="000C5B9A">
        <w:rPr>
          <w:rFonts w:ascii="宋体" w:hAnsi="宋体" w:cs="宋体" w:hint="eastAsia"/>
          <w:kern w:val="0"/>
          <w:sz w:val="28"/>
          <w:szCs w:val="28"/>
        </w:rPr>
        <w:t>。</w:t>
      </w:r>
      <w:r w:rsidRPr="00F84BAA">
        <w:rPr>
          <w:rFonts w:ascii="宋体" w:hAnsi="宋体" w:cs="宋体" w:hint="eastAsia"/>
          <w:kern w:val="0"/>
          <w:sz w:val="28"/>
          <w:szCs w:val="28"/>
        </w:rPr>
        <w:t>具体安排如下：</w:t>
      </w:r>
    </w:p>
    <w:p w:rsidR="00585960" w:rsidRPr="00F84BAA" w:rsidRDefault="00585960" w:rsidP="00837CD1">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1、因公出国（境）费</w:t>
      </w:r>
    </w:p>
    <w:p w:rsidR="00585960" w:rsidRPr="003B408A" w:rsidRDefault="00585960" w:rsidP="00837CD1">
      <w:pPr>
        <w:ind w:firstLineChars="200" w:firstLine="560"/>
        <w:rPr>
          <w:rFonts w:asciiTheme="minorEastAsia" w:eastAsiaTheme="minorEastAsia" w:hAnsiTheme="minorEastAsia" w:cs="宋体"/>
          <w:kern w:val="0"/>
          <w:sz w:val="28"/>
          <w:szCs w:val="28"/>
        </w:rPr>
      </w:pPr>
      <w:r w:rsidRPr="000C5B9A">
        <w:rPr>
          <w:rFonts w:asciiTheme="minorEastAsia" w:eastAsiaTheme="minorEastAsia" w:hAnsiTheme="minorEastAsia" w:cs="宋体" w:hint="eastAsia"/>
          <w:kern w:val="0"/>
          <w:sz w:val="28"/>
          <w:szCs w:val="28"/>
        </w:rPr>
        <w:t>202</w:t>
      </w:r>
      <w:r w:rsidR="003B408A">
        <w:rPr>
          <w:rFonts w:asciiTheme="minorEastAsia" w:eastAsiaTheme="minorEastAsia" w:hAnsiTheme="minorEastAsia" w:cs="宋体" w:hint="eastAsia"/>
          <w:kern w:val="0"/>
          <w:sz w:val="28"/>
          <w:szCs w:val="28"/>
        </w:rPr>
        <w:t>1</w:t>
      </w:r>
      <w:r w:rsidRPr="000C5B9A">
        <w:rPr>
          <w:rFonts w:asciiTheme="minorEastAsia" w:eastAsiaTheme="minorEastAsia" w:hAnsiTheme="minorEastAsia" w:cs="宋体" w:hint="eastAsia"/>
          <w:kern w:val="0"/>
          <w:sz w:val="28"/>
          <w:szCs w:val="28"/>
        </w:rPr>
        <w:t>年预算安排</w:t>
      </w:r>
      <w:r w:rsidR="003B408A">
        <w:rPr>
          <w:rFonts w:asciiTheme="minorEastAsia" w:eastAsiaTheme="minorEastAsia" w:hAnsiTheme="minorEastAsia" w:cs="宋体" w:hint="eastAsia"/>
          <w:kern w:val="0"/>
          <w:sz w:val="28"/>
          <w:szCs w:val="28"/>
        </w:rPr>
        <w:t>20万</w:t>
      </w:r>
      <w:r w:rsidRPr="000C5B9A">
        <w:rPr>
          <w:rFonts w:asciiTheme="minorEastAsia" w:eastAsiaTheme="minorEastAsia" w:hAnsiTheme="minorEastAsia" w:cs="宋体" w:hint="eastAsia"/>
          <w:kern w:val="0"/>
          <w:sz w:val="28"/>
          <w:szCs w:val="28"/>
        </w:rPr>
        <w:t>元，较上年度预算下降</w:t>
      </w:r>
      <w:r w:rsidR="003B408A">
        <w:rPr>
          <w:rFonts w:asciiTheme="minorEastAsia" w:eastAsiaTheme="minorEastAsia" w:hAnsiTheme="minorEastAsia" w:cs="宋体" w:hint="eastAsia"/>
          <w:kern w:val="0"/>
          <w:sz w:val="28"/>
          <w:szCs w:val="28"/>
        </w:rPr>
        <w:t>30万</w:t>
      </w:r>
      <w:r w:rsidRPr="000C5B9A">
        <w:rPr>
          <w:rFonts w:asciiTheme="minorEastAsia" w:eastAsiaTheme="minorEastAsia" w:hAnsiTheme="minorEastAsia" w:cs="宋体" w:hint="eastAsia"/>
          <w:kern w:val="0"/>
          <w:sz w:val="28"/>
          <w:szCs w:val="28"/>
        </w:rPr>
        <w:t>元，主要原因是</w:t>
      </w:r>
      <w:r w:rsidR="003B408A" w:rsidRPr="003B408A">
        <w:rPr>
          <w:rFonts w:ascii="宋体" w:hAnsi="宋体" w:cs="宋体" w:hint="eastAsia"/>
          <w:kern w:val="0"/>
          <w:sz w:val="28"/>
          <w:szCs w:val="28"/>
        </w:rPr>
        <w:t>为贯彻市、区两级领导招商任务安排，我区区委或区政府主要领导率团及其他相关人员，计划于2021年分别赴日本拜访国丰田株式会社继续推进40万台8AT变速器项目以及爱信精机零部件工厂整体搬迁项目；赴香港中国轨道交通集团对接轨道交通配套项目和被动房四合一节能设备项目；赴韩国对接斗山叉车和现代重工等工程机械类企业，以加速我区工程机械园区建设；赴法国达能集团拜访对接洽谈生产扩能事宜；赴新加坡丰树集团招商洽谈电商物流项目；赴俄罗斯对接洽谈俄罗斯食品加工厂项目。</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2、公务用车购置及运行费</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20</w:t>
      </w:r>
      <w:r w:rsidR="000C5B9A">
        <w:rPr>
          <w:rFonts w:ascii="宋体" w:hAnsi="宋体" w:cs="宋体" w:hint="eastAsia"/>
          <w:kern w:val="0"/>
          <w:sz w:val="28"/>
          <w:szCs w:val="28"/>
        </w:rPr>
        <w:t>2</w:t>
      </w:r>
      <w:r w:rsidR="00BC3C07">
        <w:rPr>
          <w:rFonts w:ascii="宋体" w:hAnsi="宋体" w:cs="宋体" w:hint="eastAsia"/>
          <w:kern w:val="0"/>
          <w:sz w:val="28"/>
          <w:szCs w:val="28"/>
        </w:rPr>
        <w:t>1</w:t>
      </w:r>
      <w:r w:rsidRPr="00F84BAA">
        <w:rPr>
          <w:rFonts w:ascii="宋体" w:hAnsi="宋体" w:cs="宋体" w:hint="eastAsia"/>
          <w:kern w:val="0"/>
          <w:sz w:val="28"/>
          <w:szCs w:val="28"/>
        </w:rPr>
        <w:t>年预算安排共计60000元，较上年度预算无增减变化。（1）公务用车购置费0元。（2）公务用车运行维护费60000元，较上年</w:t>
      </w:r>
      <w:r w:rsidRPr="00F84BAA">
        <w:rPr>
          <w:rFonts w:ascii="宋体" w:hAnsi="宋体" w:cs="宋体" w:hint="eastAsia"/>
          <w:kern w:val="0"/>
          <w:sz w:val="28"/>
          <w:szCs w:val="28"/>
        </w:rPr>
        <w:lastRenderedPageBreak/>
        <w:t>度预算无增减变化。</w:t>
      </w:r>
    </w:p>
    <w:p w:rsidR="00585960" w:rsidRPr="00F84BAA" w:rsidRDefault="00585960" w:rsidP="00585960">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3、公务接待费</w:t>
      </w:r>
    </w:p>
    <w:p w:rsidR="004A1ADC" w:rsidRPr="00837CD1" w:rsidRDefault="000C5B9A" w:rsidP="00837CD1">
      <w:pPr>
        <w:shd w:val="clear" w:color="auto" w:fill="FFFFFF"/>
        <w:spacing w:line="580" w:lineRule="exact"/>
        <w:ind w:firstLineChars="200" w:firstLine="560"/>
        <w:jc w:val="left"/>
        <w:rPr>
          <w:rFonts w:asciiTheme="minorEastAsia" w:eastAsiaTheme="minorEastAsia" w:hAnsiTheme="minorEastAsia" w:cs="仿宋"/>
          <w:sz w:val="28"/>
          <w:szCs w:val="28"/>
        </w:rPr>
      </w:pPr>
      <w:r>
        <w:rPr>
          <w:rFonts w:ascii="宋体" w:hAnsi="宋体" w:cs="宋体" w:hint="eastAsia"/>
          <w:kern w:val="0"/>
          <w:sz w:val="28"/>
          <w:szCs w:val="28"/>
        </w:rPr>
        <w:t>202</w:t>
      </w:r>
      <w:r w:rsidR="00BC3C07">
        <w:rPr>
          <w:rFonts w:ascii="宋体" w:hAnsi="宋体" w:cs="宋体" w:hint="eastAsia"/>
          <w:kern w:val="0"/>
          <w:sz w:val="28"/>
          <w:szCs w:val="28"/>
        </w:rPr>
        <w:t>1</w:t>
      </w:r>
      <w:r w:rsidR="00585960" w:rsidRPr="00006AD5">
        <w:rPr>
          <w:rFonts w:ascii="宋体" w:hAnsi="宋体" w:cs="宋体" w:hint="eastAsia"/>
          <w:kern w:val="0"/>
          <w:sz w:val="28"/>
          <w:szCs w:val="28"/>
        </w:rPr>
        <w:t>年预算安排共计</w:t>
      </w:r>
      <w:r w:rsidR="003B408A">
        <w:rPr>
          <w:rFonts w:ascii="宋体" w:hAnsi="宋体" w:cs="宋体" w:hint="eastAsia"/>
          <w:kern w:val="0"/>
          <w:sz w:val="28"/>
          <w:szCs w:val="28"/>
        </w:rPr>
        <w:t>10万</w:t>
      </w:r>
      <w:r w:rsidR="00585960" w:rsidRPr="00006AD5">
        <w:rPr>
          <w:rFonts w:ascii="宋体" w:hAnsi="宋体" w:cs="宋体" w:hint="eastAsia"/>
          <w:kern w:val="0"/>
          <w:sz w:val="28"/>
          <w:szCs w:val="28"/>
        </w:rPr>
        <w:t>元，较上年度预算</w:t>
      </w:r>
      <w:r>
        <w:rPr>
          <w:rFonts w:ascii="宋体" w:hAnsi="宋体" w:cs="宋体" w:hint="eastAsia"/>
          <w:kern w:val="0"/>
          <w:sz w:val="28"/>
          <w:szCs w:val="28"/>
        </w:rPr>
        <w:t>减少</w:t>
      </w:r>
      <w:r w:rsidR="003B408A">
        <w:rPr>
          <w:rFonts w:ascii="宋体" w:hAnsi="宋体" w:cs="宋体" w:hint="eastAsia"/>
          <w:kern w:val="0"/>
          <w:sz w:val="28"/>
          <w:szCs w:val="28"/>
        </w:rPr>
        <w:t>20万</w:t>
      </w:r>
      <w:r w:rsidR="00585960" w:rsidRPr="00006AD5">
        <w:rPr>
          <w:rFonts w:ascii="宋体" w:hAnsi="宋体" w:cs="宋体" w:hint="eastAsia"/>
          <w:kern w:val="0"/>
          <w:sz w:val="28"/>
          <w:szCs w:val="28"/>
        </w:rPr>
        <w:t>元，</w:t>
      </w:r>
      <w:r w:rsidR="00585960" w:rsidRPr="000C5B9A">
        <w:rPr>
          <w:rFonts w:asciiTheme="minorEastAsia" w:eastAsiaTheme="minorEastAsia" w:hAnsiTheme="minorEastAsia" w:cs="宋体" w:hint="eastAsia"/>
          <w:kern w:val="0"/>
          <w:sz w:val="28"/>
          <w:szCs w:val="28"/>
        </w:rPr>
        <w:t>主要原因</w:t>
      </w:r>
      <w:r w:rsidRPr="000C5B9A">
        <w:rPr>
          <w:rFonts w:asciiTheme="minorEastAsia" w:eastAsiaTheme="minorEastAsia" w:hAnsiTheme="minorEastAsia" w:cs="仿宋" w:hint="eastAsia"/>
          <w:sz w:val="28"/>
          <w:szCs w:val="28"/>
        </w:rPr>
        <w:t>按照区委、区政府决策部署，</w:t>
      </w:r>
      <w:r w:rsidR="003B408A" w:rsidRPr="00837CD1">
        <w:rPr>
          <w:rFonts w:asciiTheme="minorEastAsia" w:eastAsiaTheme="minorEastAsia" w:hAnsiTheme="minorEastAsia" w:cs="仿宋" w:hint="eastAsia"/>
          <w:sz w:val="28"/>
          <w:szCs w:val="28"/>
        </w:rPr>
        <w:t>抢抓“疫情后”经济发展的机遇期，紧紧围绕打造</w:t>
      </w:r>
      <w:r w:rsidR="003B408A" w:rsidRPr="00837CD1">
        <w:rPr>
          <w:rFonts w:asciiTheme="minorEastAsia" w:eastAsiaTheme="minorEastAsia" w:hAnsiTheme="minorEastAsia" w:cs="仿宋"/>
          <w:sz w:val="28"/>
          <w:szCs w:val="28"/>
        </w:rPr>
        <w:t>“5+4”</w:t>
      </w:r>
      <w:r w:rsidR="003B408A" w:rsidRPr="00837CD1">
        <w:rPr>
          <w:rFonts w:asciiTheme="minorEastAsia" w:eastAsiaTheme="minorEastAsia" w:hAnsiTheme="minorEastAsia" w:cs="仿宋" w:hint="eastAsia"/>
          <w:sz w:val="28"/>
          <w:szCs w:val="28"/>
        </w:rPr>
        <w:t>现代产业体系，优化布局，聚焦主导，突出产业项目主攻方向，强龙头、补链条、优特色、聚集群，以产业链招商为主要途径，以经开区为项目落地平台，整合招商资源，创新工作机制，强力开展特色优势产业招商活动，以更优营商环境集聚先进生产要素，以更实工作举措保障良好招商成效，推动全区经济创新发展、绿色发展、高质量发展，为加快进位全国市辖区综合实力</w:t>
      </w:r>
      <w:r w:rsidR="003B408A" w:rsidRPr="00837CD1">
        <w:rPr>
          <w:rFonts w:asciiTheme="minorEastAsia" w:eastAsiaTheme="minorEastAsia" w:hAnsiTheme="minorEastAsia" w:cs="仿宋"/>
          <w:sz w:val="28"/>
          <w:szCs w:val="28"/>
        </w:rPr>
        <w:t>50</w:t>
      </w:r>
      <w:r w:rsidR="003B408A" w:rsidRPr="00837CD1">
        <w:rPr>
          <w:rFonts w:asciiTheme="minorEastAsia" w:eastAsiaTheme="minorEastAsia" w:hAnsiTheme="minorEastAsia" w:cs="仿宋" w:hint="eastAsia"/>
          <w:sz w:val="28"/>
          <w:szCs w:val="28"/>
        </w:rPr>
        <w:t>强、建设新时代</w:t>
      </w:r>
      <w:r w:rsidR="003B408A" w:rsidRPr="00837CD1">
        <w:rPr>
          <w:rFonts w:asciiTheme="minorEastAsia" w:eastAsiaTheme="minorEastAsia" w:hAnsiTheme="minorEastAsia" w:cs="仿宋"/>
          <w:sz w:val="28"/>
          <w:szCs w:val="28"/>
        </w:rPr>
        <w:t>“</w:t>
      </w:r>
      <w:r w:rsidR="003B408A" w:rsidRPr="00837CD1">
        <w:rPr>
          <w:rFonts w:asciiTheme="minorEastAsia" w:eastAsiaTheme="minorEastAsia" w:hAnsiTheme="minorEastAsia" w:cs="仿宋" w:hint="eastAsia"/>
          <w:sz w:val="28"/>
          <w:szCs w:val="28"/>
        </w:rPr>
        <w:t>实力丰润、魅力浭城</w:t>
      </w:r>
      <w:r w:rsidR="003B408A" w:rsidRPr="00837CD1">
        <w:rPr>
          <w:rFonts w:asciiTheme="minorEastAsia" w:eastAsiaTheme="minorEastAsia" w:hAnsiTheme="minorEastAsia" w:cs="仿宋"/>
          <w:sz w:val="28"/>
          <w:szCs w:val="28"/>
        </w:rPr>
        <w:t>”</w:t>
      </w:r>
      <w:r w:rsidR="003B408A" w:rsidRPr="00837CD1">
        <w:rPr>
          <w:rFonts w:asciiTheme="minorEastAsia" w:eastAsiaTheme="minorEastAsia" w:hAnsiTheme="minorEastAsia" w:cs="仿宋" w:hint="eastAsia"/>
          <w:sz w:val="28"/>
          <w:szCs w:val="28"/>
        </w:rPr>
        <w:t>作出更大贡献。2021年我局将围绕5+4重点产业结构建设，瞄准北京、山东、长三角、珠三角等地区，通过多种招商方式对接央企、外企和大型民企，争取引进项目，促成合作。上半年，我局计划到上海、深圳、台州、福州、成都等地召开5个以上投资说明会；下半年，计划到长沙、南京、长春、青岛、大连等地召开5个以上投资说明会。</w:t>
      </w:r>
    </w:p>
    <w:p w:rsidR="004D1C52" w:rsidRDefault="004D1C52" w:rsidP="00A47F0A">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五、绩效预算信息情况</w:t>
      </w:r>
    </w:p>
    <w:p w:rsidR="00471FC0" w:rsidRPr="00471FC0" w:rsidRDefault="00471FC0" w:rsidP="00471FC0">
      <w:pPr>
        <w:shd w:val="clear" w:color="auto" w:fill="FFFFFF"/>
        <w:spacing w:line="590" w:lineRule="exact"/>
        <w:ind w:firstLineChars="200" w:firstLine="560"/>
        <w:rPr>
          <w:rFonts w:asciiTheme="minorEastAsia" w:eastAsiaTheme="minorEastAsia" w:hAnsiTheme="minorEastAsia" w:cs="仿宋"/>
          <w:sz w:val="28"/>
          <w:szCs w:val="28"/>
        </w:rPr>
      </w:pPr>
      <w:r w:rsidRPr="00471FC0">
        <w:rPr>
          <w:rFonts w:asciiTheme="minorEastAsia" w:eastAsiaTheme="minorEastAsia" w:hAnsiTheme="minorEastAsia" w:cs="仿宋" w:hint="eastAsia"/>
          <w:sz w:val="28"/>
          <w:szCs w:val="28"/>
        </w:rPr>
        <w:t>按区财政局工作要求，全实施预算绩效管理。设定部门总体绩效目标、分项绩效目标及保障措施，绩效管理已经覆盖一般公共预算，初步建立了比较全面规范的绩效指标体系。大力推进重点项目绩效评价，建立项目绩效评价常态机制，重大项目组织开展绩效评价工作。同时，不断强化绩效评价结果反馈及应用，督促各科室进行整改，并推动将部分绩效评价结果应用于预算安排和政策调整。</w:t>
      </w:r>
    </w:p>
    <w:p w:rsidR="00471FC0" w:rsidRPr="00471FC0" w:rsidRDefault="00471FC0" w:rsidP="00471FC0">
      <w:pPr>
        <w:shd w:val="clear" w:color="auto" w:fill="FFFFFF"/>
        <w:spacing w:line="590" w:lineRule="exact"/>
        <w:rPr>
          <w:rFonts w:asciiTheme="minorEastAsia" w:eastAsiaTheme="minorEastAsia" w:hAnsiTheme="minorEastAsia" w:cs="仿宋"/>
          <w:sz w:val="28"/>
          <w:szCs w:val="28"/>
        </w:rPr>
      </w:pPr>
      <w:r w:rsidRPr="00471FC0">
        <w:rPr>
          <w:rFonts w:asciiTheme="minorEastAsia" w:eastAsiaTheme="minorEastAsia" w:hAnsiTheme="minorEastAsia" w:cs="仿宋" w:hint="eastAsia"/>
          <w:sz w:val="28"/>
          <w:szCs w:val="28"/>
        </w:rPr>
        <w:lastRenderedPageBreak/>
        <w:t>全面实施绩效自评。对上年所有本级项目开展绩效自评，并加大绩效信息公开力度。将重点项目绩效目标、项目绩效评价报告、项目绩效自评结果等绩效信息向社会公开。</w:t>
      </w:r>
    </w:p>
    <w:p w:rsidR="00471FC0" w:rsidRPr="00471FC0" w:rsidRDefault="00471FC0" w:rsidP="00471FC0">
      <w:pPr>
        <w:shd w:val="clear" w:color="auto" w:fill="FFFFFF"/>
        <w:spacing w:line="590" w:lineRule="exact"/>
        <w:rPr>
          <w:rFonts w:asciiTheme="minorEastAsia" w:eastAsiaTheme="minorEastAsia" w:hAnsiTheme="minorEastAsia" w:cs="仿宋"/>
          <w:sz w:val="28"/>
          <w:szCs w:val="28"/>
        </w:rPr>
      </w:pPr>
      <w:r w:rsidRPr="00471FC0">
        <w:rPr>
          <w:rFonts w:asciiTheme="minorEastAsia" w:eastAsiaTheme="minorEastAsia" w:hAnsiTheme="minorEastAsia" w:cs="仿宋" w:hint="eastAsia"/>
          <w:sz w:val="28"/>
          <w:szCs w:val="28"/>
        </w:rPr>
        <w:t>下一步，要加强制度建设，明确绩效管理责任，建立预算安排与绩效目标、资金使用效果挂钩的激励约束机制，提升公共服务质量和水平，增强政府公信力和执行力，提高人民满意度。</w:t>
      </w:r>
    </w:p>
    <w:p w:rsidR="00957F4E" w:rsidRDefault="004D1C52" w:rsidP="00471FC0">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六、政府采购预算情况</w:t>
      </w:r>
    </w:p>
    <w:p w:rsidR="004D1C52" w:rsidRDefault="00957F4E" w:rsidP="00957F4E">
      <w:pPr>
        <w:shd w:val="clear" w:color="auto" w:fill="FFFFFF"/>
        <w:spacing w:line="590" w:lineRule="exact"/>
        <w:ind w:firstLineChars="200" w:firstLine="560"/>
        <w:rPr>
          <w:rFonts w:eastAsia="方正仿宋简体"/>
          <w:kern w:val="0"/>
          <w:sz w:val="32"/>
          <w:szCs w:val="32"/>
        </w:rPr>
      </w:pPr>
      <w:r>
        <w:rPr>
          <w:rFonts w:ascii="宋体" w:hAnsi="宋体" w:cs="宋体" w:hint="eastAsia"/>
          <w:kern w:val="0"/>
          <w:sz w:val="28"/>
          <w:szCs w:val="28"/>
        </w:rPr>
        <w:t>202</w:t>
      </w:r>
      <w:r w:rsidR="00A47F0A">
        <w:rPr>
          <w:rFonts w:ascii="宋体" w:hAnsi="宋体" w:cs="宋体" w:hint="eastAsia"/>
          <w:kern w:val="0"/>
          <w:sz w:val="28"/>
          <w:szCs w:val="28"/>
        </w:rPr>
        <w:t>1</w:t>
      </w:r>
      <w:r w:rsidRPr="00F84BAA">
        <w:rPr>
          <w:rFonts w:ascii="宋体" w:hAnsi="宋体" w:cs="宋体" w:hint="eastAsia"/>
          <w:kern w:val="0"/>
          <w:sz w:val="28"/>
          <w:szCs w:val="28"/>
        </w:rPr>
        <w:t>年部门预算中无政府采购预算</w:t>
      </w:r>
    </w:p>
    <w:p w:rsidR="004D1C52" w:rsidRDefault="004D1C52" w:rsidP="00D90BD4">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七、国有资产信息情况</w:t>
      </w:r>
    </w:p>
    <w:p w:rsidR="00CE2AD3" w:rsidRDefault="00CE2AD3" w:rsidP="00CE2AD3">
      <w:pPr>
        <w:spacing w:line="560" w:lineRule="exact"/>
        <w:ind w:firstLineChars="200" w:firstLine="560"/>
        <w:jc w:val="left"/>
        <w:rPr>
          <w:rFonts w:ascii="宋体" w:hAnsi="宋体"/>
          <w:sz w:val="28"/>
          <w:szCs w:val="28"/>
        </w:rPr>
      </w:pPr>
      <w:r w:rsidRPr="00F84BAA">
        <w:rPr>
          <w:rFonts w:ascii="宋体" w:hAnsi="宋体" w:cs="宋体" w:hint="eastAsia"/>
          <w:kern w:val="0"/>
          <w:sz w:val="28"/>
          <w:szCs w:val="28"/>
        </w:rPr>
        <w:t>截至20</w:t>
      </w:r>
      <w:r w:rsidR="00A47F0A">
        <w:rPr>
          <w:rFonts w:ascii="宋体" w:hAnsi="宋体" w:cs="宋体" w:hint="eastAsia"/>
          <w:kern w:val="0"/>
          <w:sz w:val="28"/>
          <w:szCs w:val="28"/>
        </w:rPr>
        <w:t>20</w:t>
      </w:r>
      <w:r w:rsidRPr="00F84BAA">
        <w:rPr>
          <w:rFonts w:ascii="宋体" w:hAnsi="宋体" w:cs="宋体" w:hint="eastAsia"/>
          <w:kern w:val="0"/>
          <w:sz w:val="28"/>
          <w:szCs w:val="28"/>
        </w:rPr>
        <w:t>年12月31日我单位国有资产总金额</w:t>
      </w:r>
      <w:r w:rsidR="00A47F0A">
        <w:rPr>
          <w:rFonts w:ascii="宋体" w:hAnsi="宋体" w:cs="宋体" w:hint="eastAsia"/>
          <w:kern w:val="0"/>
          <w:sz w:val="28"/>
          <w:szCs w:val="28"/>
        </w:rPr>
        <w:t>1204145.23</w:t>
      </w:r>
      <w:r w:rsidRPr="00F84BAA">
        <w:rPr>
          <w:rFonts w:ascii="宋体" w:hAnsi="宋体" w:cs="宋体" w:hint="eastAsia"/>
          <w:kern w:val="0"/>
          <w:sz w:val="28"/>
          <w:szCs w:val="28"/>
        </w:rPr>
        <w:t>元，包括固定资产</w:t>
      </w:r>
      <w:r w:rsidR="00A47F0A">
        <w:rPr>
          <w:rFonts w:ascii="宋体" w:hAnsi="宋体" w:cs="宋体" w:hint="eastAsia"/>
          <w:kern w:val="0"/>
          <w:sz w:val="28"/>
          <w:szCs w:val="28"/>
        </w:rPr>
        <w:t>1204145.23</w:t>
      </w:r>
      <w:r w:rsidRPr="00F84BAA">
        <w:rPr>
          <w:rFonts w:ascii="宋体" w:hAnsi="宋体" w:cs="宋体" w:hint="eastAsia"/>
          <w:kern w:val="0"/>
          <w:sz w:val="28"/>
          <w:szCs w:val="28"/>
        </w:rPr>
        <w:t>元。</w:t>
      </w:r>
      <w:r w:rsidRPr="00F84BAA">
        <w:rPr>
          <w:rFonts w:ascii="宋体" w:hAnsi="宋体" w:hint="eastAsia"/>
          <w:sz w:val="28"/>
          <w:szCs w:val="28"/>
        </w:rPr>
        <w:t>本部门房屋及建筑物</w:t>
      </w:r>
      <w:r>
        <w:rPr>
          <w:rFonts w:ascii="宋体" w:hAnsi="宋体" w:hint="eastAsia"/>
          <w:sz w:val="28"/>
          <w:szCs w:val="28"/>
        </w:rPr>
        <w:t>建筑面积3827.96平方米，总价值</w:t>
      </w:r>
      <w:r w:rsidRPr="00F84BAA">
        <w:rPr>
          <w:rFonts w:ascii="宋体" w:hAnsi="宋体" w:hint="eastAsia"/>
          <w:sz w:val="28"/>
          <w:szCs w:val="28"/>
        </w:rPr>
        <w:t>60</w:t>
      </w:r>
      <w:r>
        <w:rPr>
          <w:rFonts w:ascii="宋体" w:hAnsi="宋体" w:hint="eastAsia"/>
          <w:sz w:val="28"/>
          <w:szCs w:val="28"/>
        </w:rPr>
        <w:t>0000</w:t>
      </w:r>
      <w:r w:rsidRPr="00F84BAA">
        <w:rPr>
          <w:rFonts w:ascii="宋体" w:hAnsi="宋体" w:hint="eastAsia"/>
          <w:sz w:val="28"/>
          <w:szCs w:val="28"/>
        </w:rPr>
        <w:t>元；实有车辆3辆，其中，</w:t>
      </w:r>
      <w:r>
        <w:rPr>
          <w:rFonts w:ascii="宋体" w:hAnsi="宋体" w:hint="eastAsia"/>
          <w:sz w:val="28"/>
          <w:szCs w:val="28"/>
        </w:rPr>
        <w:t>机要通信用车1车，应急保障用车1</w:t>
      </w:r>
      <w:r w:rsidRPr="00F84BAA">
        <w:rPr>
          <w:rFonts w:ascii="宋体" w:hAnsi="宋体" w:hint="eastAsia"/>
          <w:sz w:val="28"/>
          <w:szCs w:val="28"/>
        </w:rPr>
        <w:t>辆</w:t>
      </w:r>
      <w:r>
        <w:rPr>
          <w:rFonts w:ascii="宋体" w:hAnsi="宋体" w:hint="eastAsia"/>
          <w:sz w:val="28"/>
          <w:szCs w:val="28"/>
        </w:rPr>
        <w:t>，执法执勤</w:t>
      </w:r>
      <w:r w:rsidRPr="00F84BAA">
        <w:rPr>
          <w:rFonts w:ascii="宋体" w:hAnsi="宋体" w:hint="eastAsia"/>
          <w:sz w:val="28"/>
          <w:szCs w:val="28"/>
        </w:rPr>
        <w:t>用车1辆，总价值</w:t>
      </w:r>
      <w:r>
        <w:rPr>
          <w:rFonts w:ascii="宋体" w:hAnsi="宋体" w:hint="eastAsia"/>
          <w:sz w:val="28"/>
          <w:szCs w:val="28"/>
        </w:rPr>
        <w:t>227600</w:t>
      </w:r>
      <w:r w:rsidRPr="00F84BAA">
        <w:rPr>
          <w:rFonts w:ascii="宋体" w:hAnsi="宋体" w:hint="eastAsia"/>
          <w:sz w:val="28"/>
          <w:szCs w:val="28"/>
        </w:rPr>
        <w:t>元。</w:t>
      </w:r>
      <w:r>
        <w:rPr>
          <w:rFonts w:ascii="宋体" w:hAnsi="宋体" w:hint="eastAsia"/>
          <w:sz w:val="28"/>
          <w:szCs w:val="28"/>
        </w:rPr>
        <w:t>本年度无拟购置情况。</w:t>
      </w:r>
    </w:p>
    <w:tbl>
      <w:tblPr>
        <w:tblW w:w="9020" w:type="dxa"/>
        <w:tblLayout w:type="fixed"/>
        <w:tblLook w:val="0000"/>
      </w:tblPr>
      <w:tblGrid>
        <w:gridCol w:w="3926"/>
        <w:gridCol w:w="1470"/>
        <w:gridCol w:w="3624"/>
      </w:tblGrid>
      <w:tr w:rsidR="004D1C52" w:rsidTr="00CE2AD3">
        <w:trPr>
          <w:trHeight w:val="90"/>
        </w:trPr>
        <w:tc>
          <w:tcPr>
            <w:tcW w:w="9020" w:type="dxa"/>
            <w:gridSpan w:val="3"/>
            <w:tcBorders>
              <w:top w:val="nil"/>
              <w:left w:val="nil"/>
              <w:bottom w:val="nil"/>
              <w:right w:val="nil"/>
            </w:tcBorders>
            <w:vAlign w:val="center"/>
          </w:tcPr>
          <w:p w:rsidR="004D1C52" w:rsidRDefault="004D1C52" w:rsidP="00723676">
            <w:pPr>
              <w:widowControl/>
              <w:spacing w:line="590" w:lineRule="exact"/>
              <w:jc w:val="center"/>
              <w:rPr>
                <w:rFonts w:cs="宋体"/>
                <w:b/>
                <w:bCs/>
                <w:kern w:val="0"/>
                <w:sz w:val="32"/>
                <w:szCs w:val="32"/>
              </w:rPr>
            </w:pPr>
            <w:r>
              <w:rPr>
                <w:rFonts w:ascii="方正小标宋简体" w:eastAsia="方正小标宋简体" w:hAnsi="方正小标宋简体" w:cs="方正小标宋简体" w:hint="eastAsia"/>
                <w:kern w:val="0"/>
                <w:sz w:val="32"/>
                <w:szCs w:val="32"/>
              </w:rPr>
              <w:t>部门固定资产占用情况表</w:t>
            </w:r>
          </w:p>
        </w:tc>
      </w:tr>
      <w:tr w:rsidR="004D1C52" w:rsidTr="00CE2AD3">
        <w:trPr>
          <w:trHeight w:val="90"/>
        </w:trPr>
        <w:tc>
          <w:tcPr>
            <w:tcW w:w="9020" w:type="dxa"/>
            <w:gridSpan w:val="3"/>
            <w:tcBorders>
              <w:top w:val="nil"/>
              <w:left w:val="nil"/>
              <w:bottom w:val="nil"/>
              <w:right w:val="nil"/>
            </w:tcBorders>
            <w:vAlign w:val="center"/>
          </w:tcPr>
          <w:p w:rsidR="004D1C52" w:rsidRDefault="004D1C52" w:rsidP="00A47F0A">
            <w:pPr>
              <w:widowControl/>
              <w:spacing w:line="590" w:lineRule="exact"/>
              <w:jc w:val="left"/>
              <w:rPr>
                <w:rFonts w:eastAsia="仿宋"/>
                <w:kern w:val="0"/>
                <w:sz w:val="28"/>
                <w:szCs w:val="28"/>
              </w:rPr>
            </w:pPr>
            <w:r>
              <w:rPr>
                <w:rFonts w:eastAsia="仿宋"/>
                <w:kern w:val="0"/>
                <w:sz w:val="28"/>
                <w:szCs w:val="28"/>
              </w:rPr>
              <w:t>编制部门：</w:t>
            </w:r>
            <w:r w:rsidRPr="00CE2AD3">
              <w:rPr>
                <w:rFonts w:eastAsia="仿宋" w:hint="eastAsia"/>
                <w:kern w:val="0"/>
                <w:sz w:val="18"/>
                <w:szCs w:val="18"/>
              </w:rPr>
              <w:t>唐山市丰润区</w:t>
            </w:r>
            <w:r w:rsidR="00CE2AD3" w:rsidRPr="00CE2AD3">
              <w:rPr>
                <w:rFonts w:eastAsia="仿宋" w:hint="eastAsia"/>
                <w:kern w:val="0"/>
                <w:sz w:val="18"/>
                <w:szCs w:val="18"/>
              </w:rPr>
              <w:t>商务和投资促进局</w:t>
            </w:r>
            <w:r w:rsidR="00CE2AD3">
              <w:rPr>
                <w:rFonts w:eastAsia="仿宋" w:hint="eastAsia"/>
                <w:kern w:val="0"/>
                <w:sz w:val="18"/>
                <w:szCs w:val="18"/>
              </w:rPr>
              <w:t xml:space="preserve">       </w:t>
            </w:r>
            <w:r>
              <w:rPr>
                <w:rFonts w:eastAsia="仿宋"/>
                <w:kern w:val="0"/>
                <w:sz w:val="28"/>
                <w:szCs w:val="28"/>
              </w:rPr>
              <w:t>截止时间：</w:t>
            </w:r>
            <w:r>
              <w:rPr>
                <w:rFonts w:eastAsia="仿宋"/>
                <w:kern w:val="0"/>
                <w:sz w:val="28"/>
                <w:szCs w:val="28"/>
              </w:rPr>
              <w:t>20</w:t>
            </w:r>
            <w:r w:rsidR="00A47F0A">
              <w:rPr>
                <w:rFonts w:eastAsia="仿宋" w:hint="eastAsia"/>
                <w:kern w:val="0"/>
                <w:sz w:val="28"/>
                <w:szCs w:val="28"/>
              </w:rPr>
              <w:t>20</w:t>
            </w:r>
            <w:r>
              <w:rPr>
                <w:rFonts w:eastAsia="仿宋"/>
                <w:kern w:val="0"/>
                <w:sz w:val="28"/>
                <w:szCs w:val="28"/>
              </w:rPr>
              <w:t>年</w:t>
            </w:r>
            <w:r>
              <w:rPr>
                <w:rFonts w:eastAsia="仿宋"/>
                <w:kern w:val="0"/>
                <w:sz w:val="28"/>
                <w:szCs w:val="28"/>
              </w:rPr>
              <w:t>12</w:t>
            </w:r>
            <w:r>
              <w:rPr>
                <w:rFonts w:eastAsia="仿宋"/>
                <w:kern w:val="0"/>
                <w:sz w:val="28"/>
                <w:szCs w:val="28"/>
              </w:rPr>
              <w:t>月</w:t>
            </w:r>
            <w:r>
              <w:rPr>
                <w:rFonts w:eastAsia="仿宋"/>
                <w:kern w:val="0"/>
                <w:sz w:val="28"/>
                <w:szCs w:val="28"/>
              </w:rPr>
              <w:t>31</w:t>
            </w:r>
            <w:r>
              <w:rPr>
                <w:rFonts w:eastAsia="仿宋"/>
                <w:kern w:val="0"/>
                <w:sz w:val="28"/>
                <w:szCs w:val="28"/>
              </w:rPr>
              <w:t>日</w:t>
            </w:r>
          </w:p>
        </w:tc>
      </w:tr>
      <w:tr w:rsidR="004D1C52" w:rsidTr="00CE2AD3">
        <w:trPr>
          <w:trHeight w:val="90"/>
        </w:trPr>
        <w:tc>
          <w:tcPr>
            <w:tcW w:w="3926" w:type="dxa"/>
            <w:tcBorders>
              <w:top w:val="single" w:sz="4" w:space="0" w:color="auto"/>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项目</w:t>
            </w:r>
          </w:p>
        </w:tc>
        <w:tc>
          <w:tcPr>
            <w:tcW w:w="1470" w:type="dxa"/>
            <w:tcBorders>
              <w:top w:val="single" w:sz="4" w:space="0" w:color="auto"/>
              <w:left w:val="nil"/>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数量</w:t>
            </w:r>
          </w:p>
        </w:tc>
        <w:tc>
          <w:tcPr>
            <w:tcW w:w="3624" w:type="dxa"/>
            <w:tcBorders>
              <w:top w:val="single" w:sz="4" w:space="0" w:color="auto"/>
              <w:left w:val="nil"/>
              <w:bottom w:val="single" w:sz="4" w:space="0" w:color="auto"/>
              <w:right w:val="single" w:sz="4" w:space="0" w:color="auto"/>
            </w:tcBorders>
            <w:vAlign w:val="center"/>
          </w:tcPr>
          <w:p w:rsidR="004D1C52" w:rsidRDefault="004D1C52" w:rsidP="00E5213B">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价值（金额单位：元）</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资产总额</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A47F0A" w:rsidP="00723676">
            <w:pPr>
              <w:widowControl/>
              <w:spacing w:line="500" w:lineRule="exact"/>
              <w:jc w:val="center"/>
              <w:rPr>
                <w:rFonts w:eastAsia="仿宋"/>
                <w:kern w:val="0"/>
                <w:sz w:val="32"/>
                <w:szCs w:val="32"/>
              </w:rPr>
            </w:pPr>
            <w:r>
              <w:rPr>
                <w:rFonts w:eastAsia="仿宋" w:hint="eastAsia"/>
                <w:kern w:val="0"/>
                <w:sz w:val="32"/>
                <w:szCs w:val="32"/>
              </w:rPr>
              <w:t>1204145.23</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房屋（平方米）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left"/>
              <w:rPr>
                <w:rFonts w:eastAsia="仿宋"/>
                <w:kern w:val="0"/>
                <w:sz w:val="32"/>
                <w:szCs w:val="32"/>
              </w:rPr>
            </w:pPr>
            <w:r>
              <w:rPr>
                <w:rFonts w:eastAsia="仿宋"/>
                <w:kern w:val="0"/>
                <w:sz w:val="32"/>
                <w:szCs w:val="32"/>
              </w:rPr>
              <w:t>其中：办公用房（平方米）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车辆（台、辆）</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227600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单价在</w:t>
            </w:r>
            <w:r>
              <w:rPr>
                <w:rFonts w:eastAsia="仿宋"/>
                <w:kern w:val="0"/>
                <w:sz w:val="32"/>
                <w:szCs w:val="32"/>
              </w:rPr>
              <w:t>20</w:t>
            </w:r>
            <w:r>
              <w:rPr>
                <w:rFonts w:eastAsia="仿宋"/>
                <w:kern w:val="0"/>
                <w:sz w:val="32"/>
                <w:szCs w:val="32"/>
              </w:rPr>
              <w:t>万元以上设备</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其他固定资产</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A47F0A" w:rsidP="00723676">
            <w:pPr>
              <w:widowControl/>
              <w:spacing w:line="500" w:lineRule="exact"/>
              <w:jc w:val="center"/>
              <w:rPr>
                <w:rFonts w:eastAsia="仿宋"/>
                <w:kern w:val="0"/>
                <w:sz w:val="32"/>
                <w:szCs w:val="32"/>
              </w:rPr>
            </w:pPr>
            <w:r>
              <w:rPr>
                <w:rFonts w:eastAsia="仿宋" w:hint="eastAsia"/>
                <w:kern w:val="0"/>
                <w:sz w:val="32"/>
                <w:szCs w:val="32"/>
              </w:rPr>
              <w:t>376545.23</w:t>
            </w:r>
          </w:p>
        </w:tc>
      </w:tr>
    </w:tbl>
    <w:tbl>
      <w:tblPr>
        <w:tblStyle w:val="a3"/>
        <w:tblpPr w:leftFromText="180" w:rightFromText="180" w:vertAnchor="text" w:tblpX="10427" w:tblpY="-468"/>
        <w:tblOverlap w:val="never"/>
        <w:tblW w:w="0" w:type="auto"/>
        <w:tblLayout w:type="fixed"/>
        <w:tblLook w:val="0000"/>
      </w:tblPr>
      <w:tblGrid>
        <w:gridCol w:w="12968"/>
      </w:tblGrid>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bl>
    <w:p w:rsidR="00BC3C07" w:rsidRDefault="00BC3C07" w:rsidP="00D90BD4">
      <w:pPr>
        <w:shd w:val="clear" w:color="auto" w:fill="FFFFFF"/>
        <w:spacing w:line="590" w:lineRule="exact"/>
        <w:jc w:val="left"/>
        <w:rPr>
          <w:rFonts w:ascii="方正黑体简体" w:eastAsia="方正黑体简体" w:hAnsi="方正黑体简体" w:cs="方正黑体简体"/>
          <w:kern w:val="0"/>
          <w:sz w:val="32"/>
          <w:szCs w:val="32"/>
        </w:rPr>
      </w:pPr>
    </w:p>
    <w:p w:rsidR="004D1C52" w:rsidRDefault="004D1C52" w:rsidP="00D90BD4">
      <w:pPr>
        <w:shd w:val="clear" w:color="auto" w:fill="FFFFFF"/>
        <w:spacing w:line="590" w:lineRule="exact"/>
        <w:jc w:val="left"/>
        <w:rPr>
          <w:rFonts w:eastAsia="方正仿宋简体"/>
          <w:kern w:val="0"/>
          <w:sz w:val="32"/>
          <w:szCs w:val="32"/>
        </w:rPr>
      </w:pPr>
      <w:r>
        <w:rPr>
          <w:rFonts w:ascii="方正黑体简体" w:eastAsia="方正黑体简体" w:hAnsi="方正黑体简体" w:cs="方正黑体简体" w:hint="eastAsia"/>
          <w:kern w:val="0"/>
          <w:sz w:val="32"/>
          <w:szCs w:val="32"/>
        </w:rPr>
        <w:lastRenderedPageBreak/>
        <w:t>八、专业名词解释</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(一)财政拨款收入:指本年度从区级财政部门取得的财政拨款。</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 xml:space="preserve"> (二)基本支出:指为保障机构正常运转、完成日常工作任务而发生的人员支出和公用支出。</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(三)项目支出:指在基本支出之外为完成特定行政任务和事业发展目标所发生的支出。</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四)“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(十一)其他交通费用:指单位除公务用车运行维护费以外的其他交通费用。主要是行政机关及参公事业单位发放的公务交通补贴等。</w:t>
      </w:r>
    </w:p>
    <w:p w:rsidR="00CE2AD3" w:rsidRPr="00F84BAA" w:rsidRDefault="00CE2AD3" w:rsidP="00CE2AD3">
      <w:pPr>
        <w:spacing w:line="560" w:lineRule="exact"/>
        <w:ind w:firstLineChars="200" w:firstLine="560"/>
        <w:jc w:val="left"/>
        <w:rPr>
          <w:rFonts w:ascii="宋体" w:hAnsi="宋体"/>
          <w:sz w:val="28"/>
          <w:szCs w:val="28"/>
        </w:rPr>
      </w:pPr>
      <w:r w:rsidRPr="00F84BAA">
        <w:rPr>
          <w:rFonts w:ascii="宋体" w:hAnsi="宋体" w:hint="eastAsia"/>
          <w:sz w:val="28"/>
          <w:szCs w:val="28"/>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D1C52" w:rsidRDefault="004D1C52" w:rsidP="00D90BD4">
      <w:pPr>
        <w:shd w:val="clear" w:color="auto" w:fill="FFFFFF"/>
        <w:spacing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九、其他需说明的事项</w:t>
      </w:r>
    </w:p>
    <w:p w:rsidR="00CE2AD3" w:rsidRPr="00F84BAA" w:rsidRDefault="00CE2AD3" w:rsidP="00CE2AD3">
      <w:pPr>
        <w:shd w:val="clear" w:color="auto" w:fill="FFFFFF"/>
        <w:spacing w:line="580" w:lineRule="exact"/>
        <w:ind w:firstLineChars="200" w:firstLine="560"/>
        <w:jc w:val="left"/>
        <w:rPr>
          <w:rFonts w:ascii="宋体" w:hAnsi="宋体" w:cs="宋体"/>
          <w:kern w:val="0"/>
          <w:sz w:val="28"/>
          <w:szCs w:val="28"/>
        </w:rPr>
      </w:pPr>
      <w:r w:rsidRPr="00F84BAA">
        <w:rPr>
          <w:rFonts w:ascii="宋体" w:hAnsi="宋体" w:cs="宋体" w:hint="eastAsia"/>
          <w:kern w:val="0"/>
          <w:sz w:val="28"/>
          <w:szCs w:val="28"/>
        </w:rPr>
        <w:t>20</w:t>
      </w:r>
      <w:r>
        <w:rPr>
          <w:rFonts w:ascii="宋体" w:hAnsi="宋体" w:cs="宋体" w:hint="eastAsia"/>
          <w:kern w:val="0"/>
          <w:sz w:val="28"/>
          <w:szCs w:val="28"/>
        </w:rPr>
        <w:t>2</w:t>
      </w:r>
      <w:r w:rsidR="00A47F0A">
        <w:rPr>
          <w:rFonts w:ascii="宋体" w:hAnsi="宋体" w:cs="宋体" w:hint="eastAsia"/>
          <w:kern w:val="0"/>
          <w:sz w:val="28"/>
          <w:szCs w:val="28"/>
        </w:rPr>
        <w:t>1</w:t>
      </w:r>
      <w:r w:rsidRPr="00F84BAA">
        <w:rPr>
          <w:rFonts w:ascii="宋体" w:hAnsi="宋体" w:cs="宋体" w:hint="eastAsia"/>
          <w:kern w:val="0"/>
          <w:sz w:val="28"/>
          <w:szCs w:val="28"/>
        </w:rPr>
        <w:t>年无政府性基金支出和国有资本经营性支出。</w:t>
      </w:r>
    </w:p>
    <w:p w:rsidR="004D1C52" w:rsidRDefault="004D1C52" w:rsidP="004D1C52">
      <w:pPr>
        <w:spacing w:line="560" w:lineRule="exact"/>
        <w:rPr>
          <w:rFonts w:eastAsia="方正仿宋简体"/>
          <w:color w:val="000000"/>
          <w:sz w:val="32"/>
          <w:szCs w:val="32"/>
        </w:rPr>
      </w:pPr>
    </w:p>
    <w:p w:rsidR="00CB5867" w:rsidRDefault="00CB5867"/>
    <w:sectPr w:rsidR="00CB5867" w:rsidSect="00CB5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2D" w:rsidRDefault="00372D2D" w:rsidP="002D3FDF">
      <w:r>
        <w:separator/>
      </w:r>
    </w:p>
  </w:endnote>
  <w:endnote w:type="continuationSeparator" w:id="0">
    <w:p w:rsidR="00372D2D" w:rsidRDefault="00372D2D" w:rsidP="002D3F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方正黑体简体">
    <w:altName w:val="微软雅黑"/>
    <w:charset w:val="86"/>
    <w:family w:val="script"/>
    <w:pitch w:val="default"/>
    <w:sig w:usb0="00000000" w:usb1="080E0000" w:usb2="00000000" w:usb3="00000000" w:csb0="00040000" w:csb1="00000000"/>
  </w:font>
  <w:font w:name="方正仿宋简体">
    <w:altName w:val="微软雅黑"/>
    <w:charset w:val="86"/>
    <w:family w:val="script"/>
    <w:pitch w:val="default"/>
    <w:sig w:usb0="00000000" w:usb1="080E0000" w:usb2="0000000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2D" w:rsidRDefault="00372D2D" w:rsidP="002D3FDF">
      <w:r>
        <w:separator/>
      </w:r>
    </w:p>
  </w:footnote>
  <w:footnote w:type="continuationSeparator" w:id="0">
    <w:p w:rsidR="00372D2D" w:rsidRDefault="00372D2D" w:rsidP="002D3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6B665"/>
    <w:multiLevelType w:val="singleLevel"/>
    <w:tmpl w:val="9AE6B66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C52"/>
    <w:rsid w:val="00076BFE"/>
    <w:rsid w:val="000C5B9A"/>
    <w:rsid w:val="001B29FC"/>
    <w:rsid w:val="002A3A95"/>
    <w:rsid w:val="002D3FDF"/>
    <w:rsid w:val="002F3DDF"/>
    <w:rsid w:val="00372D2D"/>
    <w:rsid w:val="003B408A"/>
    <w:rsid w:val="00411EB7"/>
    <w:rsid w:val="00471FC0"/>
    <w:rsid w:val="004A1ADC"/>
    <w:rsid w:val="004D1C52"/>
    <w:rsid w:val="004D5F83"/>
    <w:rsid w:val="00585960"/>
    <w:rsid w:val="006C6BA6"/>
    <w:rsid w:val="007C2A60"/>
    <w:rsid w:val="00837CD1"/>
    <w:rsid w:val="0087023F"/>
    <w:rsid w:val="008C1A47"/>
    <w:rsid w:val="0092006A"/>
    <w:rsid w:val="00957F4E"/>
    <w:rsid w:val="00985D14"/>
    <w:rsid w:val="00A47F0A"/>
    <w:rsid w:val="00A653F7"/>
    <w:rsid w:val="00AD672F"/>
    <w:rsid w:val="00B1792A"/>
    <w:rsid w:val="00B31EAC"/>
    <w:rsid w:val="00BC3C07"/>
    <w:rsid w:val="00BE33AB"/>
    <w:rsid w:val="00CB5867"/>
    <w:rsid w:val="00CE2AD3"/>
    <w:rsid w:val="00D90BD4"/>
    <w:rsid w:val="00E10292"/>
    <w:rsid w:val="00E23C50"/>
    <w:rsid w:val="00E347B6"/>
    <w:rsid w:val="00E5213B"/>
    <w:rsid w:val="00FC7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
    <w:name w:val="Char Char Char1 Char"/>
    <w:basedOn w:val="a"/>
    <w:rsid w:val="004D1C52"/>
  </w:style>
  <w:style w:type="table" w:styleId="a3">
    <w:name w:val="Table Grid"/>
    <w:basedOn w:val="a1"/>
    <w:rsid w:val="004D1C5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D3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3FDF"/>
    <w:rPr>
      <w:rFonts w:ascii="Times New Roman" w:eastAsia="宋体" w:hAnsi="Times New Roman" w:cs="Times New Roman"/>
      <w:sz w:val="18"/>
      <w:szCs w:val="18"/>
    </w:rPr>
  </w:style>
  <w:style w:type="paragraph" w:styleId="a5">
    <w:name w:val="footer"/>
    <w:basedOn w:val="a"/>
    <w:link w:val="Char0"/>
    <w:uiPriority w:val="99"/>
    <w:semiHidden/>
    <w:unhideWhenUsed/>
    <w:rsid w:val="002D3FD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D3F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B7160C-49EF-4A58-904A-8A9A1B8A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2021-03-10T01:50:00Z</dcterms:created>
  <dcterms:modified xsi:type="dcterms:W3CDTF">2024-03-19T08:36:00Z</dcterms:modified>
</cp:coreProperties>
</file>