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pPr>
        <w:pStyle w:val="30"/>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6</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1</w:t>
      </w:r>
    </w:p>
    <w:p>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2</w:t>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一、唐山市自然资源和规划局丰润区分局本级收支预算</w:t>
      </w:r>
      <w:r>
        <w:tab/>
      </w:r>
      <w:r>
        <w:rPr>
          <w:rFonts w:hint="eastAsia"/>
          <w:lang w:val="en-US" w:eastAsia="zh-CN"/>
        </w:rPr>
        <w:t>6</w:t>
      </w:r>
      <w:r>
        <w:fldChar w:fldCharType="end"/>
      </w:r>
      <w:r>
        <w:rPr>
          <w:rFonts w:hint="eastAsia"/>
          <w:lang w:val="en-US" w:eastAsia="zh-CN"/>
        </w:rPr>
        <w:t>4</w:t>
      </w:r>
    </w:p>
    <w:p>
      <w:pPr>
        <w:pStyle w:val="30"/>
        <w:tabs>
          <w:tab w:val="right" w:leader="dot" w:pos="14562"/>
        </w:tabs>
        <w:rPr>
          <w:rFonts w:hint="default" w:eastAsia="方正仿宋_GBK"/>
          <w:lang w:val="en-US" w:eastAsia="zh-CN"/>
        </w:rPr>
      </w:pP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1867.55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29885.84</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r>
              <w:t>1820.93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31753.40</w:t>
            </w:r>
          </w:p>
        </w:tc>
        <w:tc>
          <w:tcPr>
            <w:tcW w:w="4535" w:type="dxa"/>
            <w:vAlign w:val="center"/>
          </w:tcPr>
          <w:p>
            <w:pPr>
              <w:pStyle w:val="12"/>
            </w:pPr>
            <w:r>
              <w:t>本年支出合计</w:t>
            </w:r>
          </w:p>
        </w:tc>
        <w:tc>
          <w:tcPr>
            <w:tcW w:w="2126" w:type="dxa"/>
            <w:vAlign w:val="center"/>
          </w:tcPr>
          <w:p>
            <w:pPr>
              <w:pStyle w:val="13"/>
            </w:pPr>
            <w:r>
              <w:t>31753.40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31753.40</w:t>
            </w:r>
          </w:p>
        </w:tc>
        <w:tc>
          <w:tcPr>
            <w:tcW w:w="4535" w:type="dxa"/>
            <w:vAlign w:val="center"/>
          </w:tcPr>
          <w:p>
            <w:pPr>
              <w:pStyle w:val="12"/>
            </w:pPr>
            <w:r>
              <w:t>支出总计</w:t>
            </w:r>
          </w:p>
        </w:tc>
        <w:tc>
          <w:tcPr>
            <w:tcW w:w="2126" w:type="dxa"/>
            <w:vAlign w:val="center"/>
          </w:tcPr>
          <w:p>
            <w:pPr>
              <w:pStyle w:val="13"/>
            </w:pPr>
            <w:r>
              <w:t>31753.40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31753.40</w:t>
            </w:r>
          </w:p>
        </w:tc>
        <w:tc>
          <w:tcPr>
            <w:tcW w:w="1134" w:type="dxa"/>
            <w:vAlign w:val="center"/>
          </w:tcPr>
          <w:p>
            <w:pPr>
              <w:pStyle w:val="13"/>
            </w:pPr>
            <w:r>
              <w:t>31753.40</w:t>
            </w:r>
          </w:p>
        </w:tc>
        <w:tc>
          <w:tcPr>
            <w:tcW w:w="1134" w:type="dxa"/>
            <w:vAlign w:val="center"/>
          </w:tcPr>
          <w:p>
            <w:pPr>
              <w:pStyle w:val="13"/>
            </w:pPr>
            <w:r>
              <w:t>31753.40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2120801</w:t>
            </w:r>
          </w:p>
        </w:tc>
        <w:tc>
          <w:tcPr>
            <w:tcW w:w="1559" w:type="dxa"/>
            <w:vAlign w:val="center"/>
          </w:tcPr>
          <w:p>
            <w:pPr>
              <w:pStyle w:val="10"/>
            </w:pPr>
            <w:r>
              <w:t>征地和拆迁补偿支出</w:t>
            </w:r>
          </w:p>
        </w:tc>
        <w:tc>
          <w:tcPr>
            <w:tcW w:w="1134" w:type="dxa"/>
            <w:vAlign w:val="center"/>
          </w:tcPr>
          <w:p>
            <w:pPr>
              <w:pStyle w:val="9"/>
            </w:pPr>
            <w:r>
              <w:t>27446.22</w:t>
            </w:r>
          </w:p>
        </w:tc>
        <w:tc>
          <w:tcPr>
            <w:tcW w:w="1134" w:type="dxa"/>
            <w:vAlign w:val="center"/>
          </w:tcPr>
          <w:p>
            <w:pPr>
              <w:pStyle w:val="9"/>
            </w:pPr>
            <w:r>
              <w:t>27446.22</w:t>
            </w:r>
          </w:p>
        </w:tc>
        <w:tc>
          <w:tcPr>
            <w:tcW w:w="1134" w:type="dxa"/>
            <w:vAlign w:val="center"/>
          </w:tcPr>
          <w:p>
            <w:pPr>
              <w:pStyle w:val="9"/>
            </w:pPr>
            <w:r>
              <w:t>27446.22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2120802</w:t>
            </w:r>
          </w:p>
        </w:tc>
        <w:tc>
          <w:tcPr>
            <w:tcW w:w="1559" w:type="dxa"/>
            <w:vAlign w:val="center"/>
          </w:tcPr>
          <w:p>
            <w:pPr>
              <w:pStyle w:val="10"/>
            </w:pPr>
            <w:r>
              <w:t>土地开发支出</w:t>
            </w:r>
          </w:p>
        </w:tc>
        <w:tc>
          <w:tcPr>
            <w:tcW w:w="1134" w:type="dxa"/>
            <w:vAlign w:val="center"/>
          </w:tcPr>
          <w:p>
            <w:pPr>
              <w:pStyle w:val="9"/>
            </w:pPr>
            <w:r>
              <w:t>1783.62</w:t>
            </w:r>
          </w:p>
        </w:tc>
        <w:tc>
          <w:tcPr>
            <w:tcW w:w="1134" w:type="dxa"/>
            <w:vAlign w:val="center"/>
          </w:tcPr>
          <w:p>
            <w:pPr>
              <w:pStyle w:val="9"/>
            </w:pPr>
            <w:r>
              <w:t>1783.62</w:t>
            </w:r>
          </w:p>
        </w:tc>
        <w:tc>
          <w:tcPr>
            <w:tcW w:w="1134" w:type="dxa"/>
            <w:vAlign w:val="center"/>
          </w:tcPr>
          <w:p>
            <w:pPr>
              <w:pStyle w:val="9"/>
            </w:pPr>
            <w:r>
              <w:t>1783.62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2120806</w:t>
            </w:r>
          </w:p>
        </w:tc>
        <w:tc>
          <w:tcPr>
            <w:tcW w:w="1559" w:type="dxa"/>
            <w:vAlign w:val="center"/>
          </w:tcPr>
          <w:p>
            <w:pPr>
              <w:pStyle w:val="10"/>
            </w:pPr>
            <w:r>
              <w:t>土地出让业务支出</w:t>
            </w:r>
          </w:p>
        </w:tc>
        <w:tc>
          <w:tcPr>
            <w:tcW w:w="1134" w:type="dxa"/>
            <w:vAlign w:val="center"/>
          </w:tcPr>
          <w:p>
            <w:pPr>
              <w:pStyle w:val="9"/>
            </w:pPr>
            <w:r>
              <w:t>656.00</w:t>
            </w:r>
          </w:p>
        </w:tc>
        <w:tc>
          <w:tcPr>
            <w:tcW w:w="1134" w:type="dxa"/>
            <w:vAlign w:val="center"/>
          </w:tcPr>
          <w:p>
            <w:pPr>
              <w:pStyle w:val="9"/>
            </w:pPr>
            <w:r>
              <w:t>656.00</w:t>
            </w:r>
          </w:p>
        </w:tc>
        <w:tc>
          <w:tcPr>
            <w:tcW w:w="1134" w:type="dxa"/>
            <w:vAlign w:val="center"/>
          </w:tcPr>
          <w:p>
            <w:pPr>
              <w:pStyle w:val="9"/>
            </w:pPr>
            <w:r>
              <w:t>656.00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220</w:t>
            </w:r>
          </w:p>
        </w:tc>
        <w:tc>
          <w:tcPr>
            <w:tcW w:w="1559" w:type="dxa"/>
            <w:vAlign w:val="center"/>
          </w:tcPr>
          <w:p>
            <w:pPr>
              <w:pStyle w:val="10"/>
            </w:pPr>
            <w:r>
              <w:t>自然资源海洋气象等支出</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22001</w:t>
            </w:r>
          </w:p>
        </w:tc>
        <w:tc>
          <w:tcPr>
            <w:tcW w:w="1559" w:type="dxa"/>
            <w:vAlign w:val="center"/>
          </w:tcPr>
          <w:p>
            <w:pPr>
              <w:pStyle w:val="10"/>
            </w:pPr>
            <w:r>
              <w:t>自然资源事务</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2200101</w:t>
            </w:r>
          </w:p>
        </w:tc>
        <w:tc>
          <w:tcPr>
            <w:tcW w:w="1559" w:type="dxa"/>
            <w:vAlign w:val="center"/>
          </w:tcPr>
          <w:p>
            <w:pPr>
              <w:pStyle w:val="10"/>
            </w:pPr>
            <w:r>
              <w:t>行政运行</w:t>
            </w:r>
          </w:p>
        </w:tc>
        <w:tc>
          <w:tcPr>
            <w:tcW w:w="1134" w:type="dxa"/>
            <w:vAlign w:val="center"/>
          </w:tcPr>
          <w:p>
            <w:pPr>
              <w:pStyle w:val="9"/>
            </w:pPr>
            <w:r>
              <w:t>865.65</w:t>
            </w:r>
          </w:p>
        </w:tc>
        <w:tc>
          <w:tcPr>
            <w:tcW w:w="1134" w:type="dxa"/>
            <w:vAlign w:val="center"/>
          </w:tcPr>
          <w:p>
            <w:pPr>
              <w:pStyle w:val="9"/>
            </w:pPr>
            <w:r>
              <w:t>865.65</w:t>
            </w:r>
          </w:p>
        </w:tc>
        <w:tc>
          <w:tcPr>
            <w:tcW w:w="1134" w:type="dxa"/>
            <w:vAlign w:val="center"/>
          </w:tcPr>
          <w:p>
            <w:pPr>
              <w:pStyle w:val="9"/>
            </w:pPr>
            <w:r>
              <w:t>865.65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2200114</w:t>
            </w:r>
          </w:p>
        </w:tc>
        <w:tc>
          <w:tcPr>
            <w:tcW w:w="1559" w:type="dxa"/>
            <w:vAlign w:val="center"/>
          </w:tcPr>
          <w:p>
            <w:pPr>
              <w:pStyle w:val="10"/>
            </w:pPr>
            <w:r>
              <w:t>地质勘查与矿产资源管理</w:t>
            </w:r>
          </w:p>
        </w:tc>
        <w:tc>
          <w:tcPr>
            <w:tcW w:w="1134" w:type="dxa"/>
            <w:vAlign w:val="center"/>
          </w:tcPr>
          <w:p>
            <w:pPr>
              <w:pStyle w:val="9"/>
            </w:pPr>
            <w:r>
              <w:t>955.28</w:t>
            </w:r>
          </w:p>
        </w:tc>
        <w:tc>
          <w:tcPr>
            <w:tcW w:w="1134" w:type="dxa"/>
            <w:vAlign w:val="center"/>
          </w:tcPr>
          <w:p>
            <w:pPr>
              <w:pStyle w:val="9"/>
            </w:pPr>
            <w:r>
              <w:t>955.28</w:t>
            </w:r>
          </w:p>
        </w:tc>
        <w:tc>
          <w:tcPr>
            <w:tcW w:w="1134" w:type="dxa"/>
            <w:vAlign w:val="center"/>
          </w:tcPr>
          <w:p>
            <w:pPr>
              <w:pStyle w:val="9"/>
            </w:pPr>
            <w:r>
              <w:t>955.28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31753.40</w:t>
            </w:r>
          </w:p>
        </w:tc>
        <w:tc>
          <w:tcPr>
            <w:tcW w:w="1361" w:type="dxa"/>
            <w:vAlign w:val="center"/>
          </w:tcPr>
          <w:p>
            <w:pPr>
              <w:pStyle w:val="13"/>
            </w:pPr>
            <w:r>
              <w:t>912.27</w:t>
            </w:r>
          </w:p>
        </w:tc>
        <w:tc>
          <w:tcPr>
            <w:tcW w:w="1361" w:type="dxa"/>
            <w:vAlign w:val="center"/>
          </w:tcPr>
          <w:p>
            <w:pPr>
              <w:pStyle w:val="13"/>
            </w:pPr>
            <w:r>
              <w:t>30841.12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17.01</w:t>
            </w:r>
          </w:p>
        </w:tc>
        <w:tc>
          <w:tcPr>
            <w:tcW w:w="1361" w:type="dxa"/>
            <w:vAlign w:val="center"/>
          </w:tcPr>
          <w:p>
            <w:pPr>
              <w:pStyle w:val="9"/>
            </w:pPr>
            <w:r>
              <w:t>17.01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17.01</w:t>
            </w:r>
          </w:p>
        </w:tc>
        <w:tc>
          <w:tcPr>
            <w:tcW w:w="1361" w:type="dxa"/>
            <w:vAlign w:val="center"/>
          </w:tcPr>
          <w:p>
            <w:pPr>
              <w:pStyle w:val="9"/>
            </w:pPr>
            <w:r>
              <w:t>17.01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17.01</w:t>
            </w:r>
          </w:p>
        </w:tc>
        <w:tc>
          <w:tcPr>
            <w:tcW w:w="1361" w:type="dxa"/>
            <w:vAlign w:val="center"/>
          </w:tcPr>
          <w:p>
            <w:pPr>
              <w:pStyle w:val="9"/>
            </w:pPr>
            <w:r>
              <w:t>17.01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16.86</w:t>
            </w:r>
          </w:p>
        </w:tc>
        <w:tc>
          <w:tcPr>
            <w:tcW w:w="1361" w:type="dxa"/>
            <w:vAlign w:val="center"/>
          </w:tcPr>
          <w:p>
            <w:pPr>
              <w:pStyle w:val="9"/>
            </w:pPr>
            <w:r>
              <w:t>16.86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16.86</w:t>
            </w:r>
          </w:p>
        </w:tc>
        <w:tc>
          <w:tcPr>
            <w:tcW w:w="1361" w:type="dxa"/>
            <w:vAlign w:val="center"/>
          </w:tcPr>
          <w:p>
            <w:pPr>
              <w:pStyle w:val="9"/>
            </w:pPr>
            <w:r>
              <w:t>16.86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16.86</w:t>
            </w:r>
          </w:p>
        </w:tc>
        <w:tc>
          <w:tcPr>
            <w:tcW w:w="1361" w:type="dxa"/>
            <w:vAlign w:val="center"/>
          </w:tcPr>
          <w:p>
            <w:pPr>
              <w:pStyle w:val="9"/>
            </w:pPr>
            <w:r>
              <w:t>16.86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2120801</w:t>
            </w:r>
          </w:p>
        </w:tc>
        <w:tc>
          <w:tcPr>
            <w:tcW w:w="4535" w:type="dxa"/>
            <w:vAlign w:val="center"/>
          </w:tcPr>
          <w:p>
            <w:pPr>
              <w:pStyle w:val="10"/>
            </w:pPr>
            <w:r>
              <w:t>征地和拆迁补偿支出</w:t>
            </w:r>
          </w:p>
        </w:tc>
        <w:tc>
          <w:tcPr>
            <w:tcW w:w="1361" w:type="dxa"/>
            <w:vAlign w:val="center"/>
          </w:tcPr>
          <w:p>
            <w:pPr>
              <w:pStyle w:val="9"/>
            </w:pPr>
            <w:r>
              <w:t>27446.22</w:t>
            </w:r>
          </w:p>
        </w:tc>
        <w:tc>
          <w:tcPr>
            <w:tcW w:w="1361" w:type="dxa"/>
            <w:vAlign w:val="center"/>
          </w:tcPr>
          <w:p>
            <w:pPr>
              <w:pStyle w:val="9"/>
            </w:pPr>
          </w:p>
        </w:tc>
        <w:tc>
          <w:tcPr>
            <w:tcW w:w="1361" w:type="dxa"/>
            <w:vAlign w:val="center"/>
          </w:tcPr>
          <w:p>
            <w:pPr>
              <w:pStyle w:val="9"/>
            </w:pPr>
            <w:r>
              <w:t>27446.22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2120802</w:t>
            </w:r>
          </w:p>
        </w:tc>
        <w:tc>
          <w:tcPr>
            <w:tcW w:w="4535" w:type="dxa"/>
            <w:vAlign w:val="center"/>
          </w:tcPr>
          <w:p>
            <w:pPr>
              <w:pStyle w:val="10"/>
            </w:pPr>
            <w:r>
              <w:t>土地开发支出</w:t>
            </w:r>
          </w:p>
        </w:tc>
        <w:tc>
          <w:tcPr>
            <w:tcW w:w="1361" w:type="dxa"/>
            <w:vAlign w:val="center"/>
          </w:tcPr>
          <w:p>
            <w:pPr>
              <w:pStyle w:val="9"/>
            </w:pPr>
            <w:r>
              <w:t>1783.62</w:t>
            </w:r>
          </w:p>
        </w:tc>
        <w:tc>
          <w:tcPr>
            <w:tcW w:w="1361" w:type="dxa"/>
            <w:vAlign w:val="center"/>
          </w:tcPr>
          <w:p>
            <w:pPr>
              <w:pStyle w:val="9"/>
            </w:pPr>
          </w:p>
        </w:tc>
        <w:tc>
          <w:tcPr>
            <w:tcW w:w="1361" w:type="dxa"/>
            <w:vAlign w:val="center"/>
          </w:tcPr>
          <w:p>
            <w:pPr>
              <w:pStyle w:val="9"/>
            </w:pPr>
            <w:r>
              <w:t>1783.62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2120806</w:t>
            </w:r>
          </w:p>
        </w:tc>
        <w:tc>
          <w:tcPr>
            <w:tcW w:w="4535" w:type="dxa"/>
            <w:vAlign w:val="center"/>
          </w:tcPr>
          <w:p>
            <w:pPr>
              <w:pStyle w:val="10"/>
            </w:pPr>
            <w:r>
              <w:t>土地出让业务支出</w:t>
            </w:r>
          </w:p>
        </w:tc>
        <w:tc>
          <w:tcPr>
            <w:tcW w:w="1361" w:type="dxa"/>
            <w:vAlign w:val="center"/>
          </w:tcPr>
          <w:p>
            <w:pPr>
              <w:pStyle w:val="9"/>
            </w:pPr>
            <w:r>
              <w:t>656.00</w:t>
            </w:r>
          </w:p>
        </w:tc>
        <w:tc>
          <w:tcPr>
            <w:tcW w:w="1361" w:type="dxa"/>
            <w:vAlign w:val="center"/>
          </w:tcPr>
          <w:p>
            <w:pPr>
              <w:pStyle w:val="9"/>
            </w:pPr>
          </w:p>
        </w:tc>
        <w:tc>
          <w:tcPr>
            <w:tcW w:w="1361" w:type="dxa"/>
            <w:vAlign w:val="center"/>
          </w:tcPr>
          <w:p>
            <w:pPr>
              <w:pStyle w:val="9"/>
            </w:pPr>
            <w:r>
              <w:t>656.00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220</w:t>
            </w:r>
          </w:p>
        </w:tc>
        <w:tc>
          <w:tcPr>
            <w:tcW w:w="4535" w:type="dxa"/>
            <w:vAlign w:val="center"/>
          </w:tcPr>
          <w:p>
            <w:pPr>
              <w:pStyle w:val="10"/>
            </w:pPr>
            <w:r>
              <w:t>自然资源海洋气象等支出</w:t>
            </w:r>
          </w:p>
        </w:tc>
        <w:tc>
          <w:tcPr>
            <w:tcW w:w="1361" w:type="dxa"/>
            <w:vAlign w:val="center"/>
          </w:tcPr>
          <w:p>
            <w:pPr>
              <w:pStyle w:val="9"/>
            </w:pPr>
            <w:r>
              <w:t>1820.93</w:t>
            </w:r>
          </w:p>
        </w:tc>
        <w:tc>
          <w:tcPr>
            <w:tcW w:w="1361" w:type="dxa"/>
            <w:vAlign w:val="center"/>
          </w:tcPr>
          <w:p>
            <w:pPr>
              <w:pStyle w:val="9"/>
            </w:pPr>
            <w:r>
              <w:t>865.65</w:t>
            </w: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22001</w:t>
            </w:r>
          </w:p>
        </w:tc>
        <w:tc>
          <w:tcPr>
            <w:tcW w:w="4535" w:type="dxa"/>
            <w:vAlign w:val="center"/>
          </w:tcPr>
          <w:p>
            <w:pPr>
              <w:pStyle w:val="10"/>
            </w:pPr>
            <w:r>
              <w:t>自然资源事务</w:t>
            </w:r>
          </w:p>
        </w:tc>
        <w:tc>
          <w:tcPr>
            <w:tcW w:w="1361" w:type="dxa"/>
            <w:vAlign w:val="center"/>
          </w:tcPr>
          <w:p>
            <w:pPr>
              <w:pStyle w:val="9"/>
            </w:pPr>
            <w:r>
              <w:t>1820.93</w:t>
            </w:r>
          </w:p>
        </w:tc>
        <w:tc>
          <w:tcPr>
            <w:tcW w:w="1361" w:type="dxa"/>
            <w:vAlign w:val="center"/>
          </w:tcPr>
          <w:p>
            <w:pPr>
              <w:pStyle w:val="9"/>
            </w:pPr>
            <w:r>
              <w:t>865.65</w:t>
            </w: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2200101</w:t>
            </w:r>
          </w:p>
        </w:tc>
        <w:tc>
          <w:tcPr>
            <w:tcW w:w="4535" w:type="dxa"/>
            <w:vAlign w:val="center"/>
          </w:tcPr>
          <w:p>
            <w:pPr>
              <w:pStyle w:val="10"/>
            </w:pPr>
            <w:r>
              <w:t>行政运行</w:t>
            </w:r>
          </w:p>
        </w:tc>
        <w:tc>
          <w:tcPr>
            <w:tcW w:w="1361" w:type="dxa"/>
            <w:vAlign w:val="center"/>
          </w:tcPr>
          <w:p>
            <w:pPr>
              <w:pStyle w:val="9"/>
            </w:pPr>
            <w:r>
              <w:t>865.65</w:t>
            </w:r>
          </w:p>
        </w:tc>
        <w:tc>
          <w:tcPr>
            <w:tcW w:w="1361" w:type="dxa"/>
            <w:vAlign w:val="center"/>
          </w:tcPr>
          <w:p>
            <w:pPr>
              <w:pStyle w:val="9"/>
            </w:pPr>
            <w:r>
              <w:t>865.65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2200114</w:t>
            </w:r>
          </w:p>
        </w:tc>
        <w:tc>
          <w:tcPr>
            <w:tcW w:w="4535" w:type="dxa"/>
            <w:vAlign w:val="center"/>
          </w:tcPr>
          <w:p>
            <w:pPr>
              <w:pStyle w:val="10"/>
            </w:pPr>
            <w:r>
              <w:t>地质勘查与矿产资源管理</w:t>
            </w: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12.76</w:t>
            </w:r>
          </w:p>
        </w:tc>
        <w:tc>
          <w:tcPr>
            <w:tcW w:w="1361" w:type="dxa"/>
            <w:vAlign w:val="center"/>
          </w:tcPr>
          <w:p>
            <w:pPr>
              <w:pStyle w:val="9"/>
            </w:pPr>
            <w:r>
              <w:t>12.76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12.76</w:t>
            </w:r>
          </w:p>
        </w:tc>
        <w:tc>
          <w:tcPr>
            <w:tcW w:w="1361" w:type="dxa"/>
            <w:vAlign w:val="center"/>
          </w:tcPr>
          <w:p>
            <w:pPr>
              <w:pStyle w:val="9"/>
            </w:pPr>
            <w:r>
              <w:t>12.76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12.76</w:t>
            </w:r>
          </w:p>
        </w:tc>
        <w:tc>
          <w:tcPr>
            <w:tcW w:w="1361" w:type="dxa"/>
            <w:vAlign w:val="center"/>
          </w:tcPr>
          <w:p>
            <w:pPr>
              <w:pStyle w:val="9"/>
            </w:pPr>
            <w:r>
              <w:t>12.76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1867.55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29885.84</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17.01</w:t>
            </w:r>
          </w:p>
        </w:tc>
        <w:tc>
          <w:tcPr>
            <w:tcW w:w="1474" w:type="dxa"/>
            <w:vAlign w:val="center"/>
          </w:tcPr>
          <w:p>
            <w:pPr>
              <w:pStyle w:val="9"/>
            </w:pPr>
            <w:r>
              <w:t>17.01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16.86</w:t>
            </w:r>
          </w:p>
        </w:tc>
        <w:tc>
          <w:tcPr>
            <w:tcW w:w="1474" w:type="dxa"/>
            <w:vAlign w:val="center"/>
          </w:tcPr>
          <w:p>
            <w:pPr>
              <w:pStyle w:val="9"/>
            </w:pPr>
            <w:r>
              <w:t>16.86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29885.84</w:t>
            </w:r>
          </w:p>
        </w:tc>
        <w:tc>
          <w:tcPr>
            <w:tcW w:w="1474" w:type="dxa"/>
            <w:vAlign w:val="center"/>
          </w:tcPr>
          <w:p>
            <w:pPr>
              <w:pStyle w:val="9"/>
            </w:pPr>
          </w:p>
        </w:tc>
        <w:tc>
          <w:tcPr>
            <w:tcW w:w="1474" w:type="dxa"/>
            <w:vAlign w:val="center"/>
          </w:tcPr>
          <w:p>
            <w:pPr>
              <w:pStyle w:val="9"/>
            </w:pPr>
            <w:r>
              <w:t>29885.84</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r>
              <w:t>1820.93</w:t>
            </w:r>
          </w:p>
        </w:tc>
        <w:tc>
          <w:tcPr>
            <w:tcW w:w="1474" w:type="dxa"/>
            <w:vAlign w:val="center"/>
          </w:tcPr>
          <w:p>
            <w:pPr>
              <w:pStyle w:val="9"/>
            </w:pPr>
            <w:r>
              <w:t>1820.93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12.76</w:t>
            </w:r>
          </w:p>
        </w:tc>
        <w:tc>
          <w:tcPr>
            <w:tcW w:w="1474" w:type="dxa"/>
            <w:vAlign w:val="center"/>
          </w:tcPr>
          <w:p>
            <w:pPr>
              <w:pStyle w:val="9"/>
            </w:pPr>
            <w:r>
              <w:t>12.76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31753.40</w:t>
            </w:r>
          </w:p>
        </w:tc>
        <w:tc>
          <w:tcPr>
            <w:tcW w:w="3402" w:type="dxa"/>
            <w:vAlign w:val="center"/>
          </w:tcPr>
          <w:p>
            <w:pPr>
              <w:pStyle w:val="12"/>
            </w:pPr>
            <w:r>
              <w:t>本年支出合计</w:t>
            </w:r>
          </w:p>
        </w:tc>
        <w:tc>
          <w:tcPr>
            <w:tcW w:w="1474" w:type="dxa"/>
            <w:vAlign w:val="center"/>
          </w:tcPr>
          <w:p>
            <w:pPr>
              <w:pStyle w:val="13"/>
            </w:pPr>
            <w:r>
              <w:t>31753.40</w:t>
            </w:r>
          </w:p>
        </w:tc>
        <w:tc>
          <w:tcPr>
            <w:tcW w:w="1474" w:type="dxa"/>
            <w:vAlign w:val="center"/>
          </w:tcPr>
          <w:p>
            <w:pPr>
              <w:pStyle w:val="13"/>
            </w:pPr>
            <w:r>
              <w:t>1867.55</w:t>
            </w:r>
          </w:p>
        </w:tc>
        <w:tc>
          <w:tcPr>
            <w:tcW w:w="1474" w:type="dxa"/>
            <w:vAlign w:val="center"/>
          </w:tcPr>
          <w:p>
            <w:pPr>
              <w:pStyle w:val="13"/>
            </w:pPr>
            <w:r>
              <w:t>29885.84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31753.40</w:t>
            </w:r>
          </w:p>
        </w:tc>
        <w:tc>
          <w:tcPr>
            <w:tcW w:w="3402" w:type="dxa"/>
            <w:vAlign w:val="center"/>
          </w:tcPr>
          <w:p>
            <w:pPr>
              <w:pStyle w:val="12"/>
            </w:pPr>
            <w:r>
              <w:t>支出总计</w:t>
            </w:r>
          </w:p>
        </w:tc>
        <w:tc>
          <w:tcPr>
            <w:tcW w:w="1474" w:type="dxa"/>
            <w:vAlign w:val="center"/>
          </w:tcPr>
          <w:p>
            <w:pPr>
              <w:pStyle w:val="13"/>
            </w:pPr>
            <w:r>
              <w:t>31753.40</w:t>
            </w:r>
          </w:p>
        </w:tc>
        <w:tc>
          <w:tcPr>
            <w:tcW w:w="1474" w:type="dxa"/>
            <w:vAlign w:val="center"/>
          </w:tcPr>
          <w:p>
            <w:pPr>
              <w:pStyle w:val="13"/>
            </w:pPr>
            <w:r>
              <w:t>1867.55</w:t>
            </w:r>
          </w:p>
        </w:tc>
        <w:tc>
          <w:tcPr>
            <w:tcW w:w="1474" w:type="dxa"/>
            <w:vAlign w:val="center"/>
          </w:tcPr>
          <w:p>
            <w:pPr>
              <w:pStyle w:val="13"/>
            </w:pPr>
            <w:r>
              <w:t>29885.84</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1867.55</w:t>
            </w:r>
          </w:p>
        </w:tc>
        <w:tc>
          <w:tcPr>
            <w:tcW w:w="2551" w:type="dxa"/>
            <w:vAlign w:val="center"/>
          </w:tcPr>
          <w:p>
            <w:pPr>
              <w:pStyle w:val="13"/>
            </w:pPr>
            <w:r>
              <w:t>912.27</w:t>
            </w:r>
          </w:p>
        </w:tc>
        <w:tc>
          <w:tcPr>
            <w:tcW w:w="2551" w:type="dxa"/>
            <w:vAlign w:val="center"/>
          </w:tcPr>
          <w:p>
            <w:pPr>
              <w:pStyle w:val="13"/>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16.86</w:t>
            </w:r>
          </w:p>
        </w:tc>
        <w:tc>
          <w:tcPr>
            <w:tcW w:w="2551" w:type="dxa"/>
            <w:vAlign w:val="center"/>
          </w:tcPr>
          <w:p>
            <w:pPr>
              <w:pStyle w:val="9"/>
            </w:pPr>
            <w:r>
              <w:t>16.86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16.86</w:t>
            </w:r>
          </w:p>
        </w:tc>
        <w:tc>
          <w:tcPr>
            <w:tcW w:w="2551" w:type="dxa"/>
            <w:vAlign w:val="center"/>
          </w:tcPr>
          <w:p>
            <w:pPr>
              <w:pStyle w:val="9"/>
            </w:pPr>
            <w:r>
              <w:t>16.86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16.86</w:t>
            </w:r>
          </w:p>
        </w:tc>
        <w:tc>
          <w:tcPr>
            <w:tcW w:w="2551" w:type="dxa"/>
            <w:vAlign w:val="center"/>
          </w:tcPr>
          <w:p>
            <w:pPr>
              <w:pStyle w:val="9"/>
            </w:pPr>
            <w:r>
              <w:t>16.86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220</w:t>
            </w:r>
          </w:p>
        </w:tc>
        <w:tc>
          <w:tcPr>
            <w:tcW w:w="4535" w:type="dxa"/>
            <w:vAlign w:val="center"/>
          </w:tcPr>
          <w:p>
            <w:pPr>
              <w:pStyle w:val="10"/>
            </w:pPr>
            <w:r>
              <w:t>自然资源海洋气象等支出</w:t>
            </w:r>
          </w:p>
        </w:tc>
        <w:tc>
          <w:tcPr>
            <w:tcW w:w="2551" w:type="dxa"/>
            <w:vAlign w:val="center"/>
          </w:tcPr>
          <w:p>
            <w:pPr>
              <w:pStyle w:val="9"/>
            </w:pPr>
            <w:r>
              <w:t>1820.93</w:t>
            </w:r>
          </w:p>
        </w:tc>
        <w:tc>
          <w:tcPr>
            <w:tcW w:w="2551" w:type="dxa"/>
            <w:vAlign w:val="center"/>
          </w:tcPr>
          <w:p>
            <w:pPr>
              <w:pStyle w:val="9"/>
            </w:pPr>
            <w:r>
              <w:t>865.65</w:t>
            </w:r>
          </w:p>
        </w:tc>
        <w:tc>
          <w:tcPr>
            <w:tcW w:w="2551" w:type="dxa"/>
            <w:vAlign w:val="center"/>
          </w:tcPr>
          <w:p>
            <w:pPr>
              <w:pStyle w:val="9"/>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22001</w:t>
            </w:r>
          </w:p>
        </w:tc>
        <w:tc>
          <w:tcPr>
            <w:tcW w:w="4535" w:type="dxa"/>
            <w:vAlign w:val="center"/>
          </w:tcPr>
          <w:p>
            <w:pPr>
              <w:pStyle w:val="10"/>
            </w:pPr>
            <w:r>
              <w:t>自然资源事务</w:t>
            </w:r>
          </w:p>
        </w:tc>
        <w:tc>
          <w:tcPr>
            <w:tcW w:w="2551" w:type="dxa"/>
            <w:vAlign w:val="center"/>
          </w:tcPr>
          <w:p>
            <w:pPr>
              <w:pStyle w:val="9"/>
            </w:pPr>
            <w:r>
              <w:t>1820.93</w:t>
            </w:r>
          </w:p>
        </w:tc>
        <w:tc>
          <w:tcPr>
            <w:tcW w:w="2551" w:type="dxa"/>
            <w:vAlign w:val="center"/>
          </w:tcPr>
          <w:p>
            <w:pPr>
              <w:pStyle w:val="9"/>
            </w:pPr>
            <w:r>
              <w:t>865.65</w:t>
            </w:r>
          </w:p>
        </w:tc>
        <w:tc>
          <w:tcPr>
            <w:tcW w:w="2551" w:type="dxa"/>
            <w:vAlign w:val="center"/>
          </w:tcPr>
          <w:p>
            <w:pPr>
              <w:pStyle w:val="9"/>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2200101</w:t>
            </w:r>
          </w:p>
        </w:tc>
        <w:tc>
          <w:tcPr>
            <w:tcW w:w="4535" w:type="dxa"/>
            <w:vAlign w:val="center"/>
          </w:tcPr>
          <w:p>
            <w:pPr>
              <w:pStyle w:val="10"/>
            </w:pPr>
            <w:r>
              <w:t>行政运行</w:t>
            </w:r>
          </w:p>
        </w:tc>
        <w:tc>
          <w:tcPr>
            <w:tcW w:w="2551" w:type="dxa"/>
            <w:vAlign w:val="center"/>
          </w:tcPr>
          <w:p>
            <w:pPr>
              <w:pStyle w:val="9"/>
            </w:pPr>
            <w:r>
              <w:t>865.65</w:t>
            </w:r>
          </w:p>
        </w:tc>
        <w:tc>
          <w:tcPr>
            <w:tcW w:w="2551" w:type="dxa"/>
            <w:vAlign w:val="center"/>
          </w:tcPr>
          <w:p>
            <w:pPr>
              <w:pStyle w:val="9"/>
            </w:pPr>
            <w:r>
              <w:t>865.65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2200114</w:t>
            </w:r>
          </w:p>
        </w:tc>
        <w:tc>
          <w:tcPr>
            <w:tcW w:w="4535" w:type="dxa"/>
            <w:vAlign w:val="center"/>
          </w:tcPr>
          <w:p>
            <w:pPr>
              <w:pStyle w:val="10"/>
            </w:pPr>
            <w:r>
              <w:t>地质勘查与矿产资源管理</w:t>
            </w:r>
          </w:p>
        </w:tc>
        <w:tc>
          <w:tcPr>
            <w:tcW w:w="2551" w:type="dxa"/>
            <w:vAlign w:val="center"/>
          </w:tcPr>
          <w:p>
            <w:pPr>
              <w:pStyle w:val="9"/>
            </w:pPr>
            <w:r>
              <w:t>955.28</w:t>
            </w:r>
          </w:p>
        </w:tc>
        <w:tc>
          <w:tcPr>
            <w:tcW w:w="2551" w:type="dxa"/>
            <w:vAlign w:val="center"/>
          </w:tcPr>
          <w:p>
            <w:pPr>
              <w:pStyle w:val="9"/>
            </w:pPr>
          </w:p>
        </w:tc>
        <w:tc>
          <w:tcPr>
            <w:tcW w:w="2551" w:type="dxa"/>
            <w:vAlign w:val="center"/>
          </w:tcPr>
          <w:p>
            <w:pPr>
              <w:pStyle w:val="9"/>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912.27</w:t>
            </w:r>
          </w:p>
        </w:tc>
        <w:tc>
          <w:tcPr>
            <w:tcW w:w="2551" w:type="dxa"/>
            <w:vAlign w:val="center"/>
          </w:tcPr>
          <w:p>
            <w:pPr>
              <w:pStyle w:val="13"/>
            </w:pPr>
            <w:r>
              <w:t>782.63</w:t>
            </w:r>
          </w:p>
        </w:tc>
        <w:tc>
          <w:tcPr>
            <w:tcW w:w="2551" w:type="dxa"/>
            <w:vAlign w:val="center"/>
          </w:tcPr>
          <w:p>
            <w:pPr>
              <w:pStyle w:val="13"/>
            </w:pPr>
            <w:r>
              <w:t>129.64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780.45</w:t>
            </w:r>
          </w:p>
        </w:tc>
        <w:tc>
          <w:tcPr>
            <w:tcW w:w="2551" w:type="dxa"/>
            <w:vAlign w:val="center"/>
          </w:tcPr>
          <w:p>
            <w:pPr>
              <w:pStyle w:val="9"/>
            </w:pPr>
            <w:r>
              <w:t>780.45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45.12</w:t>
            </w:r>
          </w:p>
        </w:tc>
        <w:tc>
          <w:tcPr>
            <w:tcW w:w="2551" w:type="dxa"/>
            <w:vAlign w:val="center"/>
          </w:tcPr>
          <w:p>
            <w:pPr>
              <w:pStyle w:val="9"/>
            </w:pPr>
            <w:r>
              <w:t>45.12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20.25</w:t>
            </w:r>
          </w:p>
        </w:tc>
        <w:tc>
          <w:tcPr>
            <w:tcW w:w="2551" w:type="dxa"/>
            <w:vAlign w:val="center"/>
          </w:tcPr>
          <w:p>
            <w:pPr>
              <w:pStyle w:val="9"/>
            </w:pPr>
            <w:r>
              <w:t>20.25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72.65</w:t>
            </w:r>
          </w:p>
        </w:tc>
        <w:tc>
          <w:tcPr>
            <w:tcW w:w="2551" w:type="dxa"/>
            <w:vAlign w:val="center"/>
          </w:tcPr>
          <w:p>
            <w:pPr>
              <w:pStyle w:val="9"/>
            </w:pPr>
            <w:r>
              <w:t>72.65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8.01</w:t>
            </w:r>
          </w:p>
        </w:tc>
        <w:tc>
          <w:tcPr>
            <w:tcW w:w="2551" w:type="dxa"/>
            <w:vAlign w:val="center"/>
          </w:tcPr>
          <w:p>
            <w:pPr>
              <w:pStyle w:val="9"/>
            </w:pPr>
            <w:r>
              <w:t>8.01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8.84</w:t>
            </w:r>
          </w:p>
        </w:tc>
        <w:tc>
          <w:tcPr>
            <w:tcW w:w="2551" w:type="dxa"/>
            <w:vAlign w:val="center"/>
          </w:tcPr>
          <w:p>
            <w:pPr>
              <w:pStyle w:val="9"/>
            </w:pPr>
            <w:r>
              <w:t>8.84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1.28</w:t>
            </w:r>
          </w:p>
        </w:tc>
        <w:tc>
          <w:tcPr>
            <w:tcW w:w="2551" w:type="dxa"/>
            <w:vAlign w:val="center"/>
          </w:tcPr>
          <w:p>
            <w:pPr>
              <w:pStyle w:val="9"/>
            </w:pPr>
            <w:r>
              <w:t>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594.52</w:t>
            </w:r>
          </w:p>
        </w:tc>
        <w:tc>
          <w:tcPr>
            <w:tcW w:w="2551" w:type="dxa"/>
            <w:vAlign w:val="center"/>
          </w:tcPr>
          <w:p>
            <w:pPr>
              <w:pStyle w:val="9"/>
            </w:pPr>
            <w:r>
              <w:t>594.52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129.64</w:t>
            </w:r>
          </w:p>
        </w:tc>
        <w:tc>
          <w:tcPr>
            <w:tcW w:w="2551" w:type="dxa"/>
            <w:vAlign w:val="center"/>
          </w:tcPr>
          <w:p>
            <w:pPr>
              <w:pStyle w:val="9"/>
            </w:pPr>
          </w:p>
        </w:tc>
        <w:tc>
          <w:tcPr>
            <w:tcW w:w="2551" w:type="dxa"/>
            <w:vAlign w:val="center"/>
          </w:tcPr>
          <w:p>
            <w:pPr>
              <w:pStyle w:val="9"/>
            </w:pPr>
            <w:r>
              <w:t>129.64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15.51</w:t>
            </w:r>
          </w:p>
        </w:tc>
        <w:tc>
          <w:tcPr>
            <w:tcW w:w="2551" w:type="dxa"/>
            <w:vAlign w:val="center"/>
          </w:tcPr>
          <w:p>
            <w:pPr>
              <w:pStyle w:val="9"/>
            </w:pPr>
          </w:p>
        </w:tc>
        <w:tc>
          <w:tcPr>
            <w:tcW w:w="2551" w:type="dxa"/>
            <w:vAlign w:val="center"/>
          </w:tcPr>
          <w:p>
            <w:pPr>
              <w:pStyle w:val="9"/>
            </w:pPr>
            <w: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11.28</w:t>
            </w:r>
          </w:p>
        </w:tc>
        <w:tc>
          <w:tcPr>
            <w:tcW w:w="2551" w:type="dxa"/>
            <w:vAlign w:val="center"/>
          </w:tcPr>
          <w:p>
            <w:pPr>
              <w:pStyle w:val="9"/>
            </w:pPr>
          </w:p>
        </w:tc>
        <w:tc>
          <w:tcPr>
            <w:tcW w:w="2551" w:type="dxa"/>
            <w:vAlign w:val="center"/>
          </w:tcPr>
          <w:p>
            <w:pPr>
              <w:pStyle w:val="9"/>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13.08</w:t>
            </w:r>
          </w:p>
        </w:tc>
        <w:tc>
          <w:tcPr>
            <w:tcW w:w="2551" w:type="dxa"/>
            <w:vAlign w:val="center"/>
          </w:tcPr>
          <w:p>
            <w:pPr>
              <w:pStyle w:val="9"/>
            </w:pPr>
          </w:p>
        </w:tc>
        <w:tc>
          <w:tcPr>
            <w:tcW w:w="2551" w:type="dxa"/>
            <w:vAlign w:val="center"/>
          </w:tcPr>
          <w:p>
            <w:pPr>
              <w:pStyle w:val="9"/>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7.61</w:t>
            </w:r>
          </w:p>
        </w:tc>
        <w:tc>
          <w:tcPr>
            <w:tcW w:w="2551" w:type="dxa"/>
            <w:vAlign w:val="center"/>
          </w:tcPr>
          <w:p>
            <w:pPr>
              <w:pStyle w:val="9"/>
            </w:pPr>
          </w:p>
        </w:tc>
        <w:tc>
          <w:tcPr>
            <w:tcW w:w="2551" w:type="dxa"/>
            <w:vAlign w:val="center"/>
          </w:tcPr>
          <w:p>
            <w:pPr>
              <w:pStyle w:val="9"/>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0.85</w:t>
            </w:r>
          </w:p>
        </w:tc>
        <w:tc>
          <w:tcPr>
            <w:tcW w:w="2551" w:type="dxa"/>
            <w:vAlign w:val="center"/>
          </w:tcPr>
          <w:p>
            <w:pPr>
              <w:pStyle w:val="9"/>
            </w:pPr>
          </w:p>
        </w:tc>
        <w:tc>
          <w:tcPr>
            <w:tcW w:w="2551" w:type="dxa"/>
            <w:vAlign w:val="center"/>
          </w:tcPr>
          <w:p>
            <w:pPr>
              <w:pStyle w:val="9"/>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4.23</w:t>
            </w:r>
          </w:p>
        </w:tc>
        <w:tc>
          <w:tcPr>
            <w:tcW w:w="2551" w:type="dxa"/>
            <w:vAlign w:val="center"/>
          </w:tcPr>
          <w:p>
            <w:pPr>
              <w:pStyle w:val="9"/>
            </w:pPr>
          </w:p>
        </w:tc>
        <w:tc>
          <w:tcPr>
            <w:tcW w:w="2551" w:type="dxa"/>
            <w:vAlign w:val="center"/>
          </w:tcPr>
          <w:p>
            <w:pPr>
              <w:pStyle w:val="9"/>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4.70</w:t>
            </w:r>
          </w:p>
        </w:tc>
        <w:tc>
          <w:tcPr>
            <w:tcW w:w="2551" w:type="dxa"/>
            <w:vAlign w:val="center"/>
          </w:tcPr>
          <w:p>
            <w:pPr>
              <w:pStyle w:val="9"/>
            </w:pPr>
          </w:p>
        </w:tc>
        <w:tc>
          <w:tcPr>
            <w:tcW w:w="2551" w:type="dxa"/>
            <w:vAlign w:val="center"/>
          </w:tcPr>
          <w:p>
            <w:pPr>
              <w:pStyle w:val="9"/>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64.38</w:t>
            </w:r>
          </w:p>
        </w:tc>
        <w:tc>
          <w:tcPr>
            <w:tcW w:w="2551" w:type="dxa"/>
            <w:vAlign w:val="center"/>
          </w:tcPr>
          <w:p>
            <w:pPr>
              <w:pStyle w:val="9"/>
            </w:pPr>
          </w:p>
        </w:tc>
        <w:tc>
          <w:tcPr>
            <w:tcW w:w="2551" w:type="dxa"/>
            <w:vAlign w:val="center"/>
          </w:tcPr>
          <w:p>
            <w:pPr>
              <w:pStyle w:val="9"/>
            </w:pPr>
            <w: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2.19</w:t>
            </w:r>
          </w:p>
        </w:tc>
        <w:tc>
          <w:tcPr>
            <w:tcW w:w="2551" w:type="dxa"/>
            <w:vAlign w:val="center"/>
          </w:tcPr>
          <w:p>
            <w:pPr>
              <w:pStyle w:val="9"/>
            </w:pPr>
            <w:r>
              <w:t>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0.26</w:t>
            </w:r>
          </w:p>
        </w:tc>
        <w:tc>
          <w:tcPr>
            <w:tcW w:w="2551" w:type="dxa"/>
            <w:vAlign w:val="center"/>
          </w:tcPr>
          <w:p>
            <w:pPr>
              <w:pStyle w:val="9"/>
            </w:pPr>
            <w:r>
              <w:t>0.26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1.93</w:t>
            </w:r>
          </w:p>
        </w:tc>
        <w:tc>
          <w:tcPr>
            <w:tcW w:w="2551" w:type="dxa"/>
            <w:vAlign w:val="center"/>
          </w:tcPr>
          <w:p>
            <w:pPr>
              <w:pStyle w:val="9"/>
            </w:pPr>
            <w:r>
              <w:t>1.93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29885.84</w:t>
            </w:r>
          </w:p>
        </w:tc>
        <w:tc>
          <w:tcPr>
            <w:tcW w:w="2551" w:type="dxa"/>
            <w:vAlign w:val="center"/>
          </w:tcPr>
          <w:p>
            <w:pPr>
              <w:pStyle w:val="13"/>
            </w:pPr>
          </w:p>
        </w:tc>
        <w:tc>
          <w:tcPr>
            <w:tcW w:w="2551" w:type="dxa"/>
            <w:vAlign w:val="center"/>
          </w:tcPr>
          <w:p>
            <w:pPr>
              <w:pStyle w:val="13"/>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29885.84</w:t>
            </w:r>
          </w:p>
        </w:tc>
        <w:tc>
          <w:tcPr>
            <w:tcW w:w="2551" w:type="dxa"/>
            <w:vAlign w:val="center"/>
          </w:tcPr>
          <w:p>
            <w:pPr>
              <w:pStyle w:val="9"/>
            </w:pPr>
          </w:p>
        </w:tc>
        <w:tc>
          <w:tcPr>
            <w:tcW w:w="2551" w:type="dxa"/>
            <w:vAlign w:val="center"/>
          </w:tcPr>
          <w:p>
            <w:pPr>
              <w:pStyle w:val="9"/>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29885.84</w:t>
            </w:r>
          </w:p>
        </w:tc>
        <w:tc>
          <w:tcPr>
            <w:tcW w:w="2551" w:type="dxa"/>
            <w:vAlign w:val="center"/>
          </w:tcPr>
          <w:p>
            <w:pPr>
              <w:pStyle w:val="9"/>
            </w:pPr>
          </w:p>
        </w:tc>
        <w:tc>
          <w:tcPr>
            <w:tcW w:w="2551" w:type="dxa"/>
            <w:vAlign w:val="center"/>
          </w:tcPr>
          <w:p>
            <w:pPr>
              <w:pStyle w:val="9"/>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2120801</w:t>
            </w:r>
          </w:p>
        </w:tc>
        <w:tc>
          <w:tcPr>
            <w:tcW w:w="4535" w:type="dxa"/>
            <w:vAlign w:val="center"/>
          </w:tcPr>
          <w:p>
            <w:pPr>
              <w:pStyle w:val="10"/>
            </w:pPr>
            <w:r>
              <w:t>征地和拆迁补偿支出</w:t>
            </w:r>
          </w:p>
        </w:tc>
        <w:tc>
          <w:tcPr>
            <w:tcW w:w="2551" w:type="dxa"/>
            <w:vAlign w:val="center"/>
          </w:tcPr>
          <w:p>
            <w:pPr>
              <w:pStyle w:val="9"/>
            </w:pPr>
            <w:r>
              <w:t>27446.22</w:t>
            </w:r>
          </w:p>
        </w:tc>
        <w:tc>
          <w:tcPr>
            <w:tcW w:w="2551" w:type="dxa"/>
            <w:vAlign w:val="center"/>
          </w:tcPr>
          <w:p>
            <w:pPr>
              <w:pStyle w:val="9"/>
            </w:pPr>
          </w:p>
        </w:tc>
        <w:tc>
          <w:tcPr>
            <w:tcW w:w="2551" w:type="dxa"/>
            <w:vAlign w:val="center"/>
          </w:tcPr>
          <w:p>
            <w:pPr>
              <w:pStyle w:val="9"/>
            </w:pPr>
            <w:r>
              <w:t>27446.22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2120802</w:t>
            </w:r>
          </w:p>
        </w:tc>
        <w:tc>
          <w:tcPr>
            <w:tcW w:w="4535" w:type="dxa"/>
            <w:vAlign w:val="center"/>
          </w:tcPr>
          <w:p>
            <w:pPr>
              <w:pStyle w:val="10"/>
            </w:pPr>
            <w:r>
              <w:t>土地开发支出</w:t>
            </w:r>
          </w:p>
        </w:tc>
        <w:tc>
          <w:tcPr>
            <w:tcW w:w="2551" w:type="dxa"/>
            <w:vAlign w:val="center"/>
          </w:tcPr>
          <w:p>
            <w:pPr>
              <w:pStyle w:val="9"/>
            </w:pPr>
            <w:r>
              <w:t>1783.62</w:t>
            </w:r>
          </w:p>
        </w:tc>
        <w:tc>
          <w:tcPr>
            <w:tcW w:w="2551" w:type="dxa"/>
            <w:vAlign w:val="center"/>
          </w:tcPr>
          <w:p>
            <w:pPr>
              <w:pStyle w:val="9"/>
            </w:pPr>
          </w:p>
        </w:tc>
        <w:tc>
          <w:tcPr>
            <w:tcW w:w="2551" w:type="dxa"/>
            <w:vAlign w:val="center"/>
          </w:tcPr>
          <w:p>
            <w:pPr>
              <w:pStyle w:val="9"/>
            </w:pPr>
            <w:r>
              <w:t>1783.62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2120806</w:t>
            </w:r>
          </w:p>
        </w:tc>
        <w:tc>
          <w:tcPr>
            <w:tcW w:w="4535" w:type="dxa"/>
            <w:vAlign w:val="center"/>
          </w:tcPr>
          <w:p>
            <w:pPr>
              <w:pStyle w:val="10"/>
            </w:pPr>
            <w:r>
              <w:t>土地出让业务支出</w:t>
            </w:r>
          </w:p>
        </w:tc>
        <w:tc>
          <w:tcPr>
            <w:tcW w:w="2551" w:type="dxa"/>
            <w:vAlign w:val="center"/>
          </w:tcPr>
          <w:p>
            <w:pPr>
              <w:pStyle w:val="9"/>
            </w:pPr>
            <w:r>
              <w:t>656.00</w:t>
            </w:r>
          </w:p>
        </w:tc>
        <w:tc>
          <w:tcPr>
            <w:tcW w:w="2551" w:type="dxa"/>
            <w:vAlign w:val="center"/>
          </w:tcPr>
          <w:p>
            <w:pPr>
              <w:pStyle w:val="9"/>
            </w:pPr>
          </w:p>
        </w:tc>
        <w:tc>
          <w:tcPr>
            <w:tcW w:w="2551" w:type="dxa"/>
            <w:vAlign w:val="center"/>
          </w:tcPr>
          <w:p>
            <w:pPr>
              <w:pStyle w:val="9"/>
            </w:pPr>
            <w:r>
              <w:t>656.00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6.85</w:t>
            </w:r>
          </w:p>
        </w:tc>
        <w:tc>
          <w:tcPr>
            <w:tcW w:w="2381" w:type="dxa"/>
            <w:vAlign w:val="center"/>
          </w:tcPr>
          <w:p>
            <w:pPr>
              <w:pStyle w:val="13"/>
            </w:pPr>
            <w:r>
              <w:t>6.85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6.85</w:t>
            </w:r>
          </w:p>
        </w:tc>
        <w:tc>
          <w:tcPr>
            <w:tcW w:w="2381" w:type="dxa"/>
            <w:vAlign w:val="center"/>
          </w:tcPr>
          <w:p>
            <w:pPr>
              <w:pStyle w:val="9"/>
            </w:pPr>
            <w:r>
              <w:t>6.85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6.00</w:t>
            </w:r>
          </w:p>
        </w:tc>
        <w:tc>
          <w:tcPr>
            <w:tcW w:w="2381" w:type="dxa"/>
            <w:vAlign w:val="center"/>
          </w:tcPr>
          <w:p>
            <w:pPr>
              <w:pStyle w:val="9"/>
            </w:pPr>
            <w:r>
              <w:t>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6.00</w:t>
            </w:r>
          </w:p>
        </w:tc>
        <w:tc>
          <w:tcPr>
            <w:tcW w:w="2381" w:type="dxa"/>
            <w:vAlign w:val="center"/>
          </w:tcPr>
          <w:p>
            <w:pPr>
              <w:pStyle w:val="9"/>
            </w:pPr>
            <w:r>
              <w:t>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0.85</w:t>
            </w:r>
          </w:p>
        </w:tc>
        <w:tc>
          <w:tcPr>
            <w:tcW w:w="2381" w:type="dxa"/>
            <w:vAlign w:val="center"/>
          </w:tcPr>
          <w:p>
            <w:pPr>
              <w:pStyle w:val="9"/>
            </w:pPr>
            <w:r>
              <w:t>0.85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唐山市自然资源和规划局丰润区分局2023年部门预算信息公开情况说明</w:t>
      </w:r>
    </w:p>
    <w:p>
      <w:pPr>
        <w:jc w:val="center"/>
      </w:pPr>
      <w:r>
        <w:rPr>
          <w:rFonts w:ascii="方正小标宋_GBK" w:hAnsi="方正小标宋_GBK" w:eastAsia="方正小标宋_GBK" w:cs="方正小标宋_GBK"/>
          <w:color w:val="000000"/>
          <w:sz w:val="44"/>
        </w:rPr>
        <w:t>唐山市自然资源和规划局丰润区分局2023年部门预算信息公开情况说明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9" w:name="_GoBack"/>
      <w:bookmarkEnd w:id="19"/>
      <w:r>
        <w:rPr>
          <w:rFonts w:eastAsia="方正仿宋_GBK"/>
          <w:color w:val="000000"/>
          <w:sz w:val="28"/>
        </w:rPr>
        <w:t>预算法》、《地方预决算公开操作规程》和《关于进一步推进预算公开工作的实施意见》规定，现将唐山市自然资源和规划局丰润区分局2023年部门预算公开如下：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
          <w:snapToGrid/>
          <w:kern w:val="0"/>
          <w:sz w:val="32"/>
          <w:szCs w:val="32"/>
          <w:lang w:val="en-US" w:eastAsia="zh-CN" w:bidi="ar"/>
        </w:rPr>
        <w:t>1、履行全民所有土地、矿产、湿地、水等自然资源资产所有者职责和所有国土空间用途管制职责。</w:t>
      </w:r>
      <w:r>
        <w:rPr>
          <w:rFonts w:hint="eastAsia" w:ascii="仿宋" w:hAnsi="仿宋" w:eastAsia="仿宋" w:cs="仿宋_GB2312"/>
          <w:snapToGrid/>
          <w:spacing w:val="14"/>
          <w:kern w:val="0"/>
          <w:sz w:val="32"/>
          <w:szCs w:val="32"/>
          <w:lang w:val="en-US" w:eastAsia="zh-CN" w:bidi="ar"/>
        </w:rPr>
        <w:t>贯彻国家、省、市自然资源和规划的相关法律、法规、规章、政策。</w:t>
      </w:r>
      <w:r>
        <w:rPr>
          <w:rFonts w:hint="eastAsia" w:ascii="仿宋" w:hAnsi="仿宋" w:eastAsia="仿宋" w:cs="仿宋_GB2312"/>
          <w:snapToGrid/>
          <w:kern w:val="0"/>
          <w:sz w:val="32"/>
          <w:szCs w:val="32"/>
          <w:lang w:val="en-US" w:eastAsia="zh-CN" w:bidi="ar"/>
        </w:rPr>
        <w:t>贯彻执行自然资源和国土空间规划及测绘等</w:t>
      </w:r>
      <w:r>
        <w:rPr>
          <w:rFonts w:hint="eastAsia" w:ascii="仿宋" w:hAnsi="仿宋" w:eastAsia="仿宋" w:cs="仿宋"/>
          <w:snapToGrid/>
          <w:kern w:val="0"/>
          <w:sz w:val="32"/>
          <w:szCs w:val="32"/>
          <w:lang w:val="en-US" w:eastAsia="zh-CN" w:bidi="ar"/>
        </w:rPr>
        <w:t>地方规范性文件</w:t>
      </w:r>
      <w:r>
        <w:rPr>
          <w:rFonts w:hint="eastAsia" w:ascii="仿宋" w:hAnsi="仿宋" w:eastAsia="仿宋" w:cs="仿宋_GB2312"/>
          <w:snapToGrid/>
          <w:kern w:val="0"/>
          <w:sz w:val="32"/>
          <w:szCs w:val="32"/>
          <w:lang w:val="en-US" w:eastAsia="zh-CN" w:bidi="ar"/>
        </w:rPr>
        <w:t>和自然资源保护、开发利用规划。</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2、负责辖区自然资源调查监测评价。贯彻执行国家自然资源调查监测评价的指标体系、统计标准和自然资源调查监测评价制度。实施自然资源基础调查、专项调查和监测。</w:t>
      </w:r>
      <w:r>
        <w:rPr>
          <w:rFonts w:hint="eastAsia" w:ascii="仿宋" w:hAnsi="仿宋" w:eastAsia="仿宋" w:cs="仿宋_GB2312"/>
          <w:snapToGrid/>
          <w:color w:val="000000"/>
          <w:kern w:val="0"/>
          <w:sz w:val="32"/>
          <w:szCs w:val="32"/>
          <w:lang w:val="en-US" w:eastAsia="zh-CN" w:bidi="ar"/>
        </w:rPr>
        <w:t>负责自然资源调查监测评价成果的监督管理和信息发布。</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3、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4、负责辖区自然资源资产有偿使用工作。贯彻执行国家全民所有自然资源资产统计制度，负责全民所有自然资源资产核算。负责编制全民所有自然资源资产负债表。参与拟订全民所有自然资源资产划拨、出让、租赁、作价出资和土地储备政策，合理配置全民所有自然资源资产。负责自然资源资产价值评估管理，依法收缴相关资产收益。</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5、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6、负责建立辖区空间规划体系并监督实施。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法律、法规和相关政策。负责土地等自然资源年度利用计划管理工作。负责土地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7、负责统筹辖区国土空间生态修复。牵头组织国土空间生态修复并实施有关生态修复工程。负责国土空间综合整治、</w:t>
      </w:r>
      <w:r>
        <w:rPr>
          <w:rFonts w:hint="eastAsia" w:ascii="仿宋" w:hAnsi="仿宋" w:eastAsia="仿宋" w:cs="仿宋_GB2312"/>
          <w:snapToGrid/>
          <w:color w:val="000000"/>
          <w:kern w:val="0"/>
          <w:sz w:val="32"/>
          <w:szCs w:val="32"/>
          <w:lang w:val="en-US" w:eastAsia="zh-CN" w:bidi="ar"/>
        </w:rPr>
        <w:t>土地整理复垦、矿山地质环境恢复治理、工矿废弃地复垦利用</w:t>
      </w:r>
      <w:r>
        <w:rPr>
          <w:rFonts w:hint="eastAsia" w:ascii="仿宋" w:hAnsi="仿宋" w:eastAsia="仿宋" w:cs="仿宋"/>
          <w:snapToGrid/>
          <w:kern w:val="0"/>
          <w:sz w:val="32"/>
          <w:szCs w:val="32"/>
          <w:lang w:val="en-US" w:eastAsia="zh-CN" w:bidi="ar"/>
        </w:rPr>
        <w:t>等工作。牵头建立和实施生态保护补偿制度，参与制定合理利用社会资金进行生态修复的政策措施并组织实施，提出备选项目。</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8、负责组织实施最严格的耕地保护制度。牵头落实耕地保护政策，负责耕地数量、质量、生态保护。组织实施耕地保护责任目标考核和永久基本农田特殊保护。</w:t>
      </w:r>
      <w:r>
        <w:rPr>
          <w:rFonts w:hint="eastAsia" w:ascii="仿宋" w:hAnsi="仿宋" w:eastAsia="仿宋" w:cs="仿宋"/>
          <w:snapToGrid/>
          <w:color w:val="000000"/>
          <w:kern w:val="0"/>
          <w:sz w:val="32"/>
          <w:szCs w:val="32"/>
          <w:lang w:val="en-US" w:eastAsia="zh-CN" w:bidi="ar"/>
        </w:rPr>
        <w:t>落实</w:t>
      </w:r>
      <w:r>
        <w:rPr>
          <w:rFonts w:hint="eastAsia" w:ascii="仿宋" w:hAnsi="仿宋" w:eastAsia="仿宋" w:cs="仿宋"/>
          <w:snapToGrid/>
          <w:kern w:val="0"/>
          <w:sz w:val="32"/>
          <w:szCs w:val="32"/>
          <w:lang w:val="en-US" w:eastAsia="zh-CN" w:bidi="ar"/>
        </w:rPr>
        <w:t>耕地占补平衡制度。</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
          <w:snapToGrid/>
          <w:kern w:val="0"/>
          <w:sz w:val="32"/>
          <w:szCs w:val="32"/>
          <w:lang w:val="en-US" w:eastAsia="zh-CN" w:bidi="ar"/>
        </w:rPr>
        <w:t>9、</w:t>
      </w:r>
      <w:r>
        <w:rPr>
          <w:rFonts w:hint="eastAsia" w:ascii="仿宋" w:hAnsi="仿宋" w:eastAsia="仿宋" w:cs="仿宋_GB2312"/>
          <w:snapToGrid/>
          <w:color w:val="000000"/>
          <w:kern w:val="0"/>
          <w:sz w:val="32"/>
          <w:szCs w:val="32"/>
          <w:lang w:val="en-US" w:eastAsia="zh-CN" w:bidi="ar"/>
        </w:rPr>
        <w:t>负责管理辖区地质勘查行业和地质工作。编制地质勘查规划并监督检查执行情况。管理地质勘查项目。组织实施重大地质矿产勘查专项。负责古生物化石的监督管理。</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_GB2312"/>
          <w:snapToGrid/>
          <w:color w:val="000000"/>
          <w:kern w:val="0"/>
          <w:sz w:val="32"/>
          <w:szCs w:val="32"/>
          <w:lang w:val="en-US" w:eastAsia="zh-CN" w:bidi="ar"/>
        </w:rPr>
        <w:t>10、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u w:val="single"/>
          <w:lang w:val="en-US"/>
        </w:rPr>
      </w:pPr>
      <w:r>
        <w:rPr>
          <w:rFonts w:hint="eastAsia" w:ascii="仿宋" w:hAnsi="仿宋" w:eastAsia="仿宋" w:cs="仿宋"/>
          <w:snapToGrid/>
          <w:kern w:val="0"/>
          <w:sz w:val="32"/>
          <w:szCs w:val="32"/>
          <w:lang w:val="en-US" w:eastAsia="zh-CN" w:bidi="ar"/>
        </w:rPr>
        <w:t>11、负责辖区矿产资源管理工作。负责矿产资源储量及压覆矿产资源管理。负责矿业权管理。</w:t>
      </w:r>
      <w:r>
        <w:rPr>
          <w:rFonts w:hint="eastAsia" w:ascii="仿宋" w:hAnsi="仿宋" w:eastAsia="仿宋" w:cs="仿宋_GB2312"/>
          <w:snapToGrid/>
          <w:color w:val="000000"/>
          <w:kern w:val="0"/>
          <w:sz w:val="32"/>
          <w:szCs w:val="32"/>
          <w:lang w:val="en-US" w:eastAsia="zh-CN" w:bidi="ar"/>
        </w:rPr>
        <w:t>会同有关部门负责落实保护性开采的特定矿种、优势矿产的调控及相关管理工作。监督指导矿产资源合理利用和保护。</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12、负责辖区测绘地理信息管理工作。负责基础测绘和测绘行业管理。负责测绘资质资格与信用管理，监督管理地理信息安全和市场秩序。负责地理信息公共服务管理。负责测量标志保护。</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snapToGrid/>
          <w:kern w:val="0"/>
          <w:sz w:val="32"/>
          <w:szCs w:val="32"/>
          <w:lang w:val="en-US" w:eastAsia="zh-CN" w:bidi="ar"/>
        </w:rPr>
        <w:t>13、查处辖区自然资源开发利用和国土空间规划及测绘违法案件。</w:t>
      </w:r>
      <w:r>
        <w:rPr>
          <w:rFonts w:hint="eastAsia" w:ascii="仿宋" w:hAnsi="仿宋" w:eastAsia="仿宋" w:cs="仿宋"/>
          <w:snapToGrid/>
          <w:color w:val="000000"/>
          <w:kern w:val="0"/>
          <w:sz w:val="32"/>
          <w:szCs w:val="32"/>
          <w:lang w:val="en-US" w:eastAsia="zh-CN" w:bidi="ar"/>
        </w:rPr>
        <w:t>负责有关行政执法工作。</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_GB2312"/>
          <w:snapToGrid/>
          <w:color w:val="000000"/>
          <w:kern w:val="0"/>
          <w:sz w:val="32"/>
          <w:szCs w:val="32"/>
          <w:lang w:val="en-US" w:eastAsia="zh-CN" w:bidi="ar"/>
        </w:rPr>
        <w:t>14、推动辖区自然资源和规划领域科技发展。参与拟定并实施自然资源和规划领域科技创新发展和人才培养战略、规划和计划。参与拟定技术标准、规程规范并监督实施。组织实施科技工程及创新能力建设，推进自然资源和规划信息化和信息资料的公共服务。</w:t>
      </w:r>
    </w:p>
    <w:p>
      <w:pPr>
        <w:keepNext w:val="0"/>
        <w:keepLines w:val="0"/>
        <w:widowControl/>
        <w:suppressLineNumbers w:val="0"/>
        <w:adjustRightInd w:val="0"/>
        <w:snapToGrid w:val="0"/>
        <w:spacing w:before="0" w:beforeAutospacing="0" w:after="0" w:afterAutospacing="0" w:line="360" w:lineRule="auto"/>
        <w:ind w:left="0" w:right="0" w:firstLine="480" w:firstLineChars="150"/>
        <w:jc w:val="left"/>
        <w:rPr>
          <w:rFonts w:ascii="方正楷体_GBK" w:hAnsi="方正楷体_GBK" w:eastAsia="方正楷体_GBK" w:cs="方正楷体_GBK"/>
          <w:b/>
          <w:color w:val="000000"/>
          <w:sz w:val="32"/>
        </w:rPr>
      </w:pPr>
      <w:r>
        <w:rPr>
          <w:rFonts w:hint="eastAsia" w:ascii="仿宋" w:hAnsi="仿宋" w:eastAsia="仿宋" w:cs="仿宋"/>
          <w:snapToGrid/>
          <w:kern w:val="0"/>
          <w:sz w:val="32"/>
          <w:szCs w:val="32"/>
          <w:lang w:val="en-US" w:eastAsia="zh-CN" w:bidi="ar"/>
        </w:rPr>
        <w:t>15、完成市自然资源和规划局及区委、区政府交办的其他任务。</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唐山市自然资源和规划局丰润区分局本级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按照预算管理有关规定，目前我省部门预算的编制实行综合预算管理，即全部收入和支出都反映在预算中。唐山市自然资源和规划局丰润区分局机关的收支包含在部门预算中。</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（一）收入说明</w:t>
      </w:r>
    </w:p>
    <w:p>
      <w:pPr>
        <w:spacing w:line="5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年单位预算收入</w:t>
      </w:r>
      <w:r>
        <w:rPr>
          <w:rFonts w:hint="eastAsia" w:ascii="方正仿宋简体" w:hAnsi="方正仿宋简体" w:eastAsia="方正仿宋简体" w:cs="方正仿宋简体"/>
          <w:sz w:val="32"/>
          <w:szCs w:val="32"/>
          <w:lang w:val="en-US" w:eastAsia="zh-CN"/>
        </w:rPr>
        <w:t>31753.40</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1867.55</w:t>
      </w:r>
      <w:r>
        <w:rPr>
          <w:rFonts w:hint="eastAsia" w:ascii="方正仿宋简体" w:hAnsi="方正仿宋简体" w:eastAsia="方正仿宋简体" w:cs="方正仿宋简体"/>
          <w:sz w:val="32"/>
          <w:szCs w:val="32"/>
        </w:rPr>
        <w:t>万元，政府性基金收入</w:t>
      </w:r>
      <w:r>
        <w:rPr>
          <w:rFonts w:hint="eastAsia" w:ascii="方正仿宋简体" w:hAnsi="方正仿宋简体" w:eastAsia="方正仿宋简体" w:cs="方正仿宋简体"/>
          <w:sz w:val="32"/>
          <w:szCs w:val="32"/>
          <w:lang w:val="en-US" w:eastAsia="zh-CN"/>
        </w:rPr>
        <w:t>29885.84</w:t>
      </w:r>
      <w:r>
        <w:rPr>
          <w:rFonts w:hint="eastAsia" w:ascii="方正仿宋简体" w:hAnsi="方正仿宋简体" w:eastAsia="方正仿宋简体" w:cs="方正仿宋简体"/>
          <w:sz w:val="32"/>
          <w:szCs w:val="32"/>
        </w:rPr>
        <w:t>万元，国有资本经营预算收入0万元。</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（二）支出说明</w:t>
      </w:r>
    </w:p>
    <w:p>
      <w:pPr>
        <w:spacing w:line="5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年单位预算支出</w:t>
      </w:r>
      <w:r>
        <w:rPr>
          <w:rFonts w:hint="eastAsia" w:ascii="方正仿宋简体" w:hAnsi="方正仿宋简体" w:eastAsia="方正仿宋简体" w:cs="方正仿宋简体"/>
          <w:sz w:val="32"/>
          <w:szCs w:val="32"/>
          <w:lang w:val="en-US" w:eastAsia="zh-CN"/>
        </w:rPr>
        <w:t>31753.40</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912.27</w:t>
      </w:r>
      <w:r>
        <w:rPr>
          <w:rFonts w:hint="eastAsia" w:ascii="方正仿宋简体" w:hAnsi="方正仿宋简体" w:eastAsia="方正仿宋简体" w:cs="方正仿宋简体"/>
          <w:sz w:val="32"/>
          <w:szCs w:val="32"/>
        </w:rPr>
        <w:t>万元，包含人员经费</w:t>
      </w:r>
      <w:r>
        <w:rPr>
          <w:rFonts w:hint="eastAsia" w:ascii="方正仿宋简体" w:hAnsi="方正仿宋简体" w:eastAsia="方正仿宋简体" w:cs="方正仿宋简体"/>
          <w:sz w:val="32"/>
          <w:szCs w:val="32"/>
          <w:lang w:val="en-US" w:eastAsia="zh-CN"/>
        </w:rPr>
        <w:t>782.63</w:t>
      </w:r>
      <w:r>
        <w:rPr>
          <w:rFonts w:hint="eastAsia" w:ascii="方正仿宋简体" w:hAnsi="方正仿宋简体" w:eastAsia="方正仿宋简体" w:cs="方正仿宋简体"/>
          <w:sz w:val="32"/>
          <w:szCs w:val="32"/>
        </w:rPr>
        <w:t>元、正常公用经费</w:t>
      </w:r>
      <w:r>
        <w:rPr>
          <w:rFonts w:hint="eastAsia" w:ascii="方正仿宋简体" w:hAnsi="方正仿宋简体" w:eastAsia="方正仿宋简体" w:cs="方正仿宋简体"/>
          <w:sz w:val="32"/>
          <w:szCs w:val="32"/>
          <w:lang w:val="en-US" w:eastAsia="zh-CN"/>
        </w:rPr>
        <w:t>129.64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30841.12</w:t>
      </w:r>
      <w:r>
        <w:rPr>
          <w:rFonts w:hint="eastAsia" w:ascii="方正仿宋简体" w:hAnsi="方正仿宋简体" w:eastAsia="方正仿宋简体" w:cs="方正仿宋简体"/>
          <w:sz w:val="32"/>
          <w:szCs w:val="32"/>
        </w:rPr>
        <w:t>万元。</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（三）比上年增减情况</w:t>
      </w:r>
    </w:p>
    <w:p>
      <w:pPr>
        <w:spacing w:line="500" w:lineRule="exact"/>
        <w:ind w:firstLine="640" w:firstLineChars="200"/>
        <w:rPr>
          <w:rFonts w:eastAsia="方正仿宋_GBK"/>
          <w:color w:val="000000"/>
          <w:sz w:val="28"/>
        </w:rPr>
      </w:pPr>
      <w:r>
        <w:rPr>
          <w:rFonts w:hint="eastAsia" w:ascii="方正仿宋简体" w:hAnsi="方正仿宋简体" w:eastAsia="方正仿宋简体" w:cs="方正仿宋简体"/>
          <w:sz w:val="32"/>
          <w:szCs w:val="32"/>
        </w:rPr>
        <w:t xml:space="preserve"> 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年单位预算较202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年增加</w:t>
      </w:r>
      <w:r>
        <w:rPr>
          <w:rFonts w:hint="eastAsia" w:ascii="方正仿宋简体" w:hAnsi="方正仿宋简体" w:eastAsia="方正仿宋简体" w:cs="方正仿宋简体"/>
          <w:sz w:val="32"/>
          <w:szCs w:val="32"/>
          <w:lang w:val="en-US" w:eastAsia="zh-CN"/>
        </w:rPr>
        <w:t>26425.62</w:t>
      </w:r>
      <w:r>
        <w:rPr>
          <w:rFonts w:hint="eastAsia" w:ascii="方正仿宋简体" w:hAnsi="方正仿宋简体" w:eastAsia="方正仿宋简体" w:cs="方正仿宋简体"/>
          <w:sz w:val="32"/>
          <w:szCs w:val="32"/>
        </w:rPr>
        <w:t>万元，其中人员经费增加</w:t>
      </w:r>
      <w:r>
        <w:rPr>
          <w:rFonts w:hint="eastAsia" w:ascii="方正仿宋简体" w:hAnsi="方正仿宋简体" w:eastAsia="方正仿宋简体" w:cs="方正仿宋简体"/>
          <w:sz w:val="32"/>
          <w:szCs w:val="32"/>
          <w:lang w:val="en-US" w:eastAsia="zh-CN"/>
        </w:rPr>
        <w:t>280.71</w:t>
      </w:r>
      <w:r>
        <w:rPr>
          <w:rFonts w:hint="eastAsia" w:ascii="方正仿宋简体" w:hAnsi="方正仿宋简体" w:eastAsia="方正仿宋简体" w:cs="方正仿宋简体"/>
          <w:sz w:val="32"/>
          <w:szCs w:val="32"/>
        </w:rPr>
        <w:t>万元（增加原因为在职人员增加及工资调整</w:t>
      </w:r>
      <w:r>
        <w:rPr>
          <w:rFonts w:hint="eastAsia" w:ascii="方正仿宋简体" w:hAnsi="方正仿宋简体" w:eastAsia="方正仿宋简体" w:cs="方正仿宋简体"/>
          <w:sz w:val="32"/>
          <w:szCs w:val="32"/>
          <w:lang w:eastAsia="zh-CN"/>
        </w:rPr>
        <w:t>，单位新招录劳务派遣人员</w:t>
      </w:r>
      <w:r>
        <w:rPr>
          <w:rFonts w:hint="eastAsia" w:ascii="方正仿宋简体" w:hAnsi="方正仿宋简体" w:eastAsia="方正仿宋简体" w:cs="方正仿宋简体"/>
          <w:sz w:val="32"/>
          <w:szCs w:val="32"/>
        </w:rPr>
        <w:t>）、正常公用经费</w:t>
      </w:r>
      <w:r>
        <w:rPr>
          <w:rFonts w:hint="eastAsia" w:ascii="方正仿宋简体" w:hAnsi="方正仿宋简体" w:eastAsia="方正仿宋简体" w:cs="方正仿宋简体"/>
          <w:sz w:val="32"/>
          <w:szCs w:val="32"/>
          <w:lang w:eastAsia="zh-CN"/>
        </w:rPr>
        <w:t>比去年减少</w:t>
      </w:r>
      <w:r>
        <w:rPr>
          <w:rFonts w:hint="eastAsia" w:ascii="方正仿宋简体" w:hAnsi="方正仿宋简体" w:eastAsia="方正仿宋简体" w:cs="方正仿宋简体"/>
          <w:sz w:val="32"/>
          <w:szCs w:val="32"/>
          <w:lang w:val="en-US" w:eastAsia="zh-CN"/>
        </w:rPr>
        <w:t>4.77万元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项目支出增加</w:t>
      </w:r>
      <w:r>
        <w:rPr>
          <w:rFonts w:hint="eastAsia" w:ascii="方正仿宋简体" w:hAnsi="方正仿宋简体" w:eastAsia="方正仿宋简体" w:cs="方正仿宋简体"/>
          <w:sz w:val="32"/>
          <w:szCs w:val="32"/>
          <w:lang w:val="en-US" w:eastAsia="zh-CN"/>
        </w:rPr>
        <w:t>26149.67</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因</w:t>
      </w:r>
      <w:r>
        <w:rPr>
          <w:rFonts w:hint="eastAsia" w:ascii="方正仿宋简体" w:hAnsi="方正仿宋简体" w:eastAsia="方正仿宋简体" w:cs="方正仿宋简体"/>
          <w:sz w:val="32"/>
          <w:szCs w:val="32"/>
          <w:lang w:val="en-US" w:eastAsia="zh-CN"/>
        </w:rPr>
        <w:t>2022年项目支出调到2023年</w:t>
      </w:r>
      <w:r>
        <w:rPr>
          <w:rFonts w:hint="eastAsia" w:ascii="方正仿宋简体" w:hAnsi="方正仿宋简体" w:eastAsia="方正仿宋简体" w:cs="方正仿宋简体"/>
          <w:sz w:val="32"/>
          <w:szCs w:val="32"/>
        </w:rPr>
        <w:t>）。</w:t>
      </w:r>
    </w:p>
    <w:p>
      <w:pPr>
        <w:pStyle w:val="16"/>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年机关运行经费共计安排</w:t>
      </w:r>
      <w:r>
        <w:rPr>
          <w:rFonts w:hint="eastAsia" w:ascii="方正仿宋简体" w:hAnsi="方正仿宋简体" w:eastAsia="方正仿宋简体" w:cs="方正仿宋简体"/>
          <w:sz w:val="32"/>
          <w:szCs w:val="32"/>
          <w:lang w:val="en-US" w:eastAsia="zh-CN"/>
        </w:rPr>
        <w:t>129.64</w:t>
      </w:r>
      <w:r>
        <w:rPr>
          <w:rFonts w:hint="eastAsia" w:ascii="方正仿宋简体" w:hAnsi="方正仿宋简体" w:eastAsia="方正仿宋简体" w:cs="方正仿宋简体"/>
          <w:sz w:val="32"/>
          <w:szCs w:val="32"/>
        </w:rPr>
        <w:t>万元，主要包括用于保证机关正常运转的办公费、邮电费、差旅费、福利费、水电费、办公取暖费、日常维修费、物业管理费、公务车运行维护费等支出。</w:t>
      </w:r>
    </w:p>
    <w:p>
      <w:pPr>
        <w:pStyle w:val="17"/>
        <w:ind w:left="0" w:leftChars="0" w:firstLine="0" w:firstLineChars="0"/>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年我部门“三公”经费预算安排</w:t>
      </w:r>
      <w:r>
        <w:rPr>
          <w:rFonts w:hint="eastAsia" w:ascii="方正仿宋简体" w:hAnsi="方正仿宋简体" w:eastAsia="方正仿宋简体" w:cs="方正仿宋简体"/>
          <w:sz w:val="32"/>
          <w:szCs w:val="32"/>
          <w:lang w:val="en-US" w:eastAsia="zh-CN"/>
        </w:rPr>
        <w:t>6.85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1.51万元</w:t>
      </w:r>
      <w:r>
        <w:rPr>
          <w:rFonts w:hint="eastAsia" w:ascii="方正仿宋简体" w:hAnsi="方正仿宋简体" w:eastAsia="方正仿宋简体" w:cs="方正仿宋简体"/>
          <w:sz w:val="32"/>
          <w:szCs w:val="32"/>
        </w:rPr>
        <w:t>。具体安排情况为：</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(一)公务用车购置及运行费。共计安排</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万元，与2022年预算相比无变化。</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①公务用车购置0万元，与上年持平；</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②公务运行维护经费安排</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万元，与上年持平</w:t>
      </w:r>
      <w:r>
        <w:rPr>
          <w:rFonts w:hint="eastAsia" w:ascii="方正仿宋简体" w:hAnsi="方正仿宋简体" w:eastAsia="方正仿宋简体" w:cs="方正仿宋简体"/>
          <w:sz w:val="32"/>
          <w:szCs w:val="32"/>
          <w:lang w:eastAsia="zh-CN"/>
        </w:rPr>
        <w:t>；</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（二）公务接待费。共计安排</w:t>
      </w:r>
      <w:r>
        <w:rPr>
          <w:rFonts w:hint="eastAsia" w:ascii="方正仿宋简体" w:hAnsi="方正仿宋简体" w:eastAsia="方正仿宋简体" w:cs="方正仿宋简体"/>
          <w:sz w:val="32"/>
          <w:szCs w:val="32"/>
          <w:lang w:val="en-US" w:eastAsia="zh-CN"/>
        </w:rPr>
        <w:t>0.85</w:t>
      </w:r>
      <w:r>
        <w:rPr>
          <w:rFonts w:hint="eastAsia" w:ascii="方正仿宋简体" w:hAnsi="方正仿宋简体" w:eastAsia="方正仿宋简体" w:cs="方正仿宋简体"/>
          <w:sz w:val="32"/>
          <w:szCs w:val="32"/>
        </w:rPr>
        <w:t>万元，与2022年预算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1.51万元</w:t>
      </w:r>
      <w:r>
        <w:rPr>
          <w:rFonts w:hint="eastAsia" w:ascii="方正仿宋简体" w:hAnsi="方正仿宋简体" w:eastAsia="方正仿宋简体" w:cs="方正仿宋简体"/>
          <w:sz w:val="32"/>
          <w:szCs w:val="32"/>
        </w:rPr>
        <w:t>。</w:t>
      </w:r>
    </w:p>
    <w:p>
      <w:pPr>
        <w:spacing w:line="5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因公出国(境)费安排0万元，与2022年预算相比无变化。</w:t>
      </w:r>
    </w:p>
    <w:p>
      <w:pPr>
        <w:pStyle w:val="18"/>
        <w:ind w:left="0" w:leftChars="0" w:firstLine="0" w:firstLineChars="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唐山市自然资源和规划局丰润区分局为贯彻落实党中央和省委、市委关于自然资源和规划工作的方针政策和决策部署,坚持和加强党对自然资源和规划工作的集中统一领导。履行全民所有土地、矿产、湿地、水等自然资源资产所有者职责和所有国土空间用途管制职责。年度总体规划绩效目标是：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组织开展自然资源分等定级价格评估和自然资源利用评价,节约集约利用自然资源。组织落实自然资源管理涉及宏观调控、区域协调和城乡统筹的政策措施。建立健全辖区自然资源和不动产登记信息管理基础平台。</w:t>
      </w:r>
    </w:p>
    <w:p>
      <w:pPr>
        <w:pStyle w:val="19"/>
      </w:pPr>
      <w:r>
        <w:t>完成唐山市自然资源和规划局及区委、区政府交办的其他任务。</w:t>
      </w:r>
    </w:p>
    <w:p>
      <w:pPr>
        <w:spacing w:line="500" w:lineRule="exact"/>
        <w:ind w:firstLine="560"/>
      </w:pPr>
      <w:r>
        <w:rPr>
          <w:rFonts w:eastAsia="方正仿宋_GBK"/>
          <w:color w:val="000000"/>
          <w:sz w:val="28"/>
        </w:rPr>
        <w:t>（二）分项绩效目标</w:t>
      </w:r>
    </w:p>
    <w:p>
      <w:pPr>
        <w:pStyle w:val="20"/>
      </w:pPr>
      <w:r>
        <w:t>（一）耕地保护监督管理</w:t>
      </w:r>
    </w:p>
    <w:p>
      <w:pPr>
        <w:pStyle w:val="20"/>
      </w:pPr>
      <w:r>
        <w:t>绩效目标：组织实施辖区耕地保护政策,组织实施耕地保护责任目标考核和永久基本农田特殊保护,负责辖区永久基本农田划定、占用和补划的监督管理承担耕地占补平衡管理工作。承担土地征收征用管理工作。承担报国务院、省政府、市政府审批的各类用地的审核、报批工作。负责耕地保护政策与林地、草地、湿地等土地资源保护政策的衔接。</w:t>
      </w:r>
    </w:p>
    <w:p>
      <w:pPr>
        <w:pStyle w:val="20"/>
      </w:pPr>
      <w:r>
        <w:t>绩效指标：出让及收储宗地数量大于等于15宗，土地出让占总数比例大于等于95%，土地征收风险评估编制拟征收批次数大于等于23个批次，土地出让预计成本小于等于78万元/亩。</w:t>
      </w:r>
    </w:p>
    <w:p>
      <w:pPr>
        <w:pStyle w:val="20"/>
      </w:pPr>
      <w:r>
        <w:t>（二）自然资源确权登记管理</w:t>
      </w:r>
    </w:p>
    <w:p>
      <w:pPr>
        <w:pStyle w:val="20"/>
      </w:pPr>
      <w:r>
        <w:t>绩效目标：实施国家各类自然资源和不动产统一确权登记、权籍调查、不动产测绘、争议调处、成果应用的制度、标准、规范。受市局委托承担辖区自然资源和不动产确权登记工作。建立健全自然资源和不动产登记信息管理基础平台,管理登记资料。</w:t>
      </w:r>
    </w:p>
    <w:p>
      <w:pPr>
        <w:pStyle w:val="20"/>
      </w:pPr>
      <w:r>
        <w:t>绩效指标：宅基地纸质档案电子化处理等工作数量大于等于25万卷，确权登记完成率大于等于95%，全区宅基地及集体建设用地调查数量大于等于39个。</w:t>
      </w:r>
    </w:p>
    <w:p>
      <w:pPr>
        <w:pStyle w:val="20"/>
      </w:pPr>
      <w:r>
        <w:t>（三）自然资源开发利用管理</w:t>
      </w:r>
    </w:p>
    <w:p>
      <w:pPr>
        <w:pStyle w:val="20"/>
      </w:pPr>
      <w:r>
        <w:t>绩效目标：贯彻执行全民所有自然资源资产管理政策和统计制度，承担自然资源资产价值评估和资产核算工作。编制全民所有自然资源资产负债表，落实考核标准。参与拟订全民所有自然资源资产划拨、出让、租赁、作价出资和土地储备政策。依权限承担改制企业国有土地资产处置。负责审批项目的批后监管工作。协调组织区土地管理委员会日常工作。</w:t>
      </w:r>
    </w:p>
    <w:p>
      <w:pPr>
        <w:pStyle w:val="20"/>
      </w:pPr>
      <w:r>
        <w:t>绩效指标：自然资源资产清查种类大于等于6类，土地资源节约集约利用期限大于等于10年，更新自然资源价格体系时间小于等于1年。</w:t>
      </w:r>
    </w:p>
    <w:p>
      <w:pPr>
        <w:pStyle w:val="20"/>
      </w:pPr>
      <w:r>
        <w:t>（四）矿产资源管理</w:t>
      </w:r>
    </w:p>
    <w:p>
      <w:pPr>
        <w:pStyle w:val="20"/>
      </w:pPr>
      <w:r>
        <w:t>绩效目标：拟订辖区矿业权管理政策并组织实施，负责金属、非金属矿产资源矿业权申请登记核查。统计分析并指导探矿权、采矿权审批登记，调处矿业权权属纠纷。组织实施矿产资源储量评审、备案、登记、统计和信息发布及压覆矿产资源审批管理、矿产地战略储备工作。实施矿山储量动态管理，负责矿产资源安全监测预警工作。</w:t>
      </w:r>
    </w:p>
    <w:p>
      <w:pPr>
        <w:pStyle w:val="20"/>
      </w:pPr>
      <w:r>
        <w:t>绩效指标：丰润区矿产资源总体规划编制数量大于等于2个，规划编制完成率大于等于95%。</w:t>
      </w:r>
    </w:p>
    <w:p>
      <w:pPr>
        <w:pStyle w:val="20"/>
      </w:pPr>
      <w:r>
        <w:t>（五）自然资源调查监测管理</w:t>
      </w:r>
    </w:p>
    <w:p>
      <w:pPr>
        <w:pStyle w:val="20"/>
      </w:pPr>
      <w:r>
        <w:t>绩效目标：定期组织实施辖区性自然资源基础调查、变更调查、动态监测和分析评价。组织开展土地、矿产、水、海洋、森林、草原、湿地和地理国情等专项调查监测评价工作。承担自然资源调查监测评价成果的汇交、管理、维护、发布、共享和利用监督。</w:t>
      </w:r>
    </w:p>
    <w:p>
      <w:pPr>
        <w:pStyle w:val="20"/>
      </w:pPr>
      <w:r>
        <w:t>绩效指标：调查全区范围内地类图斑数大于等于16420处，数据库正确率大于等于95%。</w:t>
      </w:r>
    </w:p>
    <w:p>
      <w:pPr>
        <w:pStyle w:val="20"/>
      </w:pPr>
      <w:r>
        <w:t>（六）执法监察管理</w:t>
      </w:r>
    </w:p>
    <w:p>
      <w:pPr>
        <w:pStyle w:val="20"/>
      </w:pPr>
      <w:r>
        <w:t>绩效目标：负责对辖区内执行和遵守自然资源和规划法律法规情况进行监督检查;参与拟订辖区自然资源和国土空间规划执法监督和违法案件查处规定;组织开展对辖区国土空间规划和自然资源开发利用工作的监督检查;负责辖区国土空间规划和自然资源违法案件调查工作并依权限进行处理。负责查处辖区违反城乡规划法律、法规、规章的行为(城市管理综合行政执法部门负责的有关城乡规划执法除外)。负责组织开展辖区内自然资源利用和管理形势分析研判。组织开展法治宣传教育。受市局委托承担行政复议、行政诉讼的答复、行政应诉工作。</w:t>
      </w:r>
    </w:p>
    <w:p>
      <w:pPr>
        <w:pStyle w:val="20"/>
      </w:pPr>
      <w:r>
        <w:t>绩效指标：视频维护数量大于等于32个，违法图斑整改率大于等于85%，对违法开采、非法占地处罚标准大于100元/平方米。</w:t>
      </w:r>
    </w:p>
    <w:p>
      <w:pPr>
        <w:pStyle w:val="20"/>
      </w:pPr>
      <w:r>
        <w:t>（七）国土空间规划管理</w:t>
      </w:r>
    </w:p>
    <w:p>
      <w:pPr>
        <w:pStyle w:val="20"/>
      </w:pPr>
      <w:r>
        <w:t>绩效目标：建立空间规划体系工作并监督实施。组织编制全区国土空间规划和相关专项规划。开展国土空间开发适宜性评价，建立国土空间规划实施监测、评估和预警体系。制定本区“五级两规一导则”,组织编制辖区多规合一、国土空间规划、近期建设规划。负责组织协调编制基础设施、公共设施等专项规划。组织开展城市规划建设问题的调查研究。负责组织编制控制性详细规划。负责组织各类规划方案征集、评审、论证工作。参与拟订耕地、林地、草地、湿地等国土空间用途转用政策并组织实施。</w:t>
      </w:r>
    </w:p>
    <w:p>
      <w:pPr>
        <w:pStyle w:val="20"/>
      </w:pPr>
      <w:r>
        <w:t>绩效指标：城区、村庄控制性详细规划类别大于等于5类，规划质量评定达到良，区规划土地利用率大于等于90%。</w:t>
      </w:r>
    </w:p>
    <w:p>
      <w:pPr>
        <w:pStyle w:val="20"/>
      </w:pPr>
      <w:r>
        <w:t>(八)国土空间生态修复管理</w:t>
      </w:r>
    </w:p>
    <w:p>
      <w:pPr>
        <w:pStyle w:val="20"/>
      </w:pPr>
      <w:r>
        <w:t>绩效目标：承担全区国土空间生态修复政策研究工作，拟订国土空间生态修复规划并组织实施。承担国土空间综合整治、土地整理复垦、工矿废弃地复垦利用、矿山地质环境恢复治理工作。承担生态保护补偿相关工作。负责辖区内国土空间生态修复工作。</w:t>
      </w:r>
    </w:p>
    <w:p>
      <w:pPr>
        <w:pStyle w:val="20"/>
      </w:pPr>
      <w:r>
        <w:t>绩效指标：核查用地面积大于等于202.3762公顷，用地面积核查率大于等于95%，矿山图斑核查数量大于等于358处，信息填报率大于等于95%。</w:t>
      </w:r>
    </w:p>
    <w:p>
      <w:pPr>
        <w:pStyle w:val="20"/>
      </w:pPr>
      <w:r>
        <w:t>(九) 城市管理</w:t>
      </w:r>
    </w:p>
    <w:p>
      <w:pPr>
        <w:pStyle w:val="20"/>
      </w:pPr>
      <w:r>
        <w:t>绩效目标：负责组织编制辖区内总体城市设计，编制区域及重点地块的城市设计，负责编制地块修建性详细规划。负责辖区内城市建设用地规划管理，提出城市建设用地范围内建设项目选址意见，核发选址意见书(含市政)负责核定划拨地块的位置、面积、允许建设的范围，提出出让地块规划条件，核发建设用地规划许可证(含市政)负责审定建设工程设计方案，核办建设工程规划许可(含市政)临时建设工程规划许可。负责乡村规划许可。负责雕塑、绿化等城市景观、环境建设的规划管理工作。负责涉及外立面的房屋改造类项目(老旧小区改造)出具审核意见。负责建设工程的批后管理和规划核实工作(含市政)负责辖区内建设工程设计方案的批前公示、意见收集及批后公布协调组织区城乡规划委员会日常工作。</w:t>
      </w:r>
    </w:p>
    <w:p>
      <w:pPr>
        <w:pStyle w:val="20"/>
      </w:pPr>
      <w:r>
        <w:t>绩效指标：编制区域控制性详细规划数量大于等于2个，规划编制完成率大于等于95%。</w:t>
      </w:r>
    </w:p>
    <w:p>
      <w:pPr>
        <w:pStyle w:val="20"/>
      </w:pPr>
      <w:r>
        <w:t>(十) 村镇管理</w:t>
      </w:r>
    </w:p>
    <w:p>
      <w:pPr>
        <w:pStyle w:val="20"/>
      </w:pPr>
      <w:r>
        <w:t>绩效目标：负责“五级两规一导则”有关工作。负责城市规划建设用地外各建制镇、乡和村庄的规划编制和实施工作，核发选址意见书(含市政)负责核定划拨地块的位置、面积、允许建设范围，提出出让地块规划条件，核发建设用地规划许可证(含市政)审核工程设计方案，核发工程规划许可证及乡村规划许可证。负责全市乡村振兴战略工作中相应的规划工作负责组织镇乡村城乡规划管理工作人员的业务培训负责本科室工程项目的批后监管及核实工作。</w:t>
      </w:r>
    </w:p>
    <w:p>
      <w:pPr>
        <w:pStyle w:val="20"/>
      </w:pPr>
      <w:r>
        <w:t>绩效指标：2022年村庄规划编制数量大于等于20个，规划编制完成率大于等于95%。</w:t>
      </w:r>
    </w:p>
    <w:p>
      <w:pPr>
        <w:spacing w:line="500" w:lineRule="exact"/>
        <w:ind w:firstLine="560"/>
      </w:pPr>
      <w:r>
        <w:rPr>
          <w:rFonts w:eastAsia="方正仿宋_GBK"/>
          <w:color w:val="000000"/>
          <w:sz w:val="28"/>
        </w:rPr>
        <w:t>（三）工作保障措施</w:t>
      </w:r>
    </w:p>
    <w:p>
      <w:pPr>
        <w:pStyle w:val="21"/>
      </w:pPr>
      <w:r>
        <w:t xml:space="preserve">我局落实中央、省、市关于统一行使全民所有自然资源资产所有者职责,统一行使所有国土空间用途管制和生态保护修复职责的要求,发挥国土空间规划的管控作用,为保护和合理开发利用自然资源提供科学指引。创新激励约束并举的制度措施,推进自然资源节约集约利用。充分发挥市场对资源配置的决定性作用,强化自然资源管理规则、标准、制度的约束性作用推进自然资源确权登记和评估的便民高效。 </w:t>
      </w:r>
    </w:p>
    <w:p>
      <w:pPr>
        <w:pStyle w:val="21"/>
      </w:pPr>
      <w:r>
        <w:t>（一）完善制度建设。提高党校教师工作的自觉性和主动性，按照年初岗位工作目标推进各项工作落实，最大限度地调动工作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1"/>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1"/>
      </w:pPr>
      <w:r>
        <w:t>（三）加强绩效运行监控。按要求开展绩效运行监控，发现问题及时采取措施，确保绩效目标如期保质实现。</w:t>
      </w:r>
    </w:p>
    <w:p>
      <w:pPr>
        <w:pStyle w:val="21"/>
      </w:pPr>
      <w:r>
        <w:t>（四）做好绩效自评。按要求开展上年度部门预算绩效自评和重点评价工作，对评价中发现的问题及时整改，调整优化支出结构，提高财政资金使用效益。</w:t>
      </w:r>
    </w:p>
    <w:p>
      <w:pPr>
        <w:pStyle w:val="21"/>
      </w:pPr>
      <w:r>
        <w:t>（五）规范财务资产管理。完善财务管理制度，严格审批程序，加强固定资产登记、使用和报废处置管理，做到支出合理，物尽其用。</w:t>
      </w:r>
    </w:p>
    <w:p>
      <w:pPr>
        <w:pStyle w:val="2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七）加强宣传培训调研等。切实加强人才队伍建设，创新管理使用机制，促进人才成长，激活现有人才存量，通过科学设置岗位，使各类人员在各自岗位上充分发挥专业特长；坚持每月一次的集体政治学习和每周一次的科室政治业务学习，在系统学习中国特色社会主义理论的同时，注重加强社会主义核心价值观和宗旨教育。建立科学的考评机制，激励人才成长和作用的发挥。</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1、土地变更调查绩效目标表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建立完善土地变更调查数据库</w:t>
            </w:r>
          </w:p>
          <w:p>
            <w:pPr>
              <w:pStyle w:val="10"/>
            </w:pPr>
            <w:r>
              <w:t>2.</w:t>
            </w:r>
            <w:r>
              <w:rPr>
                <w:rFonts w:hint="eastAsia"/>
              </w:rPr>
              <w:t>为全区发展提供地类数据支持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rPr>
              <w:t>地类图斑数</w:t>
            </w:r>
          </w:p>
        </w:tc>
        <w:tc>
          <w:tcPr>
            <w:tcW w:w="2835" w:type="dxa"/>
            <w:vAlign w:val="center"/>
          </w:tcPr>
          <w:p>
            <w:pPr>
              <w:pStyle w:val="10"/>
            </w:pPr>
            <w:r>
              <w:rPr>
                <w:rFonts w:hint="eastAsia"/>
              </w:rPr>
              <w:t>地类图斑数</w:t>
            </w:r>
          </w:p>
        </w:tc>
        <w:tc>
          <w:tcPr>
            <w:tcW w:w="2551" w:type="dxa"/>
            <w:vAlign w:val="center"/>
          </w:tcPr>
          <w:p>
            <w:pPr>
              <w:pStyle w:val="10"/>
            </w:pPr>
            <w:r>
              <w:t>≥</w:t>
            </w:r>
            <w:r>
              <w:rPr>
                <w:rFonts w:hint="eastAsia"/>
              </w:rPr>
              <w:t>16420处</w:t>
            </w:r>
          </w:p>
        </w:tc>
        <w:tc>
          <w:tcPr>
            <w:tcW w:w="2268" w:type="dxa"/>
            <w:vAlign w:val="center"/>
          </w:tcPr>
          <w:p>
            <w:pPr>
              <w:pStyle w:val="10"/>
            </w:pPr>
            <w:r>
              <w:rPr>
                <w:rFonts w:hint="eastAsia"/>
              </w:rP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rPr>
              <w:t>数据库正确率</w:t>
            </w:r>
          </w:p>
        </w:tc>
        <w:tc>
          <w:tcPr>
            <w:tcW w:w="2835" w:type="dxa"/>
            <w:vAlign w:val="center"/>
          </w:tcPr>
          <w:p>
            <w:pPr>
              <w:pStyle w:val="10"/>
            </w:pPr>
            <w:r>
              <w:rPr>
                <w:rFonts w:hint="eastAsia"/>
              </w:rPr>
              <w:t>数据库正确率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rPr>
              <w:t>成果完成时间</w:t>
            </w:r>
          </w:p>
        </w:tc>
        <w:tc>
          <w:tcPr>
            <w:tcW w:w="2835" w:type="dxa"/>
            <w:vAlign w:val="center"/>
          </w:tcPr>
          <w:p>
            <w:pPr>
              <w:pStyle w:val="10"/>
            </w:pPr>
            <w:r>
              <w:rPr>
                <w:rFonts w:hint="eastAsia"/>
              </w:rPr>
              <w:t>成果完成时间</w:t>
            </w:r>
          </w:p>
        </w:tc>
        <w:tc>
          <w:tcPr>
            <w:tcW w:w="2551" w:type="dxa"/>
            <w:vAlign w:val="center"/>
          </w:tcPr>
          <w:p>
            <w:pPr>
              <w:pStyle w:val="10"/>
            </w:pPr>
            <w:r>
              <w:rPr>
                <w:rFonts w:hint="eastAsia"/>
              </w:rPr>
              <w:t>2023年年底</w:t>
            </w:r>
          </w:p>
        </w:tc>
        <w:tc>
          <w:tcPr>
            <w:tcW w:w="2268" w:type="dxa"/>
            <w:vAlign w:val="center"/>
          </w:tcPr>
          <w:p>
            <w:pPr>
              <w:pStyle w:val="10"/>
            </w:pPr>
            <w:r>
              <w:rPr>
                <w:rFonts w:hint="eastAsia"/>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rPr>
              <w:t>图斑核查单价</w:t>
            </w:r>
          </w:p>
        </w:tc>
        <w:tc>
          <w:tcPr>
            <w:tcW w:w="2835" w:type="dxa"/>
            <w:vAlign w:val="center"/>
          </w:tcPr>
          <w:p>
            <w:pPr>
              <w:pStyle w:val="10"/>
            </w:pPr>
            <w:r>
              <w:rPr>
                <w:rFonts w:hint="eastAsia"/>
              </w:rPr>
              <w:t>图斑核查单价</w:t>
            </w:r>
          </w:p>
        </w:tc>
        <w:tc>
          <w:tcPr>
            <w:tcW w:w="2551" w:type="dxa"/>
            <w:vAlign w:val="center"/>
          </w:tcPr>
          <w:p>
            <w:pPr>
              <w:pStyle w:val="10"/>
            </w:pPr>
            <w:r>
              <w:t>≤</w:t>
            </w:r>
            <w:r>
              <w:rPr>
                <w:rFonts w:hint="eastAsia"/>
              </w:rPr>
              <w:t>106.6元/处</w:t>
            </w:r>
          </w:p>
        </w:tc>
        <w:tc>
          <w:tcPr>
            <w:tcW w:w="2268" w:type="dxa"/>
            <w:vAlign w:val="center"/>
          </w:tcPr>
          <w:p>
            <w:pPr>
              <w:pStyle w:val="10"/>
            </w:pPr>
            <w:r>
              <w:rPr>
                <w:rFonts w:hint="eastAsia"/>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rPr>
                <w:rFonts w:hint="eastAsia"/>
              </w:rPr>
              <w:t>全面了解丰润区土地利用现状</w:t>
            </w:r>
          </w:p>
        </w:tc>
        <w:tc>
          <w:tcPr>
            <w:tcW w:w="2835" w:type="dxa"/>
            <w:vAlign w:val="center"/>
          </w:tcPr>
          <w:p>
            <w:pPr>
              <w:pStyle w:val="10"/>
            </w:pPr>
            <w:r>
              <w:rPr>
                <w:rFonts w:hint="eastAsia"/>
              </w:rPr>
              <w:t>全面了解丰润区土地利用现状</w:t>
            </w:r>
          </w:p>
        </w:tc>
        <w:tc>
          <w:tcPr>
            <w:tcW w:w="2551" w:type="dxa"/>
            <w:vAlign w:val="center"/>
          </w:tcPr>
          <w:p>
            <w:pPr>
              <w:pStyle w:val="10"/>
            </w:pPr>
            <w:r>
              <w:rPr>
                <w:rFonts w:hint="eastAsia"/>
              </w:rP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rPr>
              <w:t>受益群体满意度</w:t>
            </w:r>
          </w:p>
        </w:tc>
        <w:tc>
          <w:tcPr>
            <w:tcW w:w="2835" w:type="dxa"/>
            <w:vAlign w:val="center"/>
          </w:tcPr>
          <w:p>
            <w:pPr>
              <w:pStyle w:val="10"/>
            </w:pPr>
            <w:r>
              <w:rPr>
                <w:rFonts w:hint="eastAsia"/>
              </w:rPr>
              <w:t>受益群体满意度</w:t>
            </w:r>
          </w:p>
        </w:tc>
        <w:tc>
          <w:tcPr>
            <w:tcW w:w="2551" w:type="dxa"/>
            <w:vAlign w:val="center"/>
          </w:tcPr>
          <w:p>
            <w:pPr>
              <w:pStyle w:val="10"/>
            </w:pPr>
            <w:r>
              <w:t>≥9</w:t>
            </w:r>
            <w:r>
              <w:rPr>
                <w:rFonts w:hint="eastAsia"/>
                <w:lang w:val="en-US" w:eastAsia="zh-CN"/>
              </w:rPr>
              <w:t>0</w:t>
            </w:r>
            <w:r>
              <w:t>%</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2、土地矿产卫片执法绩效目标表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对部下发的土地、矿产卫片图斑进行核实，有效打击违法行为的发生</w:t>
            </w:r>
          </w:p>
          <w:p>
            <w:pPr>
              <w:pStyle w:val="10"/>
            </w:pPr>
            <w:r>
              <w:t>2.</w:t>
            </w:r>
            <w:r>
              <w:rPr>
                <w:rFonts w:hint="eastAsia"/>
              </w:rPr>
              <w:t>对越界采矿做采出量核实，出具储量报告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rPr>
              <w:t>视频维护</w:t>
            </w:r>
          </w:p>
        </w:tc>
        <w:tc>
          <w:tcPr>
            <w:tcW w:w="2835" w:type="dxa"/>
            <w:vAlign w:val="center"/>
          </w:tcPr>
          <w:p>
            <w:pPr>
              <w:pStyle w:val="10"/>
            </w:pPr>
            <w:r>
              <w:rPr>
                <w:rFonts w:hint="eastAsia"/>
              </w:rPr>
              <w:t>视频维护</w:t>
            </w:r>
          </w:p>
        </w:tc>
        <w:tc>
          <w:tcPr>
            <w:tcW w:w="2551" w:type="dxa"/>
            <w:vAlign w:val="center"/>
          </w:tcPr>
          <w:p>
            <w:pPr>
              <w:pStyle w:val="10"/>
            </w:pPr>
            <w:r>
              <w:rPr>
                <w:rFonts w:hint="eastAsia"/>
              </w:rPr>
              <w:t>≥32个</w:t>
            </w:r>
          </w:p>
        </w:tc>
        <w:tc>
          <w:tcPr>
            <w:tcW w:w="2268" w:type="dxa"/>
            <w:vAlign w:val="center"/>
          </w:tcPr>
          <w:p>
            <w:pPr>
              <w:pStyle w:val="10"/>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rPr>
                <w:rFonts w:hint="eastAsia"/>
              </w:rPr>
            </w:pPr>
            <w:r>
              <w:rPr>
                <w:rFonts w:hint="eastAsia"/>
                <w:lang w:val="en-US" w:eastAsia="zh-CN"/>
              </w:rPr>
              <w:t>对违法图斑进行整改</w:t>
            </w:r>
          </w:p>
        </w:tc>
        <w:tc>
          <w:tcPr>
            <w:tcW w:w="2835" w:type="dxa"/>
            <w:vAlign w:val="center"/>
          </w:tcPr>
          <w:p>
            <w:pPr>
              <w:pStyle w:val="10"/>
              <w:rPr>
                <w:rFonts w:hint="eastAsia"/>
              </w:rPr>
            </w:pPr>
            <w:r>
              <w:rPr>
                <w:rFonts w:hint="eastAsia"/>
                <w:lang w:val="en-US" w:eastAsia="zh-CN"/>
              </w:rPr>
              <w:t>整改矿产卫片占需整改卫片的数量</w:t>
            </w:r>
          </w:p>
        </w:tc>
        <w:tc>
          <w:tcPr>
            <w:tcW w:w="2551" w:type="dxa"/>
            <w:vAlign w:val="center"/>
          </w:tcPr>
          <w:p>
            <w:pPr>
              <w:pStyle w:val="10"/>
              <w:rPr>
                <w:rFonts w:hint="eastAsia"/>
              </w:rPr>
            </w:pPr>
            <w:r>
              <w:rPr>
                <w:rFonts w:hint="eastAsia"/>
                <w:lang w:val="en-US" w:eastAsia="zh-CN"/>
              </w:rPr>
              <w:t>≥85%</w:t>
            </w:r>
          </w:p>
        </w:tc>
        <w:tc>
          <w:tcPr>
            <w:tcW w:w="2268" w:type="dxa"/>
            <w:vAlign w:val="center"/>
          </w:tcPr>
          <w:p>
            <w:pPr>
              <w:pStyle w:val="10"/>
              <w:rPr>
                <w:rFonts w:hint="eastAsia"/>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rPr>
                <w:rFonts w:hint="eastAsia"/>
              </w:rPr>
            </w:pPr>
            <w:r>
              <w:rPr>
                <w:rFonts w:hint="eastAsia"/>
                <w:lang w:val="en-US" w:eastAsia="zh-CN"/>
              </w:rPr>
              <w:t>完成卫片图斑的核实期限</w:t>
            </w:r>
          </w:p>
        </w:tc>
        <w:tc>
          <w:tcPr>
            <w:tcW w:w="2835" w:type="dxa"/>
            <w:vAlign w:val="center"/>
          </w:tcPr>
          <w:p>
            <w:pPr>
              <w:pStyle w:val="10"/>
              <w:rPr>
                <w:rFonts w:hint="eastAsia"/>
              </w:rPr>
            </w:pPr>
            <w:r>
              <w:rPr>
                <w:rFonts w:hint="eastAsia"/>
                <w:lang w:val="en-US" w:eastAsia="zh-CN"/>
              </w:rPr>
              <w:t>完成卫片图斑的核实期限</w:t>
            </w:r>
          </w:p>
        </w:tc>
        <w:tc>
          <w:tcPr>
            <w:tcW w:w="2551" w:type="dxa"/>
            <w:vAlign w:val="center"/>
          </w:tcPr>
          <w:p>
            <w:pPr>
              <w:pStyle w:val="10"/>
              <w:rPr>
                <w:rFonts w:hint="eastAsia"/>
              </w:rPr>
            </w:pPr>
            <w:r>
              <w:rPr>
                <w:rFonts w:hint="eastAsia"/>
                <w:lang w:val="en-US" w:eastAsia="zh-CN"/>
              </w:rPr>
              <w:t>≤3月</w:t>
            </w:r>
          </w:p>
        </w:tc>
        <w:tc>
          <w:tcPr>
            <w:tcW w:w="2268" w:type="dxa"/>
            <w:vAlign w:val="center"/>
          </w:tcPr>
          <w:p>
            <w:pPr>
              <w:pStyle w:val="10"/>
              <w:rPr>
                <w:rFonts w:hint="eastAsia"/>
              </w:rPr>
            </w:pPr>
            <w:r>
              <w:rPr>
                <w:rFonts w:hint="eastAsia"/>
                <w:lang w:val="en-US"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rPr>
                <w:rFonts w:hint="eastAsia"/>
              </w:rPr>
            </w:pPr>
            <w:r>
              <w:rPr>
                <w:rFonts w:hint="eastAsia"/>
                <w:lang w:val="en-US" w:eastAsia="zh-CN"/>
              </w:rPr>
              <w:t>聘请第三方视频维护成本</w:t>
            </w:r>
          </w:p>
        </w:tc>
        <w:tc>
          <w:tcPr>
            <w:tcW w:w="2835" w:type="dxa"/>
            <w:vAlign w:val="center"/>
          </w:tcPr>
          <w:p>
            <w:pPr>
              <w:pStyle w:val="10"/>
              <w:rPr>
                <w:rFonts w:hint="eastAsia"/>
              </w:rPr>
            </w:pPr>
            <w:r>
              <w:rPr>
                <w:rFonts w:hint="eastAsia"/>
                <w:lang w:val="en-US" w:eastAsia="zh-CN"/>
              </w:rPr>
              <w:t>聘请第三方视频维护成本</w:t>
            </w:r>
          </w:p>
        </w:tc>
        <w:tc>
          <w:tcPr>
            <w:tcW w:w="2551" w:type="dxa"/>
            <w:vAlign w:val="center"/>
          </w:tcPr>
          <w:p>
            <w:pPr>
              <w:pStyle w:val="10"/>
              <w:rPr>
                <w:rFonts w:hint="eastAsia"/>
              </w:rPr>
            </w:pPr>
            <w:r>
              <w:rPr>
                <w:rFonts w:hint="eastAsia"/>
                <w:lang w:val="en-US" w:eastAsia="zh-CN"/>
              </w:rPr>
              <w:t>≤40万元</w:t>
            </w:r>
          </w:p>
        </w:tc>
        <w:tc>
          <w:tcPr>
            <w:tcW w:w="2268" w:type="dxa"/>
            <w:vAlign w:val="center"/>
          </w:tcPr>
          <w:p>
            <w:pPr>
              <w:pStyle w:val="10"/>
              <w:rPr>
                <w:rFonts w:hint="eastAsia"/>
              </w:rPr>
            </w:pPr>
            <w:r>
              <w:rPr>
                <w:rFonts w:hint="eastAsia"/>
                <w:lang w:val="en-US"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rPr>
                <w:rFonts w:hint="eastAsia" w:eastAsia="方正书宋_GBK"/>
                <w:lang w:eastAsia="zh-CN"/>
              </w:rPr>
            </w:pPr>
            <w:r>
              <w:rPr>
                <w:rFonts w:hint="eastAsia"/>
                <w:lang w:val="en-US" w:eastAsia="zh-CN"/>
              </w:rPr>
              <w:t>提高土地利用率</w:t>
            </w:r>
          </w:p>
        </w:tc>
        <w:tc>
          <w:tcPr>
            <w:tcW w:w="2835" w:type="dxa"/>
            <w:vAlign w:val="center"/>
          </w:tcPr>
          <w:p>
            <w:pPr>
              <w:pStyle w:val="10"/>
            </w:pPr>
            <w:r>
              <w:rPr>
                <w:rFonts w:hint="eastAsia"/>
                <w:lang w:val="en-US" w:eastAsia="zh-CN"/>
              </w:rPr>
              <w:t>提高土地利用率</w:t>
            </w:r>
          </w:p>
        </w:tc>
        <w:tc>
          <w:tcPr>
            <w:tcW w:w="2551" w:type="dxa"/>
            <w:vAlign w:val="center"/>
          </w:tcPr>
          <w:p>
            <w:pPr>
              <w:pStyle w:val="10"/>
              <w:rPr>
                <w:rFonts w:hint="eastAsia" w:eastAsia="方正书宋_GBK"/>
                <w:lang w:eastAsia="zh-CN"/>
              </w:rPr>
            </w:pPr>
            <w:r>
              <w:rPr>
                <w:rFonts w:hint="eastAsia"/>
                <w:lang w:val="en-US" w:eastAsia="zh-CN"/>
              </w:rPr>
              <w:t>高</w:t>
            </w:r>
          </w:p>
        </w:tc>
        <w:tc>
          <w:tcPr>
            <w:tcW w:w="2268" w:type="dxa"/>
            <w:vAlign w:val="center"/>
          </w:tcPr>
          <w:p>
            <w:pPr>
              <w:pStyle w:val="10"/>
            </w:pPr>
            <w:r>
              <w:rPr>
                <w:rFonts w:hint="eastAsia"/>
                <w:lang w:val="en-US" w:eastAsia="zh-CN"/>
              </w:rPr>
              <w:t>经验</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rPr>
                <w:rFonts w:hint="eastAsia"/>
                <w:lang w:val="en-US" w:eastAsia="zh-CN"/>
              </w:rPr>
              <w:t>对违法开采、非法占地依法进行处罚</w:t>
            </w:r>
          </w:p>
        </w:tc>
        <w:tc>
          <w:tcPr>
            <w:tcW w:w="2835" w:type="dxa"/>
            <w:vAlign w:val="center"/>
          </w:tcPr>
          <w:p>
            <w:pPr>
              <w:pStyle w:val="10"/>
            </w:pPr>
            <w:r>
              <w:rPr>
                <w:rFonts w:hint="eastAsia"/>
                <w:lang w:val="en-US" w:eastAsia="zh-CN"/>
              </w:rPr>
              <w:t>对违法行为依照有关法律法规的规定进行处罚</w:t>
            </w:r>
          </w:p>
        </w:tc>
        <w:tc>
          <w:tcPr>
            <w:tcW w:w="2551" w:type="dxa"/>
            <w:vAlign w:val="center"/>
          </w:tcPr>
          <w:p>
            <w:pPr>
              <w:pStyle w:val="10"/>
            </w:pPr>
            <w:r>
              <w:rPr>
                <w:rFonts w:hint="eastAsia"/>
                <w:lang w:val="en-US" w:eastAsia="zh-CN"/>
              </w:rPr>
              <w:t>≥100元/平方米</w:t>
            </w:r>
          </w:p>
        </w:tc>
        <w:tc>
          <w:tcPr>
            <w:tcW w:w="2268" w:type="dxa"/>
            <w:vAlign w:val="center"/>
          </w:tcPr>
          <w:p>
            <w:pPr>
              <w:pStyle w:val="10"/>
            </w:pPr>
            <w:r>
              <w:rPr>
                <w:rFonts w:hint="eastAsia"/>
                <w:lang w:val="en-US" w:eastAsia="zh-CN"/>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lang w:val="en-US" w:eastAsia="zh-CN"/>
              </w:rPr>
              <w:t>当地居民满意度</w:t>
            </w:r>
          </w:p>
        </w:tc>
        <w:tc>
          <w:tcPr>
            <w:tcW w:w="2835" w:type="dxa"/>
            <w:vAlign w:val="center"/>
          </w:tcPr>
          <w:p>
            <w:pPr>
              <w:pStyle w:val="10"/>
            </w:pPr>
            <w:r>
              <w:rPr>
                <w:rFonts w:hint="eastAsia"/>
                <w:lang w:val="en-US" w:eastAsia="zh-CN"/>
              </w:rPr>
              <w:t>当地居民满意度</w:t>
            </w:r>
          </w:p>
        </w:tc>
        <w:tc>
          <w:tcPr>
            <w:tcW w:w="2551" w:type="dxa"/>
            <w:vAlign w:val="center"/>
          </w:tcPr>
          <w:p>
            <w:pPr>
              <w:pStyle w:val="10"/>
            </w:pPr>
            <w:r>
              <w:rPr>
                <w:rFonts w:hint="eastAsia"/>
                <w:lang w:val="en-US" w:eastAsia="zh-CN"/>
              </w:rPr>
              <w:t>≥95%</w:t>
            </w:r>
          </w:p>
        </w:tc>
        <w:tc>
          <w:tcPr>
            <w:tcW w:w="2268" w:type="dxa"/>
            <w:vAlign w:val="center"/>
          </w:tcPr>
          <w:p>
            <w:pPr>
              <w:pStyle w:val="10"/>
            </w:pPr>
            <w:r>
              <w:rPr>
                <w:rFonts w:hint="eastAsia"/>
                <w:lang w:val="en-US" w:eastAsia="zh-CN"/>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3、网络视频系统维护绩效目标表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1.保障不动产登记工作顺利进行，提高矿山监管力度</w:t>
            </w:r>
          </w:p>
          <w:p>
            <w:pPr>
              <w:pStyle w:val="10"/>
            </w:pPr>
            <w:r>
              <w:t>2.保障登记工作的高效性。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网络视频维护个数</w:t>
            </w:r>
          </w:p>
        </w:tc>
        <w:tc>
          <w:tcPr>
            <w:tcW w:w="2835" w:type="dxa"/>
            <w:vAlign w:val="center"/>
          </w:tcPr>
          <w:p>
            <w:pPr>
              <w:pStyle w:val="10"/>
            </w:pPr>
            <w:r>
              <w:t>网络视频维护个数</w:t>
            </w:r>
          </w:p>
        </w:tc>
        <w:tc>
          <w:tcPr>
            <w:tcW w:w="2551" w:type="dxa"/>
            <w:vAlign w:val="center"/>
          </w:tcPr>
          <w:p>
            <w:pPr>
              <w:pStyle w:val="10"/>
            </w:pPr>
            <w:r>
              <w:t>≥32个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正常使用天数占需要使用天数的比例</w:t>
            </w:r>
          </w:p>
        </w:tc>
        <w:tc>
          <w:tcPr>
            <w:tcW w:w="2835" w:type="dxa"/>
            <w:vAlign w:val="center"/>
          </w:tcPr>
          <w:p>
            <w:pPr>
              <w:pStyle w:val="10"/>
            </w:pPr>
            <w:r>
              <w:t>正常使用天数占需要使用天数的比例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需要维护时间</w:t>
            </w:r>
          </w:p>
        </w:tc>
        <w:tc>
          <w:tcPr>
            <w:tcW w:w="2835" w:type="dxa"/>
            <w:vAlign w:val="center"/>
          </w:tcPr>
          <w:p>
            <w:pPr>
              <w:pStyle w:val="10"/>
            </w:pPr>
            <w:r>
              <w:t>需要维护时间</w:t>
            </w:r>
          </w:p>
        </w:tc>
        <w:tc>
          <w:tcPr>
            <w:tcW w:w="2551" w:type="dxa"/>
            <w:vAlign w:val="center"/>
          </w:tcPr>
          <w:p>
            <w:pPr>
              <w:pStyle w:val="10"/>
            </w:pPr>
            <w:r>
              <w:t>≤1小时</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网络视频系统维护平均成本</w:t>
            </w:r>
          </w:p>
        </w:tc>
        <w:tc>
          <w:tcPr>
            <w:tcW w:w="2835" w:type="dxa"/>
            <w:vAlign w:val="center"/>
          </w:tcPr>
          <w:p>
            <w:pPr>
              <w:pStyle w:val="10"/>
            </w:pPr>
            <w:r>
              <w:t>网络视频系统维护平均成本</w:t>
            </w:r>
          </w:p>
        </w:tc>
        <w:tc>
          <w:tcPr>
            <w:tcW w:w="2551" w:type="dxa"/>
            <w:vAlign w:val="center"/>
          </w:tcPr>
          <w:p>
            <w:pPr>
              <w:pStyle w:val="10"/>
            </w:pPr>
            <w:r>
              <w:t>≤0.15万元/个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实现高质量高品质生活</w:t>
            </w:r>
          </w:p>
        </w:tc>
        <w:tc>
          <w:tcPr>
            <w:tcW w:w="2835" w:type="dxa"/>
            <w:vAlign w:val="center"/>
          </w:tcPr>
          <w:p>
            <w:pPr>
              <w:pStyle w:val="10"/>
            </w:pPr>
            <w:r>
              <w:t>实现高质量高品质生活</w:t>
            </w:r>
          </w:p>
        </w:tc>
        <w:tc>
          <w:tcPr>
            <w:tcW w:w="2551" w:type="dxa"/>
            <w:vAlign w:val="center"/>
          </w:tcPr>
          <w:p>
            <w:pPr>
              <w:pStyle w:val="10"/>
            </w:pPr>
            <w:r>
              <w:t>良</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使用人对维护工作满意程度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4、2020矿山遥感监测数据核对项目绩效目标表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1.查清历史遗留矿山现状</w:t>
            </w:r>
          </w:p>
          <w:p>
            <w:pPr>
              <w:pStyle w:val="10"/>
            </w:pPr>
            <w:r>
              <w:t>2.遥感图斑分类核定，历史遗留矿山数据库建设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图斑核查数量</w:t>
            </w:r>
          </w:p>
        </w:tc>
        <w:tc>
          <w:tcPr>
            <w:tcW w:w="2835" w:type="dxa"/>
            <w:vAlign w:val="center"/>
          </w:tcPr>
          <w:p>
            <w:pPr>
              <w:pStyle w:val="10"/>
            </w:pPr>
            <w:r>
              <w:t>图斑核查数量</w:t>
            </w:r>
          </w:p>
        </w:tc>
        <w:tc>
          <w:tcPr>
            <w:tcW w:w="2551" w:type="dxa"/>
            <w:vAlign w:val="center"/>
          </w:tcPr>
          <w:p>
            <w:pPr>
              <w:pStyle w:val="10"/>
            </w:pPr>
            <w:r>
              <w:t>≥59处</w:t>
            </w:r>
          </w:p>
        </w:tc>
        <w:tc>
          <w:tcPr>
            <w:tcW w:w="2268" w:type="dxa"/>
            <w:vAlign w:val="center"/>
          </w:tcPr>
          <w:p>
            <w:pPr>
              <w:pStyle w:val="10"/>
            </w:pPr>
            <w:r>
              <w:t>数据填报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信息填报率</w:t>
            </w:r>
          </w:p>
        </w:tc>
        <w:tc>
          <w:tcPr>
            <w:tcW w:w="2835" w:type="dxa"/>
            <w:vAlign w:val="center"/>
          </w:tcPr>
          <w:p>
            <w:pPr>
              <w:pStyle w:val="10"/>
            </w:pPr>
            <w:r>
              <w:t>信息填报率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完成时间</w:t>
            </w:r>
          </w:p>
        </w:tc>
        <w:tc>
          <w:tcPr>
            <w:tcW w:w="2835" w:type="dxa"/>
            <w:vAlign w:val="center"/>
          </w:tcPr>
          <w:p>
            <w:pPr>
              <w:pStyle w:val="10"/>
            </w:pPr>
            <w:r>
              <w:t>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核查单价</w:t>
            </w:r>
          </w:p>
        </w:tc>
        <w:tc>
          <w:tcPr>
            <w:tcW w:w="2835" w:type="dxa"/>
            <w:vAlign w:val="center"/>
          </w:tcPr>
          <w:p>
            <w:pPr>
              <w:pStyle w:val="10"/>
            </w:pPr>
            <w:r>
              <w:t>核查单价</w:t>
            </w:r>
          </w:p>
        </w:tc>
        <w:tc>
          <w:tcPr>
            <w:tcW w:w="2551" w:type="dxa"/>
            <w:vAlign w:val="center"/>
          </w:tcPr>
          <w:p>
            <w:pPr>
              <w:pStyle w:val="10"/>
            </w:pPr>
            <w:r>
              <w:t>≤0.16万元/处</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建立核查档案表和成果数据库，形成核查工作报告</w:t>
            </w:r>
          </w:p>
        </w:tc>
        <w:tc>
          <w:tcPr>
            <w:tcW w:w="2835" w:type="dxa"/>
            <w:vAlign w:val="center"/>
          </w:tcPr>
          <w:p>
            <w:pPr>
              <w:pStyle w:val="10"/>
            </w:pPr>
            <w:r>
              <w:t>建立核查档案表和成果数据库，形成核查工作报告</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5、2022年村庄规划编制绩效目标表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1.完成规划调研等前期工作</w:t>
            </w:r>
          </w:p>
          <w:p>
            <w:pPr>
              <w:pStyle w:val="10"/>
            </w:pPr>
            <w:r>
              <w:t>2.规划成果验收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2022年村庄规划编制</w:t>
            </w:r>
          </w:p>
        </w:tc>
        <w:tc>
          <w:tcPr>
            <w:tcW w:w="2835" w:type="dxa"/>
            <w:vAlign w:val="center"/>
          </w:tcPr>
          <w:p>
            <w:pPr>
              <w:pStyle w:val="10"/>
            </w:pPr>
            <w:r>
              <w:t>2022年村庄规划编制</w:t>
            </w:r>
          </w:p>
        </w:tc>
        <w:tc>
          <w:tcPr>
            <w:tcW w:w="2551" w:type="dxa"/>
            <w:vAlign w:val="center"/>
          </w:tcPr>
          <w:p>
            <w:pPr>
              <w:pStyle w:val="10"/>
            </w:pPr>
            <w:r>
              <w:t>≥20个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取规划土地占整体比例</w:t>
            </w:r>
          </w:p>
        </w:tc>
        <w:tc>
          <w:tcPr>
            <w:tcW w:w="2835" w:type="dxa"/>
            <w:vAlign w:val="center"/>
          </w:tcPr>
          <w:p>
            <w:pPr>
              <w:pStyle w:val="10"/>
            </w:pPr>
            <w:r>
              <w:t>取规划土地占整体比例</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≤30万元/个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≥15年</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6、（2）2019年度中央重点生态保护修复治理绩效目标表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1.科学划定生态保护红线，保护生态环境</w:t>
            </w:r>
          </w:p>
          <w:p>
            <w:pPr>
              <w:pStyle w:val="10"/>
            </w:pPr>
            <w:r>
              <w:t>2.健全国土空间开发保护制度，提升国土资源利用效率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国土空间生态修复规划编制数量</w:t>
            </w:r>
          </w:p>
        </w:tc>
        <w:tc>
          <w:tcPr>
            <w:tcW w:w="2835" w:type="dxa"/>
            <w:vAlign w:val="center"/>
          </w:tcPr>
          <w:p>
            <w:pPr>
              <w:pStyle w:val="10"/>
            </w:pPr>
            <w:r>
              <w:t>国土空间生态修复规划编制数量</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生态修复土地占整体比例</w:t>
            </w:r>
          </w:p>
        </w:tc>
        <w:tc>
          <w:tcPr>
            <w:tcW w:w="2835" w:type="dxa"/>
            <w:vAlign w:val="center"/>
          </w:tcPr>
          <w:p>
            <w:pPr>
              <w:pStyle w:val="10"/>
            </w:pPr>
            <w:r>
              <w:t>生态修复土地占整体比例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≤955.28万元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集约节约土地利用，提高土地利用率</w:t>
            </w:r>
          </w:p>
        </w:tc>
        <w:tc>
          <w:tcPr>
            <w:tcW w:w="2835" w:type="dxa"/>
            <w:vAlign w:val="center"/>
          </w:tcPr>
          <w:p>
            <w:pPr>
              <w:pStyle w:val="10"/>
            </w:pPr>
            <w:r>
              <w:t>集约节约土地利用，提高土地利用率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7、（2）34家矿山开采现状勘测绩效目标表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1.改善和修复采矿活动破坏的地质环境</w:t>
            </w:r>
          </w:p>
          <w:p>
            <w:pPr>
              <w:pStyle w:val="10"/>
            </w:pPr>
            <w:r>
              <w:t>2.解决矿山开采引起的矿山环境问题，消除因矿山开采破坏地表形成的白斑影像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勘测矿山数量</w:t>
            </w:r>
          </w:p>
        </w:tc>
        <w:tc>
          <w:tcPr>
            <w:tcW w:w="2835" w:type="dxa"/>
            <w:vAlign w:val="center"/>
          </w:tcPr>
          <w:p>
            <w:pPr>
              <w:pStyle w:val="10"/>
            </w:pPr>
            <w:r>
              <w:t>勘测矿山数量</w:t>
            </w:r>
          </w:p>
        </w:tc>
        <w:tc>
          <w:tcPr>
            <w:tcW w:w="2551" w:type="dxa"/>
            <w:vAlign w:val="center"/>
          </w:tcPr>
          <w:p>
            <w:pPr>
              <w:pStyle w:val="10"/>
            </w:pPr>
            <w:r>
              <w:t>≥34家</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改善和修复采矿活动破坏的地质环境</w:t>
            </w:r>
          </w:p>
        </w:tc>
        <w:tc>
          <w:tcPr>
            <w:tcW w:w="2835" w:type="dxa"/>
            <w:vAlign w:val="center"/>
          </w:tcPr>
          <w:p>
            <w:pPr>
              <w:pStyle w:val="10"/>
            </w:pPr>
            <w:r>
              <w:t>改善和修复采矿活动破坏的地质环境</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资金支付时间</w:t>
            </w:r>
          </w:p>
        </w:tc>
        <w:tc>
          <w:tcPr>
            <w:tcW w:w="2835" w:type="dxa"/>
            <w:vAlign w:val="center"/>
          </w:tcPr>
          <w:p>
            <w:pPr>
              <w:pStyle w:val="10"/>
            </w:pPr>
            <w:r>
              <w:t>资金支付时间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勘测矿山成本</w:t>
            </w:r>
          </w:p>
        </w:tc>
        <w:tc>
          <w:tcPr>
            <w:tcW w:w="2835" w:type="dxa"/>
            <w:vAlign w:val="center"/>
          </w:tcPr>
          <w:p>
            <w:pPr>
              <w:pStyle w:val="10"/>
            </w:pPr>
            <w:r>
              <w:t>勘测矿山成本</w:t>
            </w:r>
          </w:p>
        </w:tc>
        <w:tc>
          <w:tcPr>
            <w:tcW w:w="2551" w:type="dxa"/>
            <w:vAlign w:val="center"/>
          </w:tcPr>
          <w:p>
            <w:pPr>
              <w:pStyle w:val="10"/>
            </w:pPr>
            <w:r>
              <w:t>≤1.78万元/家</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8、（2）拨付出让地块前期费用绩效目标表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1.全额支付该批次地块前期费用</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≥15宗</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≤940.8万元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9、（2）唐山市2022年第18、31、32、33、36、增减挂钩第1、2、4、5批次地块征地费绩效目标表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1.全额支付该批次地块征地补偿费</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≥9批次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≤1023万元/批次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10、（2）唐山市2022年第57、61、66批次预存征地费绩效目标表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1.全额支付该批次地块征地补偿费</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≥3批次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≤1169万元/批次</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11、（2）唐山市2022年第57、61、66批次预存征地费绩效目标表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1.全额支付该批次地块征地补偿费</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≥3批次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≤204万元/批次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12、丰润区2021、2022年度耕地流出问题现场排查数据整理工作绩效目标表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1.完成丰润区2021、2022年度耕地流出问题现场排查数据整理工作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整理图斑面积</w:t>
            </w:r>
          </w:p>
        </w:tc>
        <w:tc>
          <w:tcPr>
            <w:tcW w:w="2835" w:type="dxa"/>
            <w:vAlign w:val="center"/>
          </w:tcPr>
          <w:p>
            <w:pPr>
              <w:pStyle w:val="10"/>
            </w:pPr>
            <w:r>
              <w:t>整理图斑面积</w:t>
            </w:r>
          </w:p>
        </w:tc>
        <w:tc>
          <w:tcPr>
            <w:tcW w:w="2551" w:type="dxa"/>
            <w:vAlign w:val="center"/>
          </w:tcPr>
          <w:p>
            <w:pPr>
              <w:pStyle w:val="10"/>
            </w:pPr>
            <w:r>
              <w:t>≥44250亩</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≥100%</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整理完成时间</w:t>
            </w:r>
          </w:p>
        </w:tc>
        <w:tc>
          <w:tcPr>
            <w:tcW w:w="2835" w:type="dxa"/>
            <w:vAlign w:val="center"/>
          </w:tcPr>
          <w:p>
            <w:pPr>
              <w:pStyle w:val="10"/>
            </w:pPr>
            <w:r>
              <w:t>整理完成时间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整理单价</w:t>
            </w:r>
          </w:p>
        </w:tc>
        <w:tc>
          <w:tcPr>
            <w:tcW w:w="2835" w:type="dxa"/>
            <w:vAlign w:val="center"/>
          </w:tcPr>
          <w:p>
            <w:pPr>
              <w:pStyle w:val="10"/>
            </w:pPr>
            <w:r>
              <w:t>整理单价</w:t>
            </w:r>
          </w:p>
        </w:tc>
        <w:tc>
          <w:tcPr>
            <w:tcW w:w="2551" w:type="dxa"/>
            <w:vAlign w:val="center"/>
          </w:tcPr>
          <w:p>
            <w:pPr>
              <w:pStyle w:val="10"/>
            </w:pPr>
            <w:r>
              <w:t>≤7元/亩</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调查结果准确性</w:t>
            </w:r>
          </w:p>
        </w:tc>
        <w:tc>
          <w:tcPr>
            <w:tcW w:w="2835" w:type="dxa"/>
            <w:vAlign w:val="center"/>
          </w:tcPr>
          <w:p>
            <w:pPr>
              <w:pStyle w:val="10"/>
            </w:pPr>
            <w:r>
              <w:t>调查结果准确性</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13、丰润区2022年度耕地“进出平衡”方案编制工作绩效目标表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1.完成丰润区2022年度耕地“进出平衡”方案编制工作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整体方案编制</w:t>
            </w:r>
          </w:p>
        </w:tc>
        <w:tc>
          <w:tcPr>
            <w:tcW w:w="2835" w:type="dxa"/>
            <w:vAlign w:val="center"/>
          </w:tcPr>
          <w:p>
            <w:pPr>
              <w:pStyle w:val="10"/>
            </w:pPr>
            <w:r>
              <w:t>整体方案编制</w:t>
            </w:r>
          </w:p>
        </w:tc>
        <w:tc>
          <w:tcPr>
            <w:tcW w:w="2551" w:type="dxa"/>
            <w:vAlign w:val="center"/>
          </w:tcPr>
          <w:p>
            <w:pPr>
              <w:pStyle w:val="10"/>
            </w:pPr>
            <w:r>
              <w:t>≥1个</w:t>
            </w:r>
          </w:p>
        </w:tc>
        <w:tc>
          <w:tcPr>
            <w:tcW w:w="2268" w:type="dxa"/>
            <w:vAlign w:val="center"/>
          </w:tcPr>
          <w:p>
            <w:pPr>
              <w:pStyle w:val="10"/>
            </w:pPr>
            <w:r>
              <w:t>上级下达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≥100%</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编制完成时间</w:t>
            </w:r>
          </w:p>
        </w:tc>
        <w:tc>
          <w:tcPr>
            <w:tcW w:w="2835" w:type="dxa"/>
            <w:vAlign w:val="center"/>
          </w:tcPr>
          <w:p>
            <w:pPr>
              <w:pStyle w:val="10"/>
            </w:pPr>
            <w:r>
              <w:t>编制完成时间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编制单价</w:t>
            </w:r>
          </w:p>
        </w:tc>
        <w:tc>
          <w:tcPr>
            <w:tcW w:w="2835" w:type="dxa"/>
            <w:vAlign w:val="center"/>
          </w:tcPr>
          <w:p>
            <w:pPr>
              <w:pStyle w:val="10"/>
            </w:pPr>
            <w:r>
              <w:t>编制单价</w:t>
            </w:r>
          </w:p>
        </w:tc>
        <w:tc>
          <w:tcPr>
            <w:tcW w:w="2551" w:type="dxa"/>
            <w:vAlign w:val="center"/>
          </w:tcPr>
          <w:p>
            <w:pPr>
              <w:pStyle w:val="10"/>
            </w:pPr>
            <w:r>
              <w:t>≤29万元/个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能力提升率</w:t>
            </w:r>
          </w:p>
        </w:tc>
        <w:tc>
          <w:tcPr>
            <w:tcW w:w="2835" w:type="dxa"/>
            <w:vAlign w:val="center"/>
          </w:tcPr>
          <w:p>
            <w:pPr>
              <w:pStyle w:val="10"/>
            </w:pPr>
            <w:r>
              <w:t>能力提升率</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14、丰润区2022年耕地卫片现场核查工作绩效目标表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1.完成丰润区2022年耕地卫片现场核查工作</w:t>
            </w:r>
          </w:p>
          <w:p>
            <w:pPr>
              <w:pStyle w:val="10"/>
            </w:pPr>
            <w:r>
              <w:t>2.加强城镇化建设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核查图斑数量</w:t>
            </w:r>
          </w:p>
        </w:tc>
        <w:tc>
          <w:tcPr>
            <w:tcW w:w="2835" w:type="dxa"/>
            <w:vAlign w:val="center"/>
          </w:tcPr>
          <w:p>
            <w:pPr>
              <w:pStyle w:val="10"/>
            </w:pPr>
            <w:r>
              <w:t>核查图斑数量</w:t>
            </w:r>
          </w:p>
        </w:tc>
        <w:tc>
          <w:tcPr>
            <w:tcW w:w="2551" w:type="dxa"/>
            <w:vAlign w:val="center"/>
          </w:tcPr>
          <w:p>
            <w:pPr>
              <w:pStyle w:val="10"/>
            </w:pPr>
            <w:r>
              <w:t>≥604个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≥100%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核查完成时间</w:t>
            </w:r>
          </w:p>
        </w:tc>
        <w:tc>
          <w:tcPr>
            <w:tcW w:w="2835" w:type="dxa"/>
            <w:vAlign w:val="center"/>
          </w:tcPr>
          <w:p>
            <w:pPr>
              <w:pStyle w:val="10"/>
            </w:pPr>
            <w:r>
              <w:t>核查完成时间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核查单价</w:t>
            </w:r>
          </w:p>
        </w:tc>
        <w:tc>
          <w:tcPr>
            <w:tcW w:w="2835" w:type="dxa"/>
            <w:vAlign w:val="center"/>
          </w:tcPr>
          <w:p>
            <w:pPr>
              <w:pStyle w:val="10"/>
            </w:pPr>
            <w:r>
              <w:t>核查单价</w:t>
            </w:r>
          </w:p>
        </w:tc>
        <w:tc>
          <w:tcPr>
            <w:tcW w:w="2551" w:type="dxa"/>
            <w:vAlign w:val="center"/>
          </w:tcPr>
          <w:p>
            <w:pPr>
              <w:pStyle w:val="10"/>
            </w:pPr>
            <w:r>
              <w:t>≤500元/个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满意程度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15、丰润区曹雪芹东道以南、林荫路以东、纺织路以西、京秦铁路以北区域控制性详细规划编制费绩效目标表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1.完成规划编制工作，上报成果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规划编制数量</w:t>
            </w:r>
          </w:p>
        </w:tc>
        <w:tc>
          <w:tcPr>
            <w:tcW w:w="2835" w:type="dxa"/>
            <w:vAlign w:val="center"/>
          </w:tcPr>
          <w:p>
            <w:pPr>
              <w:pStyle w:val="10"/>
            </w:pPr>
            <w:r>
              <w:t>规划编制数量</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规划编制完成率</w:t>
            </w:r>
          </w:p>
        </w:tc>
        <w:tc>
          <w:tcPr>
            <w:tcW w:w="2835" w:type="dxa"/>
            <w:vAlign w:val="center"/>
          </w:tcPr>
          <w:p>
            <w:pPr>
              <w:pStyle w:val="10"/>
            </w:pPr>
            <w:r>
              <w:t>规划编制完成率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编制完成时间</w:t>
            </w:r>
          </w:p>
        </w:tc>
        <w:tc>
          <w:tcPr>
            <w:tcW w:w="2835" w:type="dxa"/>
            <w:vAlign w:val="center"/>
          </w:tcPr>
          <w:p>
            <w:pPr>
              <w:pStyle w:val="10"/>
            </w:pPr>
            <w:r>
              <w:t>编制完成时间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规划编制单价</w:t>
            </w:r>
          </w:p>
        </w:tc>
        <w:tc>
          <w:tcPr>
            <w:tcW w:w="2835" w:type="dxa"/>
            <w:vAlign w:val="center"/>
          </w:tcPr>
          <w:p>
            <w:pPr>
              <w:pStyle w:val="10"/>
            </w:pPr>
            <w:r>
              <w:t>规划编制单价</w:t>
            </w:r>
          </w:p>
        </w:tc>
        <w:tc>
          <w:tcPr>
            <w:tcW w:w="2551" w:type="dxa"/>
            <w:vAlign w:val="center"/>
          </w:tcPr>
          <w:p>
            <w:pPr>
              <w:pStyle w:val="10"/>
            </w:pPr>
            <w:r>
              <w:t>≤18万元/个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提高资源利用率</w:t>
            </w:r>
          </w:p>
        </w:tc>
        <w:tc>
          <w:tcPr>
            <w:tcW w:w="2835" w:type="dxa"/>
            <w:vAlign w:val="center"/>
          </w:tcPr>
          <w:p>
            <w:pPr>
              <w:pStyle w:val="10"/>
            </w:pPr>
            <w:r>
              <w:t>提高资源利用率</w:t>
            </w:r>
          </w:p>
        </w:tc>
        <w:tc>
          <w:tcPr>
            <w:tcW w:w="2551" w:type="dxa"/>
            <w:vAlign w:val="center"/>
          </w:tcPr>
          <w:p>
            <w:pPr>
              <w:pStyle w:val="10"/>
            </w:pPr>
            <w:r>
              <w:t>高</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16、丰润区城镇基准地价更新绩效目标表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1.出具丰润区城镇土地级别与基准地价更新成果，</w:t>
            </w:r>
          </w:p>
          <w:p>
            <w:pPr>
              <w:pStyle w:val="10"/>
            </w:pPr>
            <w:r>
              <w:t>2.通过市级以上自然资源主管部门验收合格</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对城区及建制镇国有建设用地土地级别和基准地价进行更新个数</w:t>
            </w:r>
          </w:p>
        </w:tc>
        <w:tc>
          <w:tcPr>
            <w:tcW w:w="2835" w:type="dxa"/>
            <w:vAlign w:val="center"/>
          </w:tcPr>
          <w:p>
            <w:pPr>
              <w:pStyle w:val="10"/>
            </w:pPr>
            <w:r>
              <w:t>对城区及建制镇国有建设用地土地级别和基准地价进行更新个数</w:t>
            </w:r>
          </w:p>
        </w:tc>
        <w:tc>
          <w:tcPr>
            <w:tcW w:w="2551" w:type="dxa"/>
            <w:vAlign w:val="center"/>
          </w:tcPr>
          <w:p>
            <w:pPr>
              <w:pStyle w:val="10"/>
            </w:pPr>
            <w:r>
              <w:t>≥2个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符合城镇土地定级估价规程要求，通过市级以上级自然资源主管部门验收完成率</w:t>
            </w:r>
          </w:p>
        </w:tc>
        <w:tc>
          <w:tcPr>
            <w:tcW w:w="2835" w:type="dxa"/>
            <w:vAlign w:val="center"/>
          </w:tcPr>
          <w:p>
            <w:pPr>
              <w:pStyle w:val="10"/>
            </w:pPr>
            <w:r>
              <w:t>符合城镇土地定级估价规程要求，通过市级以上级自然资源主管部门验收完成率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合同约定的提交成果的时间</w:t>
            </w:r>
          </w:p>
        </w:tc>
        <w:tc>
          <w:tcPr>
            <w:tcW w:w="2835" w:type="dxa"/>
            <w:vAlign w:val="center"/>
          </w:tcPr>
          <w:p>
            <w:pPr>
              <w:pStyle w:val="10"/>
            </w:pPr>
            <w:r>
              <w:t>合同约定的提交成果的时间</w:t>
            </w:r>
          </w:p>
        </w:tc>
        <w:tc>
          <w:tcPr>
            <w:tcW w:w="2551" w:type="dxa"/>
            <w:vAlign w:val="center"/>
          </w:tcPr>
          <w:p>
            <w:pPr>
              <w:pStyle w:val="10"/>
            </w:pPr>
            <w:r>
              <w:t>2023年年底i</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国有建设用地基准地价成本</w:t>
            </w:r>
          </w:p>
        </w:tc>
        <w:tc>
          <w:tcPr>
            <w:tcW w:w="2835" w:type="dxa"/>
            <w:vAlign w:val="center"/>
          </w:tcPr>
          <w:p>
            <w:pPr>
              <w:pStyle w:val="10"/>
            </w:pPr>
            <w:r>
              <w:t>国有建设用地基准地价成本</w:t>
            </w:r>
          </w:p>
        </w:tc>
        <w:tc>
          <w:tcPr>
            <w:tcW w:w="2551" w:type="dxa"/>
            <w:vAlign w:val="center"/>
          </w:tcPr>
          <w:p>
            <w:pPr>
              <w:pStyle w:val="10"/>
            </w:pPr>
            <w:r>
              <w:t>≤15万元/个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按照相关规定，城镇基准地价每三年更新一次</w:t>
            </w:r>
          </w:p>
        </w:tc>
        <w:tc>
          <w:tcPr>
            <w:tcW w:w="2835" w:type="dxa"/>
            <w:vAlign w:val="center"/>
          </w:tcPr>
          <w:p>
            <w:pPr>
              <w:pStyle w:val="10"/>
            </w:pPr>
            <w:r>
              <w:t>按照相关规定，城镇基准地价每三年更新一次</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及时更新自然资源价格体系</w:t>
            </w:r>
          </w:p>
        </w:tc>
        <w:tc>
          <w:tcPr>
            <w:tcW w:w="2835" w:type="dxa"/>
            <w:vAlign w:val="center"/>
          </w:tcPr>
          <w:p>
            <w:pPr>
              <w:pStyle w:val="10"/>
            </w:pPr>
            <w:r>
              <w:t>及时更新自然资源价格体系</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17、丰润区耕地恢复潜力调查评价工作绩效目标表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1.完成丰润区耕地恢复潜力调查评价工作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耕地恢复潜力调查报告等工作</w:t>
            </w:r>
          </w:p>
        </w:tc>
        <w:tc>
          <w:tcPr>
            <w:tcW w:w="2835" w:type="dxa"/>
            <w:vAlign w:val="center"/>
          </w:tcPr>
          <w:p>
            <w:pPr>
              <w:pStyle w:val="10"/>
            </w:pPr>
            <w:r>
              <w:t>耕地恢复潜力调查报告等工作</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调查完成时间</w:t>
            </w:r>
          </w:p>
        </w:tc>
        <w:tc>
          <w:tcPr>
            <w:tcW w:w="2835" w:type="dxa"/>
            <w:vAlign w:val="center"/>
          </w:tcPr>
          <w:p>
            <w:pPr>
              <w:pStyle w:val="10"/>
            </w:pPr>
            <w:r>
              <w:t>调查完成时间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调查单价</w:t>
            </w:r>
          </w:p>
        </w:tc>
        <w:tc>
          <w:tcPr>
            <w:tcW w:w="2835" w:type="dxa"/>
            <w:vAlign w:val="center"/>
          </w:tcPr>
          <w:p>
            <w:pPr>
              <w:pStyle w:val="10"/>
            </w:pPr>
            <w:r>
              <w:t>调查单价</w:t>
            </w:r>
          </w:p>
        </w:tc>
        <w:tc>
          <w:tcPr>
            <w:tcW w:w="2551" w:type="dxa"/>
            <w:vAlign w:val="center"/>
          </w:tcPr>
          <w:p>
            <w:pPr>
              <w:pStyle w:val="10"/>
            </w:pPr>
            <w:r>
              <w:t>≤28万元/个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生态效益增值率</w:t>
            </w:r>
          </w:p>
        </w:tc>
        <w:tc>
          <w:tcPr>
            <w:tcW w:w="2835" w:type="dxa"/>
            <w:vAlign w:val="center"/>
          </w:tcPr>
          <w:p>
            <w:pPr>
              <w:pStyle w:val="10"/>
            </w:pPr>
            <w:r>
              <w:t>项目实施后生态效益增长率</w:t>
            </w:r>
          </w:p>
        </w:tc>
        <w:tc>
          <w:tcPr>
            <w:tcW w:w="2551" w:type="dxa"/>
            <w:vAlign w:val="center"/>
          </w:tcPr>
          <w:p>
            <w:pPr>
              <w:pStyle w:val="10"/>
            </w:pPr>
            <w:r>
              <w:t>≥85%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18、丰润区国土空间分区规划（2020-2035年）绩效目标表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1.加强城市化建设</w:t>
            </w:r>
          </w:p>
          <w:p>
            <w:pPr>
              <w:pStyle w:val="10"/>
            </w:pPr>
            <w:r>
              <w:t>2.完成规划编制工作，达到报审条件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国土空间分区规划编制数量</w:t>
            </w:r>
          </w:p>
        </w:tc>
        <w:tc>
          <w:tcPr>
            <w:tcW w:w="2835" w:type="dxa"/>
            <w:vAlign w:val="center"/>
          </w:tcPr>
          <w:p>
            <w:pPr>
              <w:pStyle w:val="10"/>
            </w:pPr>
            <w:r>
              <w:t>国土空间分区规划编制数量</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区规划土地占整体比例</w:t>
            </w:r>
          </w:p>
        </w:tc>
        <w:tc>
          <w:tcPr>
            <w:tcW w:w="2835" w:type="dxa"/>
            <w:vAlign w:val="center"/>
          </w:tcPr>
          <w:p>
            <w:pPr>
              <w:pStyle w:val="10"/>
            </w:pPr>
            <w:r>
              <w:t>区规划土地占整体比例</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≤600万元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生态效益增长率</w:t>
            </w:r>
          </w:p>
        </w:tc>
        <w:tc>
          <w:tcPr>
            <w:tcW w:w="2835" w:type="dxa"/>
            <w:vAlign w:val="center"/>
          </w:tcPr>
          <w:p>
            <w:pPr>
              <w:pStyle w:val="10"/>
            </w:pPr>
            <w:r>
              <w:t>生态效益增长率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集约节约土地利用，提高土地利用率</w:t>
            </w:r>
          </w:p>
        </w:tc>
        <w:tc>
          <w:tcPr>
            <w:tcW w:w="2835" w:type="dxa"/>
            <w:vAlign w:val="center"/>
          </w:tcPr>
          <w:p>
            <w:pPr>
              <w:pStyle w:val="10"/>
            </w:pPr>
            <w:r>
              <w:t>集约节约土地利用，提高土地利用率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19、丰润区国土空间基础信息平台和“一张图”实施监督系统绩效目标表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1.完成国土空间基础信息平台建设</w:t>
            </w:r>
          </w:p>
          <w:p>
            <w:pPr>
              <w:pStyle w:val="10"/>
            </w:pPr>
            <w:r>
              <w:t>2.与省级、市级平台对接，实现纵向联通。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搭建基础信息平台和“一张图”实施监督系统</w:t>
            </w:r>
          </w:p>
        </w:tc>
        <w:tc>
          <w:tcPr>
            <w:tcW w:w="2835" w:type="dxa"/>
            <w:vAlign w:val="center"/>
          </w:tcPr>
          <w:p>
            <w:pPr>
              <w:pStyle w:val="10"/>
            </w:pPr>
            <w:r>
              <w:t>搭建基础信息平台和“一张图”实施监督系统</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平台建设完成率</w:t>
            </w:r>
          </w:p>
        </w:tc>
        <w:tc>
          <w:tcPr>
            <w:tcW w:w="2835" w:type="dxa"/>
            <w:vAlign w:val="center"/>
          </w:tcPr>
          <w:p>
            <w:pPr>
              <w:pStyle w:val="10"/>
            </w:pPr>
            <w:r>
              <w:t>平台建设完成率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按照省、市要求完成系统建设</w:t>
            </w:r>
          </w:p>
        </w:tc>
        <w:tc>
          <w:tcPr>
            <w:tcW w:w="2835" w:type="dxa"/>
            <w:vAlign w:val="center"/>
          </w:tcPr>
          <w:p>
            <w:pPr>
              <w:pStyle w:val="10"/>
            </w:pPr>
            <w:r>
              <w:t>按照省、市要求完成系统建设时间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项目建设成本</w:t>
            </w:r>
          </w:p>
        </w:tc>
        <w:tc>
          <w:tcPr>
            <w:tcW w:w="2551" w:type="dxa"/>
            <w:vAlign w:val="center"/>
          </w:tcPr>
          <w:p>
            <w:pPr>
              <w:pStyle w:val="10"/>
            </w:pPr>
            <w:r>
              <w:t>≤64万元/个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推进与其他相关部门信息平台的横向联通和数据共享</w:t>
            </w:r>
          </w:p>
        </w:tc>
        <w:tc>
          <w:tcPr>
            <w:tcW w:w="2835" w:type="dxa"/>
            <w:vAlign w:val="center"/>
          </w:tcPr>
          <w:p>
            <w:pPr>
              <w:pStyle w:val="10"/>
            </w:pPr>
            <w:r>
              <w:t>推进与其他相关部门信息平台的横向联通和数据共享</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20、丰润区控制性详细规划（2020-2035年）绩效目标表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1.完成规划编制工作，达到报审条件</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城区控制性详细规划编制数量</w:t>
            </w:r>
          </w:p>
        </w:tc>
        <w:tc>
          <w:tcPr>
            <w:tcW w:w="2835" w:type="dxa"/>
            <w:vAlign w:val="center"/>
          </w:tcPr>
          <w:p>
            <w:pPr>
              <w:pStyle w:val="10"/>
            </w:pPr>
            <w:r>
              <w:t>城区控制性详细规划编制数量</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城市规划质量评定</w:t>
            </w:r>
          </w:p>
        </w:tc>
        <w:tc>
          <w:tcPr>
            <w:tcW w:w="2835" w:type="dxa"/>
            <w:vAlign w:val="center"/>
          </w:tcPr>
          <w:p>
            <w:pPr>
              <w:pStyle w:val="10"/>
            </w:pPr>
            <w:r>
              <w:t>城市规划质量评定</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≤180万元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≥85%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合理规划，节约、高效的利用资源</w:t>
            </w:r>
          </w:p>
        </w:tc>
        <w:tc>
          <w:tcPr>
            <w:tcW w:w="2835" w:type="dxa"/>
            <w:vAlign w:val="center"/>
          </w:tcPr>
          <w:p>
            <w:pPr>
              <w:pStyle w:val="10"/>
            </w:pPr>
            <w:r>
              <w:t>合理规划，节约、高效的利用资源</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21、丰润区矿产资源总体规划（2021-2025年）绩效目标表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1.完成我区矿产资源总体规划编制工作，达到报审条件</w:t>
            </w:r>
          </w:p>
          <w:p>
            <w:pPr>
              <w:pStyle w:val="10"/>
            </w:pPr>
            <w:r>
              <w:t>2.完成规划成果验收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丰润区矿产资源总体规划编制数量</w:t>
            </w:r>
          </w:p>
        </w:tc>
        <w:tc>
          <w:tcPr>
            <w:tcW w:w="2835" w:type="dxa"/>
            <w:vAlign w:val="center"/>
          </w:tcPr>
          <w:p>
            <w:pPr>
              <w:pStyle w:val="10"/>
            </w:pPr>
            <w:r>
              <w:t>丰润区矿产资源总体规划编制数量</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规划编制完成率</w:t>
            </w:r>
          </w:p>
        </w:tc>
        <w:tc>
          <w:tcPr>
            <w:tcW w:w="2835" w:type="dxa"/>
            <w:vAlign w:val="center"/>
          </w:tcPr>
          <w:p>
            <w:pPr>
              <w:pStyle w:val="10"/>
            </w:pPr>
            <w:r>
              <w:t>规划编制完成率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规划成果验收时间</w:t>
            </w:r>
          </w:p>
        </w:tc>
        <w:tc>
          <w:tcPr>
            <w:tcW w:w="2835" w:type="dxa"/>
            <w:vAlign w:val="center"/>
          </w:tcPr>
          <w:p>
            <w:pPr>
              <w:pStyle w:val="10"/>
            </w:pPr>
            <w:r>
              <w:t>规划成果验收时间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矿产资源总体规划编制费用</w:t>
            </w:r>
          </w:p>
        </w:tc>
        <w:tc>
          <w:tcPr>
            <w:tcW w:w="2835" w:type="dxa"/>
            <w:vAlign w:val="center"/>
          </w:tcPr>
          <w:p>
            <w:pPr>
              <w:pStyle w:val="10"/>
            </w:pPr>
            <w:r>
              <w:t>矿产资源总体规划编制费用</w:t>
            </w:r>
          </w:p>
        </w:tc>
        <w:tc>
          <w:tcPr>
            <w:tcW w:w="2551" w:type="dxa"/>
            <w:vAlign w:val="center"/>
          </w:tcPr>
          <w:p>
            <w:pPr>
              <w:pStyle w:val="10"/>
            </w:pPr>
            <w:r>
              <w:t>≤41万元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合理规划，节约、高效的利用资源</w:t>
            </w:r>
          </w:p>
        </w:tc>
        <w:tc>
          <w:tcPr>
            <w:tcW w:w="2835" w:type="dxa"/>
            <w:vAlign w:val="center"/>
          </w:tcPr>
          <w:p>
            <w:pPr>
              <w:pStyle w:val="10"/>
            </w:pPr>
            <w:r>
              <w:t>合理规划，节约、高效的利用资源</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绿色矿山建设及矿区生态平衡指标</w:t>
            </w:r>
          </w:p>
        </w:tc>
        <w:tc>
          <w:tcPr>
            <w:tcW w:w="2835" w:type="dxa"/>
            <w:vAlign w:val="center"/>
          </w:tcPr>
          <w:p>
            <w:pPr>
              <w:pStyle w:val="10"/>
            </w:pPr>
            <w:r>
              <w:t>绿色矿山建设及矿区生态平衡指标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22、丰润区设施农用地上图入库工作绩效目标表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1.全面掌握并及时更新数据</w:t>
            </w:r>
          </w:p>
          <w:p>
            <w:pPr>
              <w:pStyle w:val="10"/>
            </w:pPr>
            <w:r>
              <w:t>2.通过技术手段在自然资源部开发的“设施农业用地监管系统”中逐图斑地块录入信息，同时纳入自然资源“一张图”监管。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现有存量设施农用地数量</w:t>
            </w:r>
          </w:p>
        </w:tc>
        <w:tc>
          <w:tcPr>
            <w:tcW w:w="2835" w:type="dxa"/>
            <w:vAlign w:val="center"/>
          </w:tcPr>
          <w:p>
            <w:pPr>
              <w:pStyle w:val="10"/>
            </w:pPr>
            <w:r>
              <w:t>现有存量设施农用地数量</w:t>
            </w:r>
          </w:p>
        </w:tc>
        <w:tc>
          <w:tcPr>
            <w:tcW w:w="2551" w:type="dxa"/>
            <w:vAlign w:val="center"/>
          </w:tcPr>
          <w:p>
            <w:pPr>
              <w:pStyle w:val="10"/>
            </w:pPr>
            <w:r>
              <w:t>≥4134块</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信息录入率</w:t>
            </w:r>
          </w:p>
        </w:tc>
        <w:tc>
          <w:tcPr>
            <w:tcW w:w="2835" w:type="dxa"/>
            <w:vAlign w:val="center"/>
          </w:tcPr>
          <w:p>
            <w:pPr>
              <w:pStyle w:val="10"/>
            </w:pPr>
            <w:r>
              <w:t>信息录入率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设施农用地上图入库平均成本</w:t>
            </w:r>
          </w:p>
        </w:tc>
        <w:tc>
          <w:tcPr>
            <w:tcW w:w="2835" w:type="dxa"/>
            <w:vAlign w:val="center"/>
          </w:tcPr>
          <w:p>
            <w:pPr>
              <w:pStyle w:val="10"/>
            </w:pPr>
            <w:r>
              <w:t>设施农用地上图入库平均成本</w:t>
            </w:r>
          </w:p>
        </w:tc>
        <w:tc>
          <w:tcPr>
            <w:tcW w:w="2551" w:type="dxa"/>
            <w:vAlign w:val="center"/>
          </w:tcPr>
          <w:p>
            <w:pPr>
              <w:pStyle w:val="10"/>
            </w:pPr>
            <w:r>
              <w:t>≤0.05万元/宗</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农业生态系统健康和谐发展</w:t>
            </w:r>
          </w:p>
        </w:tc>
        <w:tc>
          <w:tcPr>
            <w:tcW w:w="2835" w:type="dxa"/>
            <w:vAlign w:val="center"/>
          </w:tcPr>
          <w:p>
            <w:pPr>
              <w:pStyle w:val="10"/>
            </w:pPr>
            <w:r>
              <w:t>农业生态系统健康和谐发展</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23、丰润区唐遵铁路以东、昌盛道以南、燕山路以西、正丰道以北区域控制性详细规划编制费绩效目标表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完成规划编制工作</w:t>
            </w:r>
          </w:p>
          <w:p>
            <w:pPr>
              <w:pStyle w:val="10"/>
            </w:pPr>
            <w:r>
              <w:t>2.完成规划成果验收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val="en-US" w:eastAsia="zh-CN"/>
              </w:rPr>
              <w:t>规划编制数量</w:t>
            </w:r>
          </w:p>
        </w:tc>
        <w:tc>
          <w:tcPr>
            <w:tcW w:w="2835" w:type="dxa"/>
            <w:vAlign w:val="center"/>
          </w:tcPr>
          <w:p>
            <w:pPr>
              <w:pStyle w:val="10"/>
            </w:pPr>
            <w:r>
              <w:rPr>
                <w:rFonts w:hint="eastAsia"/>
                <w:lang w:val="en-US" w:eastAsia="zh-CN"/>
              </w:rPr>
              <w:t>规划编制数量</w:t>
            </w:r>
          </w:p>
        </w:tc>
        <w:tc>
          <w:tcPr>
            <w:tcW w:w="2551" w:type="dxa"/>
            <w:vAlign w:val="center"/>
          </w:tcPr>
          <w:p>
            <w:pPr>
              <w:pStyle w:val="10"/>
            </w:pPr>
            <w:r>
              <w:rPr>
                <w:rFonts w:hint="eastAsia"/>
                <w:lang w:val="en-US" w:eastAsia="zh-CN"/>
              </w:rPr>
              <w:t>≥1个</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lang w:val="en-US" w:eastAsia="zh-CN"/>
              </w:rPr>
              <w:t>规划编制完成率</w:t>
            </w:r>
          </w:p>
        </w:tc>
        <w:tc>
          <w:tcPr>
            <w:tcW w:w="2835" w:type="dxa"/>
            <w:vAlign w:val="center"/>
          </w:tcPr>
          <w:p>
            <w:pPr>
              <w:pStyle w:val="10"/>
            </w:pPr>
            <w:r>
              <w:rPr>
                <w:rFonts w:hint="eastAsia"/>
                <w:lang w:val="en-US" w:eastAsia="zh-CN"/>
              </w:rPr>
              <w:t>规划编制完成率</w:t>
            </w:r>
          </w:p>
        </w:tc>
        <w:tc>
          <w:tcPr>
            <w:tcW w:w="2551" w:type="dxa"/>
            <w:vAlign w:val="center"/>
          </w:tcPr>
          <w:p>
            <w:pPr>
              <w:pStyle w:val="10"/>
            </w:pPr>
            <w:r>
              <w:rPr>
                <w:rFonts w:hint="eastAsia"/>
                <w:lang w:val="en-US" w:eastAsia="zh-CN"/>
              </w:rPr>
              <w:t>≥95%</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lang w:val="en-US" w:eastAsia="zh-CN"/>
              </w:rPr>
              <w:t>编制完成时间</w:t>
            </w:r>
          </w:p>
        </w:tc>
        <w:tc>
          <w:tcPr>
            <w:tcW w:w="2835" w:type="dxa"/>
            <w:vAlign w:val="center"/>
          </w:tcPr>
          <w:p>
            <w:pPr>
              <w:pStyle w:val="10"/>
            </w:pPr>
            <w:r>
              <w:rPr>
                <w:rFonts w:hint="eastAsia"/>
                <w:lang w:val="en-US" w:eastAsia="zh-CN"/>
              </w:rPr>
              <w:t>编制完成时间</w:t>
            </w:r>
          </w:p>
        </w:tc>
        <w:tc>
          <w:tcPr>
            <w:tcW w:w="2551" w:type="dxa"/>
            <w:vAlign w:val="center"/>
          </w:tcPr>
          <w:p>
            <w:pPr>
              <w:pStyle w:val="10"/>
            </w:pPr>
            <w:r>
              <w:rPr>
                <w:rFonts w:hint="eastAsia"/>
                <w:lang w:val="en-US" w:eastAsia="zh-CN"/>
              </w:rPr>
              <w:t>2023年年底</w:t>
            </w:r>
          </w:p>
        </w:tc>
        <w:tc>
          <w:tcPr>
            <w:tcW w:w="2268" w:type="dxa"/>
            <w:vAlign w:val="center"/>
          </w:tcPr>
          <w:p>
            <w:pPr>
              <w:pStyle w:val="10"/>
            </w:pPr>
            <w:r>
              <w:rPr>
                <w:rFonts w:hint="eastAsia"/>
                <w:lang w:val="en-US"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lang w:val="en-US" w:eastAsia="zh-CN"/>
              </w:rPr>
              <w:t>规划编制单价</w:t>
            </w:r>
          </w:p>
        </w:tc>
        <w:tc>
          <w:tcPr>
            <w:tcW w:w="2835" w:type="dxa"/>
            <w:vAlign w:val="center"/>
          </w:tcPr>
          <w:p>
            <w:pPr>
              <w:pStyle w:val="10"/>
            </w:pPr>
            <w:r>
              <w:rPr>
                <w:rFonts w:hint="eastAsia"/>
                <w:lang w:val="en-US" w:eastAsia="zh-CN"/>
              </w:rPr>
              <w:t>规划编制单价</w:t>
            </w:r>
          </w:p>
        </w:tc>
        <w:tc>
          <w:tcPr>
            <w:tcW w:w="2551" w:type="dxa"/>
            <w:vAlign w:val="center"/>
          </w:tcPr>
          <w:p>
            <w:pPr>
              <w:pStyle w:val="10"/>
            </w:pPr>
            <w:r>
              <w:rPr>
                <w:rFonts w:hint="eastAsia"/>
                <w:lang w:val="en-US" w:eastAsia="zh-CN"/>
              </w:rPr>
              <w:t>≤13万元</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lang w:val="en-US" w:eastAsia="zh-CN"/>
              </w:rPr>
              <w:t>生态</w:t>
            </w:r>
            <w:r>
              <w:t>效益指标</w:t>
            </w:r>
          </w:p>
        </w:tc>
        <w:tc>
          <w:tcPr>
            <w:tcW w:w="2835" w:type="dxa"/>
            <w:vAlign w:val="center"/>
          </w:tcPr>
          <w:p>
            <w:pPr>
              <w:pStyle w:val="10"/>
              <w:rPr>
                <w:rFonts w:hint="eastAsia"/>
                <w:lang w:val="en-US" w:eastAsia="zh-CN"/>
              </w:rPr>
            </w:pPr>
            <w:r>
              <w:rPr>
                <w:rFonts w:hint="eastAsia"/>
                <w:lang w:val="en-US" w:eastAsia="zh-CN"/>
              </w:rPr>
              <w:t>提高资源利用率</w:t>
            </w:r>
          </w:p>
        </w:tc>
        <w:tc>
          <w:tcPr>
            <w:tcW w:w="2835" w:type="dxa"/>
            <w:vAlign w:val="center"/>
          </w:tcPr>
          <w:p>
            <w:pPr>
              <w:pStyle w:val="10"/>
              <w:rPr>
                <w:rFonts w:hint="eastAsia"/>
                <w:lang w:val="en-US" w:eastAsia="zh-CN"/>
              </w:rPr>
            </w:pPr>
            <w:r>
              <w:rPr>
                <w:rFonts w:hint="eastAsia"/>
                <w:lang w:val="en-US" w:eastAsia="zh-CN"/>
              </w:rPr>
              <w:t>提高资源利用率</w:t>
            </w:r>
          </w:p>
        </w:tc>
        <w:tc>
          <w:tcPr>
            <w:tcW w:w="2551" w:type="dxa"/>
            <w:vAlign w:val="center"/>
          </w:tcPr>
          <w:p>
            <w:pPr>
              <w:pStyle w:val="10"/>
              <w:rPr>
                <w:rFonts w:hint="eastAsia"/>
                <w:lang w:val="en-US" w:eastAsia="zh-CN"/>
              </w:rPr>
            </w:pPr>
            <w:r>
              <w:rPr>
                <w:rFonts w:hint="eastAsia"/>
                <w:lang w:val="en-US" w:eastAsia="zh-CN"/>
              </w:rPr>
              <w:t>高</w:t>
            </w:r>
          </w:p>
        </w:tc>
        <w:tc>
          <w:tcPr>
            <w:tcW w:w="2268" w:type="dxa"/>
            <w:vAlign w:val="center"/>
          </w:tcPr>
          <w:p>
            <w:pPr>
              <w:pStyle w:val="10"/>
              <w:rPr>
                <w:rFonts w:hint="eastAsia"/>
                <w:lang w:val="en-US" w:eastAsia="zh-CN"/>
              </w:rPr>
            </w:pPr>
            <w:r>
              <w:rPr>
                <w:rFonts w:hint="eastAsia"/>
                <w:lang w:val="en-US"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lang w:val="en-US" w:eastAsia="zh-CN"/>
              </w:rPr>
              <w:t>公众满意度</w:t>
            </w:r>
          </w:p>
        </w:tc>
        <w:tc>
          <w:tcPr>
            <w:tcW w:w="2835" w:type="dxa"/>
            <w:vAlign w:val="center"/>
          </w:tcPr>
          <w:p>
            <w:pPr>
              <w:pStyle w:val="10"/>
            </w:pPr>
            <w:r>
              <w:rPr>
                <w:rFonts w:hint="eastAsia"/>
                <w:lang w:val="en-US" w:eastAsia="zh-CN"/>
              </w:rPr>
              <w:t>公众满意度</w:t>
            </w:r>
          </w:p>
        </w:tc>
        <w:tc>
          <w:tcPr>
            <w:tcW w:w="2551" w:type="dxa"/>
            <w:vAlign w:val="center"/>
          </w:tcPr>
          <w:p>
            <w:pPr>
              <w:pStyle w:val="10"/>
            </w:pPr>
            <w:r>
              <w:rPr>
                <w:rFonts w:hint="eastAsia"/>
                <w:lang w:val="en-US" w:eastAsia="zh-CN"/>
              </w:rPr>
              <w:t>≥80%</w:t>
            </w:r>
          </w:p>
        </w:tc>
        <w:tc>
          <w:tcPr>
            <w:tcW w:w="2268" w:type="dxa"/>
            <w:vAlign w:val="center"/>
          </w:tcPr>
          <w:p>
            <w:pPr>
              <w:pStyle w:val="10"/>
            </w:pPr>
            <w:r>
              <w:rPr>
                <w:rFonts w:hint="eastAsia"/>
                <w:lang w:val="en-US" w:eastAsia="zh-CN"/>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24、开展《丰润区国土空间生态修复规划（2021-2035年）》编制工作绩效目标表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完成规划编制工作</w:t>
            </w:r>
          </w:p>
          <w:p>
            <w:pPr>
              <w:pStyle w:val="10"/>
            </w:pPr>
            <w:r>
              <w:t>2.完成规划成果验收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val="en-US" w:eastAsia="zh-CN"/>
              </w:rPr>
              <w:t>国土空间生态修复规划编制数量</w:t>
            </w:r>
          </w:p>
        </w:tc>
        <w:tc>
          <w:tcPr>
            <w:tcW w:w="2835" w:type="dxa"/>
            <w:vAlign w:val="center"/>
          </w:tcPr>
          <w:p>
            <w:pPr>
              <w:pStyle w:val="10"/>
            </w:pPr>
            <w:r>
              <w:rPr>
                <w:rFonts w:hint="eastAsia"/>
                <w:lang w:val="en-US" w:eastAsia="zh-CN"/>
              </w:rPr>
              <w:t>国土空间生态修复规划编制数量</w:t>
            </w:r>
          </w:p>
        </w:tc>
        <w:tc>
          <w:tcPr>
            <w:tcW w:w="2551" w:type="dxa"/>
            <w:vAlign w:val="center"/>
          </w:tcPr>
          <w:p>
            <w:pPr>
              <w:pStyle w:val="10"/>
            </w:pPr>
            <w:r>
              <w:rPr>
                <w:rFonts w:hint="eastAsia"/>
                <w:lang w:val="en-US" w:eastAsia="zh-CN"/>
              </w:rPr>
              <w:t>≥1个</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lang w:val="en-US" w:eastAsia="zh-CN"/>
              </w:rPr>
              <w:t>土地利用率</w:t>
            </w:r>
          </w:p>
        </w:tc>
        <w:tc>
          <w:tcPr>
            <w:tcW w:w="2835" w:type="dxa"/>
            <w:vAlign w:val="center"/>
          </w:tcPr>
          <w:p>
            <w:pPr>
              <w:pStyle w:val="10"/>
            </w:pPr>
            <w:r>
              <w:rPr>
                <w:rFonts w:hint="eastAsia"/>
                <w:lang w:val="en-US" w:eastAsia="zh-CN"/>
              </w:rPr>
              <w:t>生态修复土地占整体比例</w:t>
            </w:r>
          </w:p>
        </w:tc>
        <w:tc>
          <w:tcPr>
            <w:tcW w:w="2551" w:type="dxa"/>
            <w:vAlign w:val="center"/>
          </w:tcPr>
          <w:p>
            <w:pPr>
              <w:pStyle w:val="10"/>
            </w:pPr>
            <w:r>
              <w:rPr>
                <w:rFonts w:hint="eastAsia"/>
                <w:lang w:val="en-US" w:eastAsia="zh-CN"/>
              </w:rPr>
              <w:t>≥90%</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lang w:val="en-US" w:eastAsia="zh-CN"/>
              </w:rPr>
              <w:t>合同约定的提交成果时间</w:t>
            </w:r>
          </w:p>
        </w:tc>
        <w:tc>
          <w:tcPr>
            <w:tcW w:w="2835" w:type="dxa"/>
            <w:vAlign w:val="center"/>
          </w:tcPr>
          <w:p>
            <w:pPr>
              <w:pStyle w:val="10"/>
            </w:pPr>
            <w:r>
              <w:rPr>
                <w:rFonts w:hint="eastAsia"/>
                <w:lang w:val="en-US" w:eastAsia="zh-CN"/>
              </w:rPr>
              <w:t>合同约定的提交成果时间</w:t>
            </w:r>
          </w:p>
        </w:tc>
        <w:tc>
          <w:tcPr>
            <w:tcW w:w="2551" w:type="dxa"/>
            <w:vAlign w:val="center"/>
          </w:tcPr>
          <w:p>
            <w:pPr>
              <w:pStyle w:val="10"/>
            </w:pPr>
            <w:r>
              <w:rPr>
                <w:rFonts w:hint="eastAsia"/>
                <w:lang w:val="en-US" w:eastAsia="zh-CN"/>
              </w:rPr>
              <w:t>2023年年底</w:t>
            </w:r>
          </w:p>
        </w:tc>
        <w:tc>
          <w:tcPr>
            <w:tcW w:w="2268" w:type="dxa"/>
            <w:vAlign w:val="center"/>
          </w:tcPr>
          <w:p>
            <w:pPr>
              <w:pStyle w:val="10"/>
            </w:pPr>
            <w:r>
              <w:rPr>
                <w:rFonts w:hint="eastAsia"/>
                <w:lang w:val="en-US"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lang w:val="en-US" w:eastAsia="zh-CN"/>
              </w:rPr>
              <w:t>合同约定编制费用</w:t>
            </w:r>
          </w:p>
        </w:tc>
        <w:tc>
          <w:tcPr>
            <w:tcW w:w="2835" w:type="dxa"/>
            <w:vAlign w:val="center"/>
          </w:tcPr>
          <w:p>
            <w:pPr>
              <w:pStyle w:val="10"/>
            </w:pPr>
            <w:r>
              <w:rPr>
                <w:rFonts w:hint="eastAsia"/>
                <w:lang w:val="en-US" w:eastAsia="zh-CN"/>
              </w:rPr>
              <w:t>合同约定编制费用</w:t>
            </w:r>
          </w:p>
        </w:tc>
        <w:tc>
          <w:tcPr>
            <w:tcW w:w="2551" w:type="dxa"/>
            <w:vAlign w:val="center"/>
          </w:tcPr>
          <w:p>
            <w:pPr>
              <w:pStyle w:val="10"/>
            </w:pPr>
            <w:r>
              <w:rPr>
                <w:rFonts w:hint="eastAsia"/>
                <w:lang w:val="en-US" w:eastAsia="zh-CN"/>
              </w:rPr>
              <w:t>≤150万元</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rPr>
                <w:rFonts w:hint="eastAsia"/>
                <w:lang w:val="en-US" w:eastAsia="zh-CN"/>
              </w:rPr>
            </w:pPr>
            <w:r>
              <w:rPr>
                <w:rFonts w:hint="eastAsia"/>
                <w:lang w:val="en-US" w:eastAsia="zh-CN"/>
              </w:rPr>
              <w:t>集约节约土地利用，提高土地利用率</w:t>
            </w:r>
          </w:p>
        </w:tc>
        <w:tc>
          <w:tcPr>
            <w:tcW w:w="2835" w:type="dxa"/>
            <w:vAlign w:val="center"/>
          </w:tcPr>
          <w:p>
            <w:pPr>
              <w:pStyle w:val="10"/>
              <w:rPr>
                <w:rFonts w:hint="eastAsia"/>
                <w:lang w:val="en-US" w:eastAsia="zh-CN"/>
              </w:rPr>
            </w:pPr>
            <w:r>
              <w:rPr>
                <w:rFonts w:hint="eastAsia"/>
                <w:lang w:val="en-US" w:eastAsia="zh-CN"/>
              </w:rPr>
              <w:t>集约节约土地利用，提高土地利用率</w:t>
            </w:r>
          </w:p>
        </w:tc>
        <w:tc>
          <w:tcPr>
            <w:tcW w:w="2551" w:type="dxa"/>
            <w:vAlign w:val="center"/>
          </w:tcPr>
          <w:p>
            <w:pPr>
              <w:pStyle w:val="10"/>
              <w:rPr>
                <w:rFonts w:hint="eastAsia"/>
                <w:lang w:val="en-US" w:eastAsia="zh-CN"/>
              </w:rPr>
            </w:pPr>
            <w:r>
              <w:rPr>
                <w:rFonts w:hint="eastAsia"/>
                <w:lang w:val="en-US" w:eastAsia="zh-CN"/>
              </w:rPr>
              <w:t>优</w:t>
            </w:r>
          </w:p>
        </w:tc>
        <w:tc>
          <w:tcPr>
            <w:tcW w:w="2268" w:type="dxa"/>
            <w:vAlign w:val="center"/>
          </w:tcPr>
          <w:p>
            <w:pPr>
              <w:pStyle w:val="10"/>
              <w:rPr>
                <w:rFonts w:hint="eastAsia"/>
                <w:lang w:val="en-US" w:eastAsia="zh-CN"/>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rPr>
                <w:rFonts w:hint="eastAsia"/>
                <w:lang w:val="en-US" w:eastAsia="zh-CN"/>
              </w:rPr>
            </w:pPr>
            <w:r>
              <w:rPr>
                <w:rFonts w:hint="eastAsia"/>
                <w:lang w:val="en-US" w:eastAsia="zh-CN"/>
              </w:rPr>
              <w:t>健全国土空间开发保护制度，提升国土资源利用效率</w:t>
            </w:r>
          </w:p>
        </w:tc>
        <w:tc>
          <w:tcPr>
            <w:tcW w:w="2835" w:type="dxa"/>
            <w:vAlign w:val="center"/>
          </w:tcPr>
          <w:p>
            <w:pPr>
              <w:pStyle w:val="10"/>
              <w:rPr>
                <w:rFonts w:hint="eastAsia"/>
                <w:lang w:val="en-US" w:eastAsia="zh-CN"/>
              </w:rPr>
            </w:pPr>
            <w:r>
              <w:rPr>
                <w:rFonts w:hint="eastAsia"/>
                <w:lang w:val="en-US" w:eastAsia="zh-CN"/>
              </w:rPr>
              <w:t>健全国土空间开发保护制度，提升国土资源利用效率</w:t>
            </w:r>
          </w:p>
        </w:tc>
        <w:tc>
          <w:tcPr>
            <w:tcW w:w="2551" w:type="dxa"/>
            <w:vAlign w:val="center"/>
          </w:tcPr>
          <w:p>
            <w:pPr>
              <w:pStyle w:val="10"/>
              <w:rPr>
                <w:rFonts w:hint="eastAsia"/>
                <w:lang w:val="en-US" w:eastAsia="zh-CN"/>
              </w:rPr>
            </w:pPr>
            <w:r>
              <w:rPr>
                <w:rFonts w:hint="eastAsia"/>
                <w:lang w:val="en-US" w:eastAsia="zh-CN"/>
              </w:rPr>
              <w:t>优</w:t>
            </w:r>
          </w:p>
        </w:tc>
        <w:tc>
          <w:tcPr>
            <w:tcW w:w="2268" w:type="dxa"/>
            <w:vAlign w:val="center"/>
          </w:tcPr>
          <w:p>
            <w:pPr>
              <w:pStyle w:val="10"/>
              <w:rPr>
                <w:rFonts w:hint="eastAsia"/>
                <w:lang w:val="en-US" w:eastAsia="zh-CN"/>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rPr>
                <w:rFonts w:hint="eastAsia"/>
                <w:lang w:val="en-US" w:eastAsia="zh-CN"/>
              </w:rPr>
            </w:pPr>
            <w:r>
              <w:rPr>
                <w:rFonts w:hint="eastAsia"/>
                <w:lang w:val="en-US" w:eastAsia="zh-CN"/>
              </w:rPr>
              <w:t>公众满意，成果公示</w:t>
            </w:r>
          </w:p>
        </w:tc>
        <w:tc>
          <w:tcPr>
            <w:tcW w:w="2835" w:type="dxa"/>
            <w:vAlign w:val="center"/>
          </w:tcPr>
          <w:p>
            <w:pPr>
              <w:pStyle w:val="10"/>
              <w:rPr>
                <w:rFonts w:hint="eastAsia"/>
                <w:lang w:val="en-US" w:eastAsia="zh-CN"/>
              </w:rPr>
            </w:pPr>
            <w:r>
              <w:rPr>
                <w:rFonts w:hint="eastAsia"/>
                <w:lang w:val="en-US" w:eastAsia="zh-CN"/>
              </w:rPr>
              <w:t>公众满意度</w:t>
            </w:r>
          </w:p>
        </w:tc>
        <w:tc>
          <w:tcPr>
            <w:tcW w:w="2551" w:type="dxa"/>
            <w:vAlign w:val="center"/>
          </w:tcPr>
          <w:p>
            <w:pPr>
              <w:pStyle w:val="10"/>
              <w:rPr>
                <w:rFonts w:hint="eastAsia"/>
                <w:lang w:val="en-US" w:eastAsia="zh-CN"/>
              </w:rPr>
            </w:pPr>
            <w:r>
              <w:rPr>
                <w:rFonts w:hint="eastAsia"/>
                <w:lang w:val="en-US" w:eastAsia="zh-CN"/>
              </w:rPr>
              <w:t>≥80%</w:t>
            </w:r>
          </w:p>
        </w:tc>
        <w:tc>
          <w:tcPr>
            <w:tcW w:w="2268" w:type="dxa"/>
            <w:vAlign w:val="center"/>
          </w:tcPr>
          <w:p>
            <w:pPr>
              <w:pStyle w:val="10"/>
              <w:rPr>
                <w:rFonts w:hint="eastAsia"/>
                <w:lang w:val="en-US" w:eastAsia="zh-CN"/>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25、历史遗留矿山核查项目绩效目标表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1.查清历史遗留矿山现状</w:t>
            </w:r>
          </w:p>
          <w:p>
            <w:pPr>
              <w:pStyle w:val="10"/>
            </w:pPr>
            <w:r>
              <w:t>2.遥感图斑分类核定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图斑核查</w:t>
            </w:r>
          </w:p>
        </w:tc>
        <w:tc>
          <w:tcPr>
            <w:tcW w:w="2835" w:type="dxa"/>
            <w:vAlign w:val="center"/>
          </w:tcPr>
          <w:p>
            <w:pPr>
              <w:pStyle w:val="10"/>
            </w:pPr>
            <w:r>
              <w:t>实地核查数量</w:t>
            </w:r>
          </w:p>
        </w:tc>
        <w:tc>
          <w:tcPr>
            <w:tcW w:w="2551" w:type="dxa"/>
            <w:vAlign w:val="center"/>
          </w:tcPr>
          <w:p>
            <w:pPr>
              <w:pStyle w:val="10"/>
            </w:pPr>
            <w:r>
              <w:t>≥358处</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信息填报率</w:t>
            </w:r>
          </w:p>
        </w:tc>
        <w:tc>
          <w:tcPr>
            <w:tcW w:w="2835" w:type="dxa"/>
            <w:vAlign w:val="center"/>
          </w:tcPr>
          <w:p>
            <w:pPr>
              <w:pStyle w:val="10"/>
            </w:pPr>
            <w:r>
              <w:t>信息填报率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2835" w:type="dxa"/>
            <w:vAlign w:val="center"/>
          </w:tcPr>
          <w:p>
            <w:pPr>
              <w:pStyle w:val="10"/>
            </w:pPr>
            <w:r>
              <w:t>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历史遗留矿山核查平均费用</w:t>
            </w:r>
          </w:p>
        </w:tc>
        <w:tc>
          <w:tcPr>
            <w:tcW w:w="2835" w:type="dxa"/>
            <w:vAlign w:val="center"/>
          </w:tcPr>
          <w:p>
            <w:pPr>
              <w:pStyle w:val="10"/>
            </w:pPr>
            <w:r>
              <w:t>历史遗留矿山核查平均费用</w:t>
            </w:r>
          </w:p>
        </w:tc>
        <w:tc>
          <w:tcPr>
            <w:tcW w:w="2551" w:type="dxa"/>
            <w:vAlign w:val="center"/>
          </w:tcPr>
          <w:p>
            <w:pPr>
              <w:pStyle w:val="10"/>
            </w:pPr>
            <w:r>
              <w:t>≤0.05万元/处</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建立核查档案</w:t>
            </w:r>
          </w:p>
        </w:tc>
        <w:tc>
          <w:tcPr>
            <w:tcW w:w="2835" w:type="dxa"/>
            <w:vAlign w:val="center"/>
          </w:tcPr>
          <w:p>
            <w:pPr>
              <w:pStyle w:val="10"/>
            </w:pPr>
            <w:r>
              <w:t>建立核查档案表和成果数据库，形成核查工作报告</w:t>
            </w:r>
          </w:p>
        </w:tc>
        <w:tc>
          <w:tcPr>
            <w:tcW w:w="2551" w:type="dxa"/>
            <w:vAlign w:val="center"/>
          </w:tcPr>
          <w:p>
            <w:pPr>
              <w:pStyle w:val="10"/>
            </w:pPr>
            <w:r>
              <w:t>≥1个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26、批而未供三年行动建立转征、供应土地数据库项目绩效目标表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1.完成全市2009-2018年存量批而未供土地处置为确保此项工作顺利推进</w:t>
            </w:r>
          </w:p>
          <w:p>
            <w:pPr>
              <w:pStyle w:val="10"/>
            </w:pPr>
            <w:r>
              <w:t>2.用现代化手段加强征收、转用土地管理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批而未供三年行动建立转征、供应土地数据库成果个数</w:t>
            </w:r>
          </w:p>
        </w:tc>
        <w:tc>
          <w:tcPr>
            <w:tcW w:w="2835" w:type="dxa"/>
            <w:vAlign w:val="center"/>
          </w:tcPr>
          <w:p>
            <w:pPr>
              <w:pStyle w:val="10"/>
            </w:pPr>
            <w:r>
              <w:t>批而未供三年行动建立转征、供应土地数据库成果个数</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数据库建设完成率</w:t>
            </w:r>
          </w:p>
        </w:tc>
        <w:tc>
          <w:tcPr>
            <w:tcW w:w="2835" w:type="dxa"/>
            <w:vAlign w:val="center"/>
          </w:tcPr>
          <w:p>
            <w:pPr>
              <w:pStyle w:val="10"/>
            </w:pPr>
            <w:r>
              <w:t>数据库建设完成率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合同约定的提交成功时间</w:t>
            </w:r>
          </w:p>
        </w:tc>
        <w:tc>
          <w:tcPr>
            <w:tcW w:w="2835" w:type="dxa"/>
            <w:vAlign w:val="center"/>
          </w:tcPr>
          <w:p>
            <w:pPr>
              <w:pStyle w:val="10"/>
            </w:pPr>
            <w:r>
              <w:t>合同约定的提交成功时间</w:t>
            </w:r>
          </w:p>
        </w:tc>
        <w:tc>
          <w:tcPr>
            <w:tcW w:w="2551" w:type="dxa"/>
            <w:vAlign w:val="center"/>
          </w:tcPr>
          <w:p>
            <w:pPr>
              <w:pStyle w:val="10"/>
            </w:pPr>
            <w:r>
              <w:t>2023年年底</w:t>
            </w:r>
          </w:p>
        </w:tc>
        <w:tc>
          <w:tcPr>
            <w:tcW w:w="2268" w:type="dxa"/>
            <w:vAlign w:val="center"/>
          </w:tcPr>
          <w:p>
            <w:pPr>
              <w:pStyle w:val="10"/>
            </w:pPr>
            <w:r>
              <w:t>文件约定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批而未供三年行动建立转征、供应土地数据库成本</w:t>
            </w:r>
          </w:p>
        </w:tc>
        <w:tc>
          <w:tcPr>
            <w:tcW w:w="2835" w:type="dxa"/>
            <w:vAlign w:val="center"/>
          </w:tcPr>
          <w:p>
            <w:pPr>
              <w:pStyle w:val="10"/>
            </w:pPr>
            <w:r>
              <w:t>批而未供三年行动建立转征、供应土地数据库成本</w:t>
            </w:r>
          </w:p>
        </w:tc>
        <w:tc>
          <w:tcPr>
            <w:tcW w:w="2551" w:type="dxa"/>
            <w:vAlign w:val="center"/>
          </w:tcPr>
          <w:p>
            <w:pPr>
              <w:pStyle w:val="10"/>
            </w:pPr>
            <w:r>
              <w:t>≤20万元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耕地保护</w:t>
            </w:r>
          </w:p>
        </w:tc>
        <w:tc>
          <w:tcPr>
            <w:tcW w:w="2835" w:type="dxa"/>
            <w:vAlign w:val="center"/>
          </w:tcPr>
          <w:p>
            <w:pPr>
              <w:pStyle w:val="10"/>
            </w:pPr>
            <w:r>
              <w:t>耕地保护</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及时更新数据库数据</w:t>
            </w:r>
          </w:p>
        </w:tc>
        <w:tc>
          <w:tcPr>
            <w:tcW w:w="2835" w:type="dxa"/>
            <w:vAlign w:val="center"/>
          </w:tcPr>
          <w:p>
            <w:pPr>
              <w:pStyle w:val="10"/>
            </w:pPr>
            <w:r>
              <w:t>及时更新数据库数据</w:t>
            </w:r>
          </w:p>
        </w:tc>
        <w:tc>
          <w:tcPr>
            <w:tcW w:w="2551" w:type="dxa"/>
            <w:vAlign w:val="center"/>
          </w:tcPr>
          <w:p>
            <w:pPr>
              <w:pStyle w:val="10"/>
            </w:pPr>
            <w:r>
              <w:t>≤1年</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27、土地出让业务经费绩效目标表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保证机关工作正常运转</w:t>
            </w:r>
          </w:p>
          <w:p>
            <w:pPr>
              <w:pStyle w:val="10"/>
              <w:rPr>
                <w:rFonts w:hint="eastAsia" w:eastAsia="方正书宋_GBK"/>
                <w:lang w:eastAsia="zh-CN"/>
              </w:rPr>
            </w:pPr>
            <w:r>
              <w:t>2.</w:t>
            </w:r>
            <w:r>
              <w:rPr>
                <w:rFonts w:hint="eastAsia"/>
                <w:lang w:val="en-US" w:eastAsia="zh-CN"/>
              </w:rPr>
              <w:t>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rPr>
                <w:rFonts w:hint="eastAsia"/>
                <w:lang w:val="en-US" w:eastAsia="zh-CN"/>
              </w:rPr>
            </w:pPr>
            <w:r>
              <w:rPr>
                <w:rFonts w:hint="eastAsia"/>
                <w:lang w:val="en-US" w:eastAsia="zh-CN"/>
              </w:rPr>
              <w:t>在职人员数量</w:t>
            </w:r>
          </w:p>
        </w:tc>
        <w:tc>
          <w:tcPr>
            <w:tcW w:w="2835" w:type="dxa"/>
            <w:vAlign w:val="center"/>
          </w:tcPr>
          <w:p>
            <w:pPr>
              <w:pStyle w:val="10"/>
              <w:rPr>
                <w:rFonts w:hint="eastAsia"/>
                <w:lang w:val="en-US" w:eastAsia="zh-CN"/>
              </w:rPr>
            </w:pPr>
            <w:r>
              <w:rPr>
                <w:rFonts w:hint="eastAsia"/>
                <w:lang w:val="en-US" w:eastAsia="zh-CN"/>
              </w:rPr>
              <w:t>在职在岗人员数量</w:t>
            </w:r>
          </w:p>
        </w:tc>
        <w:tc>
          <w:tcPr>
            <w:tcW w:w="2551" w:type="dxa"/>
            <w:vAlign w:val="center"/>
          </w:tcPr>
          <w:p>
            <w:pPr>
              <w:pStyle w:val="10"/>
              <w:rPr>
                <w:rFonts w:hint="eastAsia"/>
                <w:lang w:val="en-US" w:eastAsia="zh-CN"/>
              </w:rPr>
            </w:pPr>
            <w:r>
              <w:rPr>
                <w:rFonts w:hint="eastAsia"/>
                <w:lang w:val="en-US" w:eastAsia="zh-CN"/>
              </w:rPr>
              <w:t>≥148人</w:t>
            </w:r>
          </w:p>
        </w:tc>
        <w:tc>
          <w:tcPr>
            <w:tcW w:w="2268" w:type="dxa"/>
            <w:vAlign w:val="center"/>
          </w:tcPr>
          <w:p>
            <w:pPr>
              <w:pStyle w:val="10"/>
              <w:rPr>
                <w:rFonts w:hint="eastAsia"/>
                <w:lang w:val="en-US" w:eastAsia="zh-CN"/>
              </w:rPr>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rPr>
                <w:rFonts w:hint="eastAsia"/>
                <w:lang w:val="en-US" w:eastAsia="zh-CN"/>
              </w:rPr>
            </w:pPr>
            <w:r>
              <w:rPr>
                <w:rFonts w:hint="eastAsia"/>
                <w:lang w:val="en-US" w:eastAsia="zh-CN"/>
              </w:rPr>
              <w:t>局内工作开展效果</w:t>
            </w:r>
          </w:p>
        </w:tc>
        <w:tc>
          <w:tcPr>
            <w:tcW w:w="2835" w:type="dxa"/>
            <w:vAlign w:val="center"/>
          </w:tcPr>
          <w:p>
            <w:pPr>
              <w:pStyle w:val="10"/>
              <w:rPr>
                <w:rFonts w:hint="eastAsia"/>
                <w:lang w:val="en-US" w:eastAsia="zh-CN"/>
              </w:rPr>
            </w:pPr>
            <w:r>
              <w:rPr>
                <w:rFonts w:hint="eastAsia"/>
                <w:lang w:val="en-US" w:eastAsia="zh-CN"/>
              </w:rPr>
              <w:t>局内工作开展效果</w:t>
            </w:r>
          </w:p>
        </w:tc>
        <w:tc>
          <w:tcPr>
            <w:tcW w:w="2551" w:type="dxa"/>
            <w:vAlign w:val="center"/>
          </w:tcPr>
          <w:p>
            <w:pPr>
              <w:pStyle w:val="10"/>
              <w:rPr>
                <w:rFonts w:hint="eastAsia"/>
                <w:lang w:val="en-US" w:eastAsia="zh-CN"/>
              </w:rPr>
            </w:pPr>
            <w:r>
              <w:rPr>
                <w:rFonts w:hint="eastAsia"/>
                <w:lang w:val="en-US" w:eastAsia="zh-CN"/>
              </w:rPr>
              <w:t>优</w:t>
            </w:r>
          </w:p>
        </w:tc>
        <w:tc>
          <w:tcPr>
            <w:tcW w:w="2268" w:type="dxa"/>
            <w:vAlign w:val="center"/>
          </w:tcPr>
          <w:p>
            <w:pPr>
              <w:pStyle w:val="10"/>
              <w:rPr>
                <w:rFonts w:hint="eastAsia"/>
                <w:lang w:val="en-US" w:eastAsia="zh-CN"/>
              </w:rPr>
            </w:pPr>
            <w:r>
              <w:rPr>
                <w:rFonts w:hint="eastAsia"/>
                <w:lang w:val="en-US" w:eastAsia="zh-C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rPr>
                <w:rFonts w:hint="eastAsia"/>
                <w:lang w:val="en-US" w:eastAsia="zh-CN"/>
              </w:rPr>
            </w:pPr>
            <w:r>
              <w:rPr>
                <w:rFonts w:hint="eastAsia"/>
                <w:lang w:val="en-US" w:eastAsia="zh-CN"/>
              </w:rPr>
              <w:t>工作完成率</w:t>
            </w:r>
          </w:p>
        </w:tc>
        <w:tc>
          <w:tcPr>
            <w:tcW w:w="2835" w:type="dxa"/>
            <w:vAlign w:val="center"/>
          </w:tcPr>
          <w:p>
            <w:pPr>
              <w:pStyle w:val="10"/>
              <w:rPr>
                <w:rFonts w:hint="eastAsia"/>
                <w:lang w:val="en-US" w:eastAsia="zh-CN"/>
              </w:rPr>
            </w:pPr>
            <w:r>
              <w:rPr>
                <w:rFonts w:hint="eastAsia"/>
                <w:lang w:val="en-US" w:eastAsia="zh-CN"/>
              </w:rPr>
              <w:t>工作完成率</w:t>
            </w:r>
          </w:p>
        </w:tc>
        <w:tc>
          <w:tcPr>
            <w:tcW w:w="2551" w:type="dxa"/>
            <w:vAlign w:val="center"/>
          </w:tcPr>
          <w:p>
            <w:pPr>
              <w:pStyle w:val="10"/>
              <w:rPr>
                <w:rFonts w:hint="eastAsia"/>
                <w:lang w:val="en-US" w:eastAsia="zh-CN"/>
              </w:rPr>
            </w:pPr>
            <w:r>
              <w:rPr>
                <w:rFonts w:hint="eastAsia"/>
                <w:lang w:val="en-US" w:eastAsia="zh-CN"/>
              </w:rPr>
              <w:t>≥95%</w:t>
            </w:r>
          </w:p>
        </w:tc>
        <w:tc>
          <w:tcPr>
            <w:tcW w:w="2268" w:type="dxa"/>
            <w:vAlign w:val="center"/>
          </w:tcPr>
          <w:p>
            <w:pPr>
              <w:pStyle w:val="10"/>
              <w:rPr>
                <w:rFonts w:hint="eastAsia"/>
                <w:lang w:val="en-US" w:eastAsia="zh-CN"/>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rPr>
                <w:rFonts w:hint="eastAsia"/>
                <w:lang w:val="en-US" w:eastAsia="zh-CN"/>
              </w:rPr>
            </w:pPr>
            <w:r>
              <w:rPr>
                <w:rFonts w:hint="eastAsia"/>
                <w:lang w:val="en-US" w:eastAsia="zh-CN"/>
              </w:rPr>
              <w:t>电脑采集成本</w:t>
            </w:r>
          </w:p>
        </w:tc>
        <w:tc>
          <w:tcPr>
            <w:tcW w:w="2835" w:type="dxa"/>
            <w:vAlign w:val="center"/>
          </w:tcPr>
          <w:p>
            <w:pPr>
              <w:pStyle w:val="10"/>
              <w:rPr>
                <w:rFonts w:hint="eastAsia"/>
                <w:lang w:val="en-US" w:eastAsia="zh-CN"/>
              </w:rPr>
            </w:pPr>
            <w:r>
              <w:rPr>
                <w:rFonts w:hint="eastAsia"/>
                <w:lang w:val="en-US" w:eastAsia="zh-CN"/>
              </w:rPr>
              <w:t>电脑采集成本</w:t>
            </w:r>
          </w:p>
        </w:tc>
        <w:tc>
          <w:tcPr>
            <w:tcW w:w="2551" w:type="dxa"/>
            <w:vAlign w:val="center"/>
          </w:tcPr>
          <w:p>
            <w:pPr>
              <w:pStyle w:val="10"/>
              <w:rPr>
                <w:rFonts w:hint="eastAsia"/>
                <w:lang w:val="en-US" w:eastAsia="zh-CN"/>
              </w:rPr>
            </w:pPr>
            <w:r>
              <w:rPr>
                <w:rFonts w:hint="eastAsia"/>
                <w:lang w:val="en-US" w:eastAsia="zh-CN"/>
              </w:rPr>
              <w:t>≤4500元/台</w:t>
            </w:r>
          </w:p>
        </w:tc>
        <w:tc>
          <w:tcPr>
            <w:tcW w:w="2268" w:type="dxa"/>
            <w:vAlign w:val="center"/>
          </w:tcPr>
          <w:p>
            <w:pPr>
              <w:pStyle w:val="10"/>
              <w:rPr>
                <w:rFonts w:hint="eastAsia"/>
                <w:lang w:val="en-US" w:eastAsia="zh-CN"/>
              </w:rPr>
            </w:pPr>
            <w:r>
              <w:rPr>
                <w:rFonts w:hint="eastAsia"/>
                <w:lang w:val="en-US" w:eastAsia="zh-CN"/>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rPr>
                <w:rFonts w:hint="eastAsia"/>
                <w:lang w:val="en-US" w:eastAsia="zh-CN"/>
              </w:rPr>
            </w:pPr>
            <w:r>
              <w:rPr>
                <w:rFonts w:hint="eastAsia"/>
                <w:lang w:val="en-US" w:eastAsia="zh-CN"/>
              </w:rPr>
              <w:t>保证局内工作顺利开展</w:t>
            </w:r>
          </w:p>
        </w:tc>
        <w:tc>
          <w:tcPr>
            <w:tcW w:w="2835" w:type="dxa"/>
            <w:vAlign w:val="center"/>
          </w:tcPr>
          <w:p>
            <w:pPr>
              <w:pStyle w:val="10"/>
              <w:rPr>
                <w:rFonts w:hint="eastAsia"/>
                <w:lang w:val="en-US" w:eastAsia="zh-CN"/>
              </w:rPr>
            </w:pPr>
            <w:r>
              <w:rPr>
                <w:rFonts w:hint="eastAsia"/>
                <w:lang w:val="en-US" w:eastAsia="zh-CN"/>
              </w:rPr>
              <w:t>保证局内工作顺利开展</w:t>
            </w:r>
          </w:p>
        </w:tc>
        <w:tc>
          <w:tcPr>
            <w:tcW w:w="2551" w:type="dxa"/>
            <w:vAlign w:val="center"/>
          </w:tcPr>
          <w:p>
            <w:pPr>
              <w:pStyle w:val="10"/>
              <w:rPr>
                <w:rFonts w:hint="eastAsia"/>
                <w:lang w:val="en-US" w:eastAsia="zh-CN"/>
              </w:rPr>
            </w:pPr>
            <w:r>
              <w:rPr>
                <w:rFonts w:hint="eastAsia"/>
                <w:lang w:val="en-US" w:eastAsia="zh-CN"/>
              </w:rPr>
              <w:t>2023年年底</w:t>
            </w:r>
          </w:p>
        </w:tc>
        <w:tc>
          <w:tcPr>
            <w:tcW w:w="2268" w:type="dxa"/>
            <w:vAlign w:val="center"/>
          </w:tcPr>
          <w:p>
            <w:pPr>
              <w:pStyle w:val="10"/>
              <w:rPr>
                <w:rFonts w:hint="eastAsia"/>
                <w:lang w:val="en-US" w:eastAsia="zh-CN"/>
              </w:rPr>
            </w:pPr>
            <w:r>
              <w:rPr>
                <w:rFonts w:hint="eastAsia"/>
                <w:lang w:val="en-US" w:eastAsia="zh-C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rPr>
                <w:rFonts w:hint="eastAsia"/>
                <w:lang w:val="en-US" w:eastAsia="zh-CN"/>
              </w:rPr>
            </w:pPr>
            <w:r>
              <w:rPr>
                <w:rFonts w:hint="eastAsia"/>
                <w:lang w:val="en-US" w:eastAsia="zh-CN"/>
              </w:rPr>
              <w:t>群众满意度</w:t>
            </w:r>
          </w:p>
        </w:tc>
        <w:tc>
          <w:tcPr>
            <w:tcW w:w="2835" w:type="dxa"/>
            <w:vAlign w:val="center"/>
          </w:tcPr>
          <w:p>
            <w:pPr>
              <w:pStyle w:val="10"/>
              <w:rPr>
                <w:rFonts w:hint="eastAsia"/>
                <w:lang w:val="en-US" w:eastAsia="zh-CN"/>
              </w:rPr>
            </w:pPr>
            <w:r>
              <w:rPr>
                <w:rFonts w:hint="eastAsia"/>
                <w:lang w:val="en-US" w:eastAsia="zh-CN"/>
              </w:rPr>
              <w:t>群众满意度</w:t>
            </w:r>
          </w:p>
        </w:tc>
        <w:tc>
          <w:tcPr>
            <w:tcW w:w="2551" w:type="dxa"/>
            <w:vAlign w:val="center"/>
          </w:tcPr>
          <w:p>
            <w:pPr>
              <w:pStyle w:val="10"/>
              <w:rPr>
                <w:rFonts w:hint="eastAsia"/>
                <w:lang w:val="en-US" w:eastAsia="zh-CN"/>
              </w:rPr>
            </w:pPr>
            <w:r>
              <w:rPr>
                <w:rFonts w:hint="eastAsia"/>
                <w:lang w:val="en-US" w:eastAsia="zh-CN"/>
              </w:rPr>
              <w:t>≥95%</w:t>
            </w:r>
          </w:p>
        </w:tc>
        <w:tc>
          <w:tcPr>
            <w:tcW w:w="2268" w:type="dxa"/>
            <w:vAlign w:val="center"/>
          </w:tcPr>
          <w:p>
            <w:pPr>
              <w:pStyle w:val="10"/>
              <w:rPr>
                <w:rFonts w:hint="eastAsia"/>
                <w:lang w:val="en-US" w:eastAsia="zh-CN"/>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28、土地征收成片开发方案编制工作绩效目标表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1.为顺利完成征地报批工作。</w:t>
            </w:r>
          </w:p>
          <w:p>
            <w:pPr>
              <w:pStyle w:val="10"/>
            </w:pPr>
            <w:r>
              <w:t>2.保障项目用地需求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现有拟征收地块数</w:t>
            </w:r>
          </w:p>
        </w:tc>
        <w:tc>
          <w:tcPr>
            <w:tcW w:w="2835" w:type="dxa"/>
            <w:vAlign w:val="center"/>
          </w:tcPr>
          <w:p>
            <w:pPr>
              <w:pStyle w:val="10"/>
            </w:pPr>
            <w:r>
              <w:t>现有拟征收地块数</w:t>
            </w:r>
          </w:p>
        </w:tc>
        <w:tc>
          <w:tcPr>
            <w:tcW w:w="2551" w:type="dxa"/>
            <w:vAlign w:val="center"/>
          </w:tcPr>
          <w:p>
            <w:pPr>
              <w:pStyle w:val="10"/>
            </w:pPr>
            <w:r>
              <w:t>≥27批次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专家评审通过率</w:t>
            </w:r>
          </w:p>
        </w:tc>
        <w:tc>
          <w:tcPr>
            <w:tcW w:w="2835" w:type="dxa"/>
            <w:vAlign w:val="center"/>
          </w:tcPr>
          <w:p>
            <w:pPr>
              <w:pStyle w:val="10"/>
            </w:pPr>
            <w:r>
              <w:t>专家评审通过率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土地征收成片开发方案</w:t>
            </w:r>
          </w:p>
        </w:tc>
        <w:tc>
          <w:tcPr>
            <w:tcW w:w="2835" w:type="dxa"/>
            <w:vAlign w:val="center"/>
          </w:tcPr>
          <w:p>
            <w:pPr>
              <w:pStyle w:val="10"/>
            </w:pPr>
            <w:r>
              <w:t>土地征收成片开发方案</w:t>
            </w:r>
          </w:p>
        </w:tc>
        <w:tc>
          <w:tcPr>
            <w:tcW w:w="2551" w:type="dxa"/>
            <w:vAlign w:val="center"/>
          </w:tcPr>
          <w:p>
            <w:pPr>
              <w:pStyle w:val="10"/>
            </w:pPr>
            <w:r>
              <w:t>≤1.11万元/批次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29、土地征收风险评估编制工作绩效目标表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1.为规范土地征收社会稳定风险评估工作，切实从源头上预防和减少土地征收矛盾隐患</w:t>
            </w:r>
          </w:p>
          <w:p>
            <w:pPr>
              <w:pStyle w:val="10"/>
            </w:pPr>
            <w:r>
              <w:t>2.为顺利完成征地报批工作，保障项目用地需求。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现有拟征收批次数</w:t>
            </w:r>
          </w:p>
        </w:tc>
        <w:tc>
          <w:tcPr>
            <w:tcW w:w="2835" w:type="dxa"/>
            <w:vAlign w:val="center"/>
          </w:tcPr>
          <w:p>
            <w:pPr>
              <w:pStyle w:val="10"/>
            </w:pPr>
            <w:r>
              <w:t>现有拟征收批次数</w:t>
            </w:r>
          </w:p>
        </w:tc>
        <w:tc>
          <w:tcPr>
            <w:tcW w:w="2551" w:type="dxa"/>
            <w:vAlign w:val="center"/>
          </w:tcPr>
          <w:p>
            <w:pPr>
              <w:pStyle w:val="10"/>
            </w:pPr>
            <w:r>
              <w:t>≥32批次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专家评审通过率</w:t>
            </w:r>
          </w:p>
        </w:tc>
        <w:tc>
          <w:tcPr>
            <w:tcW w:w="2835" w:type="dxa"/>
            <w:vAlign w:val="center"/>
          </w:tcPr>
          <w:p>
            <w:pPr>
              <w:pStyle w:val="10"/>
            </w:pPr>
            <w:r>
              <w:t>专家评审通过率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土地征收社会稳定风险评估平均成本</w:t>
            </w:r>
          </w:p>
        </w:tc>
        <w:tc>
          <w:tcPr>
            <w:tcW w:w="2835" w:type="dxa"/>
            <w:vAlign w:val="center"/>
          </w:tcPr>
          <w:p>
            <w:pPr>
              <w:pStyle w:val="10"/>
            </w:pPr>
            <w:r>
              <w:t>土地征收社会稳定风险评估平均成本</w:t>
            </w:r>
          </w:p>
        </w:tc>
        <w:tc>
          <w:tcPr>
            <w:tcW w:w="2551" w:type="dxa"/>
            <w:vAlign w:val="center"/>
          </w:tcPr>
          <w:p>
            <w:pPr>
              <w:pStyle w:val="10"/>
            </w:pPr>
            <w:r>
              <w:t>≤2.57万元/批次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≥85%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30、土壤污染状况调查费绩效目标表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1.土壤污染状况调查服务费</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委托业务数量</w:t>
            </w:r>
          </w:p>
        </w:tc>
        <w:tc>
          <w:tcPr>
            <w:tcW w:w="2835" w:type="dxa"/>
            <w:vAlign w:val="center"/>
          </w:tcPr>
          <w:p>
            <w:pPr>
              <w:pStyle w:val="10"/>
            </w:pPr>
            <w:r>
              <w:t>委托评估土地使用权出让的宗地数量</w:t>
            </w:r>
          </w:p>
        </w:tc>
        <w:tc>
          <w:tcPr>
            <w:tcW w:w="2551" w:type="dxa"/>
            <w:vAlign w:val="center"/>
          </w:tcPr>
          <w:p>
            <w:pPr>
              <w:pStyle w:val="10"/>
            </w:pPr>
            <w:r>
              <w:t>≥1宗</w:t>
            </w:r>
          </w:p>
        </w:tc>
        <w:tc>
          <w:tcPr>
            <w:tcW w:w="2268" w:type="dxa"/>
            <w:vAlign w:val="center"/>
          </w:tcPr>
          <w:p>
            <w:pPr>
              <w:pStyle w:val="10"/>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规范土地储备管理</w:t>
            </w:r>
          </w:p>
        </w:tc>
        <w:tc>
          <w:tcPr>
            <w:tcW w:w="2835" w:type="dxa"/>
            <w:vAlign w:val="center"/>
          </w:tcPr>
          <w:p>
            <w:pPr>
              <w:pStyle w:val="10"/>
            </w:pPr>
            <w:r>
              <w:t>土地资源的高效配置占规定土地资源比例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拨付时间</w:t>
            </w:r>
          </w:p>
        </w:tc>
        <w:tc>
          <w:tcPr>
            <w:tcW w:w="2835" w:type="dxa"/>
            <w:vAlign w:val="center"/>
          </w:tcPr>
          <w:p>
            <w:pPr>
              <w:pStyle w:val="10"/>
            </w:pPr>
            <w:r>
              <w:t>拨付时间</w:t>
            </w:r>
          </w:p>
        </w:tc>
        <w:tc>
          <w:tcPr>
            <w:tcW w:w="2551" w:type="dxa"/>
            <w:vAlign w:val="center"/>
          </w:tcPr>
          <w:p>
            <w:pPr>
              <w:pStyle w:val="10"/>
            </w:pPr>
            <w:r>
              <w:t>2023年6月30日前</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原华新纺织厂规划网格地块334272.81平方米（501亩）</w:t>
            </w:r>
          </w:p>
        </w:tc>
        <w:tc>
          <w:tcPr>
            <w:tcW w:w="2551" w:type="dxa"/>
            <w:vAlign w:val="center"/>
          </w:tcPr>
          <w:p>
            <w:pPr>
              <w:pStyle w:val="10"/>
            </w:pPr>
            <w:r>
              <w:t>≤29.9万元/宗</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土地利用率</w:t>
            </w:r>
          </w:p>
        </w:tc>
        <w:tc>
          <w:tcPr>
            <w:tcW w:w="2835" w:type="dxa"/>
            <w:vAlign w:val="center"/>
          </w:tcPr>
          <w:p>
            <w:pPr>
              <w:pStyle w:val="10"/>
            </w:pPr>
            <w:r>
              <w:t>土地利用率</w:t>
            </w:r>
          </w:p>
        </w:tc>
        <w:tc>
          <w:tcPr>
            <w:tcW w:w="2551" w:type="dxa"/>
            <w:vAlign w:val="center"/>
          </w:tcPr>
          <w:p>
            <w:pPr>
              <w:pStyle w:val="10"/>
            </w:pPr>
            <w:r>
              <w:t>≥80%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经济增长率</w:t>
            </w:r>
          </w:p>
        </w:tc>
        <w:tc>
          <w:tcPr>
            <w:tcW w:w="2835" w:type="dxa"/>
            <w:vAlign w:val="center"/>
          </w:tcPr>
          <w:p>
            <w:pPr>
              <w:pStyle w:val="10"/>
            </w:pPr>
            <w:r>
              <w:t>经济可持续增长率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31、委托业务费绩效目标表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1.评估出让土地使用权出让价值</w:t>
            </w:r>
          </w:p>
          <w:p>
            <w:pPr>
              <w:pStyle w:val="10"/>
            </w:pPr>
            <w:r>
              <w:t>2.为确定土地出让底价提供参考依据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委托业务数量</w:t>
            </w:r>
          </w:p>
        </w:tc>
        <w:tc>
          <w:tcPr>
            <w:tcW w:w="2835" w:type="dxa"/>
            <w:vAlign w:val="center"/>
          </w:tcPr>
          <w:p>
            <w:pPr>
              <w:pStyle w:val="10"/>
            </w:pPr>
            <w:r>
              <w:t>委托评估土地使用权出让的宗地数量</w:t>
            </w:r>
          </w:p>
        </w:tc>
        <w:tc>
          <w:tcPr>
            <w:tcW w:w="2551" w:type="dxa"/>
            <w:vAlign w:val="center"/>
          </w:tcPr>
          <w:p>
            <w:pPr>
              <w:pStyle w:val="10"/>
            </w:pPr>
            <w:r>
              <w:t>≥15宗</w:t>
            </w:r>
          </w:p>
        </w:tc>
        <w:tc>
          <w:tcPr>
            <w:tcW w:w="2268" w:type="dxa"/>
            <w:vAlign w:val="center"/>
          </w:tcPr>
          <w:p>
            <w:pPr>
              <w:pStyle w:val="10"/>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规范土地储备管理</w:t>
            </w:r>
          </w:p>
        </w:tc>
        <w:tc>
          <w:tcPr>
            <w:tcW w:w="2835" w:type="dxa"/>
            <w:vAlign w:val="center"/>
          </w:tcPr>
          <w:p>
            <w:pPr>
              <w:pStyle w:val="10"/>
            </w:pPr>
            <w:r>
              <w:t>土地资源的高效配置占规定土地资源比例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拨付时间</w:t>
            </w:r>
          </w:p>
        </w:tc>
        <w:tc>
          <w:tcPr>
            <w:tcW w:w="2835" w:type="dxa"/>
            <w:vAlign w:val="center"/>
          </w:tcPr>
          <w:p>
            <w:pPr>
              <w:pStyle w:val="10"/>
            </w:pPr>
            <w:r>
              <w:t>拨付时间</w:t>
            </w:r>
          </w:p>
        </w:tc>
        <w:tc>
          <w:tcPr>
            <w:tcW w:w="2551" w:type="dxa"/>
            <w:vAlign w:val="center"/>
          </w:tcPr>
          <w:p>
            <w:pPr>
              <w:pStyle w:val="10"/>
            </w:pPr>
            <w:r>
              <w:t>2023年年底</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监察聘请专家耕地破坏鉴定成本</w:t>
            </w:r>
          </w:p>
        </w:tc>
        <w:tc>
          <w:tcPr>
            <w:tcW w:w="2835" w:type="dxa"/>
            <w:vAlign w:val="center"/>
          </w:tcPr>
          <w:p>
            <w:pPr>
              <w:pStyle w:val="10"/>
            </w:pPr>
            <w:r>
              <w:t>监察聘请专家耕地破坏鉴定成本</w:t>
            </w:r>
          </w:p>
        </w:tc>
        <w:tc>
          <w:tcPr>
            <w:tcW w:w="2551" w:type="dxa"/>
            <w:vAlign w:val="center"/>
          </w:tcPr>
          <w:p>
            <w:pPr>
              <w:pStyle w:val="10"/>
            </w:pPr>
            <w:r>
              <w:t>≤40万元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土地利用率</w:t>
            </w:r>
          </w:p>
        </w:tc>
        <w:tc>
          <w:tcPr>
            <w:tcW w:w="2835" w:type="dxa"/>
            <w:vAlign w:val="center"/>
          </w:tcPr>
          <w:p>
            <w:pPr>
              <w:pStyle w:val="10"/>
            </w:pPr>
            <w:r>
              <w:t>土地利用率</w:t>
            </w:r>
          </w:p>
        </w:tc>
        <w:tc>
          <w:tcPr>
            <w:tcW w:w="2551" w:type="dxa"/>
            <w:vAlign w:val="center"/>
          </w:tcPr>
          <w:p>
            <w:pPr>
              <w:pStyle w:val="10"/>
            </w:pPr>
            <w:r>
              <w:t>高</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经济可持续增长率</w:t>
            </w:r>
          </w:p>
        </w:tc>
        <w:tc>
          <w:tcPr>
            <w:tcW w:w="2835" w:type="dxa"/>
            <w:vAlign w:val="center"/>
          </w:tcPr>
          <w:p>
            <w:pPr>
              <w:pStyle w:val="10"/>
            </w:pPr>
            <w:r>
              <w:t>经济可持续增长率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32、自然资源统一确权登记（沙流河）绩效目标表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1.地籍调查、测绘、数据汇交</w:t>
            </w:r>
          </w:p>
          <w:p>
            <w:pPr>
              <w:pStyle w:val="10"/>
            </w:pPr>
            <w:r>
              <w:t>2.协助登记发证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确权登记数量</w:t>
            </w:r>
          </w:p>
        </w:tc>
        <w:tc>
          <w:tcPr>
            <w:tcW w:w="2835" w:type="dxa"/>
            <w:vAlign w:val="center"/>
          </w:tcPr>
          <w:p>
            <w:pPr>
              <w:pStyle w:val="10"/>
            </w:pPr>
            <w:r>
              <w:t>确权登记数量</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确权登记完成率</w:t>
            </w:r>
          </w:p>
        </w:tc>
        <w:tc>
          <w:tcPr>
            <w:tcW w:w="2835" w:type="dxa"/>
            <w:vAlign w:val="center"/>
          </w:tcPr>
          <w:p>
            <w:pPr>
              <w:pStyle w:val="10"/>
            </w:pPr>
            <w:r>
              <w:t>确权登记完成率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发证完成时间</w:t>
            </w:r>
          </w:p>
        </w:tc>
        <w:tc>
          <w:tcPr>
            <w:tcW w:w="2835" w:type="dxa"/>
            <w:vAlign w:val="center"/>
          </w:tcPr>
          <w:p>
            <w:pPr>
              <w:pStyle w:val="10"/>
            </w:pPr>
            <w:r>
              <w:t>发证完成时间</w:t>
            </w:r>
          </w:p>
        </w:tc>
        <w:tc>
          <w:tcPr>
            <w:tcW w:w="2551" w:type="dxa"/>
            <w:vAlign w:val="center"/>
          </w:tcPr>
          <w:p>
            <w:pPr>
              <w:pStyle w:val="10"/>
            </w:pPr>
            <w:r>
              <w:t>2023年年底</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确权登记费用</w:t>
            </w:r>
          </w:p>
        </w:tc>
        <w:tc>
          <w:tcPr>
            <w:tcW w:w="2835" w:type="dxa"/>
            <w:vAlign w:val="center"/>
          </w:tcPr>
          <w:p>
            <w:pPr>
              <w:pStyle w:val="10"/>
            </w:pPr>
            <w:r>
              <w:t>确权登记费用</w:t>
            </w:r>
          </w:p>
        </w:tc>
        <w:tc>
          <w:tcPr>
            <w:tcW w:w="2551" w:type="dxa"/>
            <w:vAlign w:val="center"/>
          </w:tcPr>
          <w:p>
            <w:pPr>
              <w:pStyle w:val="10"/>
            </w:pPr>
            <w:r>
              <w:t>≤25万元/个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提高自然资源利用率</w:t>
            </w:r>
          </w:p>
        </w:tc>
        <w:tc>
          <w:tcPr>
            <w:tcW w:w="2835" w:type="dxa"/>
            <w:vAlign w:val="center"/>
          </w:tcPr>
          <w:p>
            <w:pPr>
              <w:pStyle w:val="10"/>
            </w:pPr>
            <w:r>
              <w:t>提高自然资源利用率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2023年，唐山市自然资源和规划局丰润区分局安排政府采购预算0.00万元。具体内容见下表。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唐山市自然资源和规划局丰润区分局（含所属单位）上年末固定资产金额为</w:t>
      </w:r>
      <w:r>
        <w:rPr>
          <w:rFonts w:hint="eastAsia" w:eastAsia="方正仿宋_GBK"/>
          <w:color w:val="000000"/>
          <w:sz w:val="28"/>
          <w:lang w:val="en-US" w:eastAsia="zh-CN"/>
        </w:rPr>
        <w:t>1496.58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tabs>
                <w:tab w:val="left" w:pos="2410"/>
              </w:tabs>
              <w:rPr>
                <w:rFonts w:hint="eastAsia" w:eastAsia="方正书宋_GBK"/>
                <w:lang w:eastAsia="zh-CN"/>
              </w:rPr>
            </w:pPr>
            <w:r>
              <w:rPr>
                <w:rFonts w:hint="eastAsia"/>
                <w:lang w:eastAsia="zh-CN"/>
              </w:rPr>
              <w:tab/>
            </w:r>
            <w:r>
              <w:rPr>
                <w:rFonts w:hint="eastAsia"/>
                <w:lang w:eastAsia="zh-CN"/>
              </w:rPr>
              <w:t>土地、房屋及构筑物</w:t>
            </w:r>
          </w:p>
        </w:tc>
        <w:tc>
          <w:tcPr>
            <w:tcW w:w="2835" w:type="dxa"/>
            <w:vAlign w:val="center"/>
          </w:tcPr>
          <w:p>
            <w:pPr>
              <w:pStyle w:val="11"/>
            </w:pPr>
          </w:p>
        </w:tc>
        <w:tc>
          <w:tcPr>
            <w:tcW w:w="2835" w:type="dxa"/>
            <w:vAlign w:val="center"/>
          </w:tcPr>
          <w:p>
            <w:pPr>
              <w:pStyle w:val="9"/>
              <w:jc w:val="center"/>
              <w:rPr>
                <w:rFonts w:hint="default" w:eastAsia="方正书宋_GBK"/>
                <w:lang w:val="en-US" w:eastAsia="zh-CN"/>
              </w:rPr>
            </w:pPr>
            <w:r>
              <w:rPr>
                <w:rFonts w:hint="eastAsia"/>
                <w:lang w:val="en-US" w:eastAsia="zh-CN"/>
              </w:rPr>
              <w:t>646.19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eastAsia" w:eastAsia="方正书宋_GBK"/>
                <w:lang w:eastAsia="zh-CN"/>
              </w:rPr>
            </w:pPr>
            <w:r>
              <w:rPr>
                <w:rFonts w:hint="eastAsia"/>
                <w:lang w:eastAsia="zh-CN"/>
              </w:rPr>
              <w:t>通用设备</w:t>
            </w:r>
          </w:p>
        </w:tc>
        <w:tc>
          <w:tcPr>
            <w:tcW w:w="2835" w:type="dxa"/>
            <w:vAlign w:val="center"/>
          </w:tcPr>
          <w:p>
            <w:pPr>
              <w:pStyle w:val="11"/>
            </w:pPr>
          </w:p>
        </w:tc>
        <w:tc>
          <w:tcPr>
            <w:tcW w:w="2835" w:type="dxa"/>
            <w:vAlign w:val="center"/>
          </w:tcPr>
          <w:p>
            <w:pPr>
              <w:pStyle w:val="9"/>
              <w:jc w:val="center"/>
              <w:rPr>
                <w:rFonts w:hint="default" w:eastAsia="方正书宋_GBK"/>
                <w:lang w:val="en-US" w:eastAsia="zh-CN"/>
              </w:rPr>
            </w:pPr>
            <w:r>
              <w:rPr>
                <w:rFonts w:hint="eastAsia"/>
                <w:lang w:val="en-US" w:eastAsia="zh-CN"/>
              </w:rPr>
              <w:t>774.35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eastAsia" w:eastAsia="方正书宋_GBK"/>
                <w:lang w:eastAsia="zh-CN"/>
              </w:rPr>
            </w:pPr>
            <w:r>
              <w:rPr>
                <w:rFonts w:hint="eastAsia"/>
                <w:lang w:eastAsia="zh-CN"/>
              </w:rPr>
              <w:t>家具、用具、装具及动植物</w:t>
            </w:r>
          </w:p>
        </w:tc>
        <w:tc>
          <w:tcPr>
            <w:tcW w:w="2835" w:type="dxa"/>
            <w:vAlign w:val="center"/>
          </w:tcPr>
          <w:p>
            <w:pPr>
              <w:pStyle w:val="11"/>
            </w:pPr>
          </w:p>
        </w:tc>
        <w:tc>
          <w:tcPr>
            <w:tcW w:w="2835" w:type="dxa"/>
            <w:vAlign w:val="center"/>
          </w:tcPr>
          <w:p>
            <w:pPr>
              <w:pStyle w:val="9"/>
              <w:jc w:val="center"/>
              <w:rPr>
                <w:rFonts w:hint="default" w:eastAsia="方正书宋_GBK"/>
                <w:lang w:val="en-US" w:eastAsia="zh-CN"/>
              </w:rPr>
            </w:pPr>
            <w:r>
              <w:rPr>
                <w:rFonts w:hint="eastAsia"/>
                <w:lang w:val="en-US" w:eastAsia="zh-CN"/>
              </w:rPr>
              <w:t>76.04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一、唐山市自然资源和规划局丰润区分局本级收支预算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1867.55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29885.84</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r>
              <w:t>1820.93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31753.40</w:t>
            </w:r>
          </w:p>
        </w:tc>
        <w:tc>
          <w:tcPr>
            <w:tcW w:w="4535" w:type="dxa"/>
            <w:vAlign w:val="center"/>
          </w:tcPr>
          <w:p>
            <w:pPr>
              <w:pStyle w:val="12"/>
            </w:pPr>
            <w:r>
              <w:t>本年支出合计</w:t>
            </w:r>
          </w:p>
        </w:tc>
        <w:tc>
          <w:tcPr>
            <w:tcW w:w="2126" w:type="dxa"/>
            <w:vAlign w:val="center"/>
          </w:tcPr>
          <w:p>
            <w:pPr>
              <w:pStyle w:val="13"/>
            </w:pPr>
            <w:r>
              <w:t>31753.40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31753.40</w:t>
            </w:r>
          </w:p>
        </w:tc>
        <w:tc>
          <w:tcPr>
            <w:tcW w:w="4535" w:type="dxa"/>
            <w:vAlign w:val="center"/>
          </w:tcPr>
          <w:p>
            <w:pPr>
              <w:pStyle w:val="12"/>
            </w:pPr>
            <w:r>
              <w:t>支出总计</w:t>
            </w:r>
          </w:p>
        </w:tc>
        <w:tc>
          <w:tcPr>
            <w:tcW w:w="2126" w:type="dxa"/>
            <w:vAlign w:val="center"/>
          </w:tcPr>
          <w:p>
            <w:pPr>
              <w:pStyle w:val="13"/>
            </w:pPr>
            <w:r>
              <w:t>31753.40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31753.40</w:t>
            </w:r>
          </w:p>
        </w:tc>
        <w:tc>
          <w:tcPr>
            <w:tcW w:w="1134" w:type="dxa"/>
            <w:vAlign w:val="center"/>
          </w:tcPr>
          <w:p>
            <w:pPr>
              <w:pStyle w:val="13"/>
            </w:pPr>
            <w:r>
              <w:t>31753.40</w:t>
            </w:r>
          </w:p>
        </w:tc>
        <w:tc>
          <w:tcPr>
            <w:tcW w:w="1134" w:type="dxa"/>
            <w:vAlign w:val="center"/>
          </w:tcPr>
          <w:p>
            <w:pPr>
              <w:pStyle w:val="13"/>
            </w:pPr>
            <w:r>
              <w:t>31753.40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r>
              <w:t>17.01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r>
              <w:t>16.86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r>
              <w:t>29885.84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2120801</w:t>
            </w:r>
          </w:p>
        </w:tc>
        <w:tc>
          <w:tcPr>
            <w:tcW w:w="1559" w:type="dxa"/>
            <w:vAlign w:val="center"/>
          </w:tcPr>
          <w:p>
            <w:pPr>
              <w:pStyle w:val="10"/>
            </w:pPr>
            <w:r>
              <w:t>征地和拆迁补偿支出</w:t>
            </w:r>
          </w:p>
        </w:tc>
        <w:tc>
          <w:tcPr>
            <w:tcW w:w="1134" w:type="dxa"/>
            <w:vAlign w:val="center"/>
          </w:tcPr>
          <w:p>
            <w:pPr>
              <w:pStyle w:val="9"/>
            </w:pPr>
            <w:r>
              <w:t>27446.22</w:t>
            </w:r>
          </w:p>
        </w:tc>
        <w:tc>
          <w:tcPr>
            <w:tcW w:w="1134" w:type="dxa"/>
            <w:vAlign w:val="center"/>
          </w:tcPr>
          <w:p>
            <w:pPr>
              <w:pStyle w:val="9"/>
            </w:pPr>
            <w:r>
              <w:t>27446.22</w:t>
            </w:r>
          </w:p>
        </w:tc>
        <w:tc>
          <w:tcPr>
            <w:tcW w:w="1134" w:type="dxa"/>
            <w:vAlign w:val="center"/>
          </w:tcPr>
          <w:p>
            <w:pPr>
              <w:pStyle w:val="9"/>
            </w:pPr>
            <w:r>
              <w:t>27446.22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2120802</w:t>
            </w:r>
          </w:p>
        </w:tc>
        <w:tc>
          <w:tcPr>
            <w:tcW w:w="1559" w:type="dxa"/>
            <w:vAlign w:val="center"/>
          </w:tcPr>
          <w:p>
            <w:pPr>
              <w:pStyle w:val="10"/>
            </w:pPr>
            <w:r>
              <w:t>土地开发支出</w:t>
            </w:r>
          </w:p>
        </w:tc>
        <w:tc>
          <w:tcPr>
            <w:tcW w:w="1134" w:type="dxa"/>
            <w:vAlign w:val="center"/>
          </w:tcPr>
          <w:p>
            <w:pPr>
              <w:pStyle w:val="9"/>
            </w:pPr>
            <w:r>
              <w:t>1783.62</w:t>
            </w:r>
          </w:p>
        </w:tc>
        <w:tc>
          <w:tcPr>
            <w:tcW w:w="1134" w:type="dxa"/>
            <w:vAlign w:val="center"/>
          </w:tcPr>
          <w:p>
            <w:pPr>
              <w:pStyle w:val="9"/>
            </w:pPr>
            <w:r>
              <w:t>1783.62</w:t>
            </w:r>
          </w:p>
        </w:tc>
        <w:tc>
          <w:tcPr>
            <w:tcW w:w="1134" w:type="dxa"/>
            <w:vAlign w:val="center"/>
          </w:tcPr>
          <w:p>
            <w:pPr>
              <w:pStyle w:val="9"/>
            </w:pPr>
            <w:r>
              <w:t>1783.62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2120806</w:t>
            </w:r>
          </w:p>
        </w:tc>
        <w:tc>
          <w:tcPr>
            <w:tcW w:w="1559" w:type="dxa"/>
            <w:vAlign w:val="center"/>
          </w:tcPr>
          <w:p>
            <w:pPr>
              <w:pStyle w:val="10"/>
            </w:pPr>
            <w:r>
              <w:t>土地出让业务支出</w:t>
            </w:r>
          </w:p>
        </w:tc>
        <w:tc>
          <w:tcPr>
            <w:tcW w:w="1134" w:type="dxa"/>
            <w:vAlign w:val="center"/>
          </w:tcPr>
          <w:p>
            <w:pPr>
              <w:pStyle w:val="9"/>
            </w:pPr>
            <w:r>
              <w:t>656.00</w:t>
            </w:r>
          </w:p>
        </w:tc>
        <w:tc>
          <w:tcPr>
            <w:tcW w:w="1134" w:type="dxa"/>
            <w:vAlign w:val="center"/>
          </w:tcPr>
          <w:p>
            <w:pPr>
              <w:pStyle w:val="9"/>
            </w:pPr>
            <w:r>
              <w:t>656.00</w:t>
            </w:r>
          </w:p>
        </w:tc>
        <w:tc>
          <w:tcPr>
            <w:tcW w:w="1134" w:type="dxa"/>
            <w:vAlign w:val="center"/>
          </w:tcPr>
          <w:p>
            <w:pPr>
              <w:pStyle w:val="9"/>
            </w:pPr>
            <w:r>
              <w:t>656.00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220</w:t>
            </w:r>
          </w:p>
        </w:tc>
        <w:tc>
          <w:tcPr>
            <w:tcW w:w="1559" w:type="dxa"/>
            <w:vAlign w:val="center"/>
          </w:tcPr>
          <w:p>
            <w:pPr>
              <w:pStyle w:val="10"/>
            </w:pPr>
            <w:r>
              <w:t>自然资源海洋气象等支出</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22001</w:t>
            </w:r>
          </w:p>
        </w:tc>
        <w:tc>
          <w:tcPr>
            <w:tcW w:w="1559" w:type="dxa"/>
            <w:vAlign w:val="center"/>
          </w:tcPr>
          <w:p>
            <w:pPr>
              <w:pStyle w:val="10"/>
            </w:pPr>
            <w:r>
              <w:t>自然资源事务</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r>
              <w:t>1820.93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2200101</w:t>
            </w:r>
          </w:p>
        </w:tc>
        <w:tc>
          <w:tcPr>
            <w:tcW w:w="1559" w:type="dxa"/>
            <w:vAlign w:val="center"/>
          </w:tcPr>
          <w:p>
            <w:pPr>
              <w:pStyle w:val="10"/>
            </w:pPr>
            <w:r>
              <w:t>行政运行</w:t>
            </w:r>
          </w:p>
        </w:tc>
        <w:tc>
          <w:tcPr>
            <w:tcW w:w="1134" w:type="dxa"/>
            <w:vAlign w:val="center"/>
          </w:tcPr>
          <w:p>
            <w:pPr>
              <w:pStyle w:val="9"/>
            </w:pPr>
            <w:r>
              <w:t>865.65</w:t>
            </w:r>
          </w:p>
        </w:tc>
        <w:tc>
          <w:tcPr>
            <w:tcW w:w="1134" w:type="dxa"/>
            <w:vAlign w:val="center"/>
          </w:tcPr>
          <w:p>
            <w:pPr>
              <w:pStyle w:val="9"/>
            </w:pPr>
            <w:r>
              <w:t>865.65</w:t>
            </w:r>
          </w:p>
        </w:tc>
        <w:tc>
          <w:tcPr>
            <w:tcW w:w="1134" w:type="dxa"/>
            <w:vAlign w:val="center"/>
          </w:tcPr>
          <w:p>
            <w:pPr>
              <w:pStyle w:val="9"/>
            </w:pPr>
            <w:r>
              <w:t>865.65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2200114</w:t>
            </w:r>
          </w:p>
        </w:tc>
        <w:tc>
          <w:tcPr>
            <w:tcW w:w="1559" w:type="dxa"/>
            <w:vAlign w:val="center"/>
          </w:tcPr>
          <w:p>
            <w:pPr>
              <w:pStyle w:val="10"/>
            </w:pPr>
            <w:r>
              <w:t>地质勘查与矿产资源管理</w:t>
            </w:r>
          </w:p>
        </w:tc>
        <w:tc>
          <w:tcPr>
            <w:tcW w:w="1134" w:type="dxa"/>
            <w:vAlign w:val="center"/>
          </w:tcPr>
          <w:p>
            <w:pPr>
              <w:pStyle w:val="9"/>
            </w:pPr>
            <w:r>
              <w:t>955.28</w:t>
            </w:r>
          </w:p>
        </w:tc>
        <w:tc>
          <w:tcPr>
            <w:tcW w:w="1134" w:type="dxa"/>
            <w:vAlign w:val="center"/>
          </w:tcPr>
          <w:p>
            <w:pPr>
              <w:pStyle w:val="9"/>
            </w:pPr>
            <w:r>
              <w:t>955.28</w:t>
            </w:r>
          </w:p>
        </w:tc>
        <w:tc>
          <w:tcPr>
            <w:tcW w:w="1134" w:type="dxa"/>
            <w:vAlign w:val="center"/>
          </w:tcPr>
          <w:p>
            <w:pPr>
              <w:pStyle w:val="9"/>
            </w:pPr>
            <w:r>
              <w:t>955.28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r>
              <w:t>12.76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31753.40</w:t>
            </w:r>
          </w:p>
        </w:tc>
        <w:tc>
          <w:tcPr>
            <w:tcW w:w="1361" w:type="dxa"/>
            <w:vAlign w:val="center"/>
          </w:tcPr>
          <w:p>
            <w:pPr>
              <w:pStyle w:val="13"/>
            </w:pPr>
            <w:r>
              <w:t>912.27</w:t>
            </w:r>
          </w:p>
        </w:tc>
        <w:tc>
          <w:tcPr>
            <w:tcW w:w="1361" w:type="dxa"/>
            <w:vAlign w:val="center"/>
          </w:tcPr>
          <w:p>
            <w:pPr>
              <w:pStyle w:val="13"/>
            </w:pPr>
            <w:r>
              <w:t>30841.12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17.01</w:t>
            </w:r>
          </w:p>
        </w:tc>
        <w:tc>
          <w:tcPr>
            <w:tcW w:w="1361" w:type="dxa"/>
            <w:vAlign w:val="center"/>
          </w:tcPr>
          <w:p>
            <w:pPr>
              <w:pStyle w:val="9"/>
            </w:pPr>
            <w:r>
              <w:t>17.01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17.01</w:t>
            </w:r>
          </w:p>
        </w:tc>
        <w:tc>
          <w:tcPr>
            <w:tcW w:w="1361" w:type="dxa"/>
            <w:vAlign w:val="center"/>
          </w:tcPr>
          <w:p>
            <w:pPr>
              <w:pStyle w:val="9"/>
            </w:pPr>
            <w:r>
              <w:t>17.01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17.01</w:t>
            </w:r>
          </w:p>
        </w:tc>
        <w:tc>
          <w:tcPr>
            <w:tcW w:w="1361" w:type="dxa"/>
            <w:vAlign w:val="center"/>
          </w:tcPr>
          <w:p>
            <w:pPr>
              <w:pStyle w:val="9"/>
            </w:pPr>
            <w:r>
              <w:t>17.01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16.86</w:t>
            </w:r>
          </w:p>
        </w:tc>
        <w:tc>
          <w:tcPr>
            <w:tcW w:w="1361" w:type="dxa"/>
            <w:vAlign w:val="center"/>
          </w:tcPr>
          <w:p>
            <w:pPr>
              <w:pStyle w:val="9"/>
            </w:pPr>
            <w:r>
              <w:t>16.86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16.86</w:t>
            </w:r>
          </w:p>
        </w:tc>
        <w:tc>
          <w:tcPr>
            <w:tcW w:w="1361" w:type="dxa"/>
            <w:vAlign w:val="center"/>
          </w:tcPr>
          <w:p>
            <w:pPr>
              <w:pStyle w:val="9"/>
            </w:pPr>
            <w:r>
              <w:t>16.86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16.86</w:t>
            </w:r>
          </w:p>
        </w:tc>
        <w:tc>
          <w:tcPr>
            <w:tcW w:w="1361" w:type="dxa"/>
            <w:vAlign w:val="center"/>
          </w:tcPr>
          <w:p>
            <w:pPr>
              <w:pStyle w:val="9"/>
            </w:pPr>
            <w:r>
              <w:t>16.86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r>
              <w:t>29885.84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2120801</w:t>
            </w:r>
          </w:p>
        </w:tc>
        <w:tc>
          <w:tcPr>
            <w:tcW w:w="4535" w:type="dxa"/>
            <w:vAlign w:val="center"/>
          </w:tcPr>
          <w:p>
            <w:pPr>
              <w:pStyle w:val="10"/>
            </w:pPr>
            <w:r>
              <w:t>征地和拆迁补偿支出</w:t>
            </w:r>
          </w:p>
        </w:tc>
        <w:tc>
          <w:tcPr>
            <w:tcW w:w="1361" w:type="dxa"/>
            <w:vAlign w:val="center"/>
          </w:tcPr>
          <w:p>
            <w:pPr>
              <w:pStyle w:val="9"/>
            </w:pPr>
            <w:r>
              <w:t>27446.22</w:t>
            </w:r>
          </w:p>
        </w:tc>
        <w:tc>
          <w:tcPr>
            <w:tcW w:w="1361" w:type="dxa"/>
            <w:vAlign w:val="center"/>
          </w:tcPr>
          <w:p>
            <w:pPr>
              <w:pStyle w:val="9"/>
            </w:pPr>
          </w:p>
        </w:tc>
        <w:tc>
          <w:tcPr>
            <w:tcW w:w="1361" w:type="dxa"/>
            <w:vAlign w:val="center"/>
          </w:tcPr>
          <w:p>
            <w:pPr>
              <w:pStyle w:val="9"/>
            </w:pPr>
            <w:r>
              <w:t>27446.22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2120802</w:t>
            </w:r>
          </w:p>
        </w:tc>
        <w:tc>
          <w:tcPr>
            <w:tcW w:w="4535" w:type="dxa"/>
            <w:vAlign w:val="center"/>
          </w:tcPr>
          <w:p>
            <w:pPr>
              <w:pStyle w:val="10"/>
            </w:pPr>
            <w:r>
              <w:t>土地开发支出</w:t>
            </w:r>
          </w:p>
        </w:tc>
        <w:tc>
          <w:tcPr>
            <w:tcW w:w="1361" w:type="dxa"/>
            <w:vAlign w:val="center"/>
          </w:tcPr>
          <w:p>
            <w:pPr>
              <w:pStyle w:val="9"/>
            </w:pPr>
            <w:r>
              <w:t>1783.62</w:t>
            </w:r>
          </w:p>
        </w:tc>
        <w:tc>
          <w:tcPr>
            <w:tcW w:w="1361" w:type="dxa"/>
            <w:vAlign w:val="center"/>
          </w:tcPr>
          <w:p>
            <w:pPr>
              <w:pStyle w:val="9"/>
            </w:pPr>
          </w:p>
        </w:tc>
        <w:tc>
          <w:tcPr>
            <w:tcW w:w="1361" w:type="dxa"/>
            <w:vAlign w:val="center"/>
          </w:tcPr>
          <w:p>
            <w:pPr>
              <w:pStyle w:val="9"/>
            </w:pPr>
            <w:r>
              <w:t>1783.62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2120806</w:t>
            </w:r>
          </w:p>
        </w:tc>
        <w:tc>
          <w:tcPr>
            <w:tcW w:w="4535" w:type="dxa"/>
            <w:vAlign w:val="center"/>
          </w:tcPr>
          <w:p>
            <w:pPr>
              <w:pStyle w:val="10"/>
            </w:pPr>
            <w:r>
              <w:t>土地出让业务支出</w:t>
            </w:r>
          </w:p>
        </w:tc>
        <w:tc>
          <w:tcPr>
            <w:tcW w:w="1361" w:type="dxa"/>
            <w:vAlign w:val="center"/>
          </w:tcPr>
          <w:p>
            <w:pPr>
              <w:pStyle w:val="9"/>
            </w:pPr>
            <w:r>
              <w:t>656.00</w:t>
            </w:r>
          </w:p>
        </w:tc>
        <w:tc>
          <w:tcPr>
            <w:tcW w:w="1361" w:type="dxa"/>
            <w:vAlign w:val="center"/>
          </w:tcPr>
          <w:p>
            <w:pPr>
              <w:pStyle w:val="9"/>
            </w:pPr>
          </w:p>
        </w:tc>
        <w:tc>
          <w:tcPr>
            <w:tcW w:w="1361" w:type="dxa"/>
            <w:vAlign w:val="center"/>
          </w:tcPr>
          <w:p>
            <w:pPr>
              <w:pStyle w:val="9"/>
            </w:pPr>
            <w:r>
              <w:t>656.00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220</w:t>
            </w:r>
          </w:p>
        </w:tc>
        <w:tc>
          <w:tcPr>
            <w:tcW w:w="4535" w:type="dxa"/>
            <w:vAlign w:val="center"/>
          </w:tcPr>
          <w:p>
            <w:pPr>
              <w:pStyle w:val="10"/>
            </w:pPr>
            <w:r>
              <w:t>自然资源海洋气象等支出</w:t>
            </w:r>
          </w:p>
        </w:tc>
        <w:tc>
          <w:tcPr>
            <w:tcW w:w="1361" w:type="dxa"/>
            <w:vAlign w:val="center"/>
          </w:tcPr>
          <w:p>
            <w:pPr>
              <w:pStyle w:val="9"/>
            </w:pPr>
            <w:r>
              <w:t>1820.93</w:t>
            </w:r>
          </w:p>
        </w:tc>
        <w:tc>
          <w:tcPr>
            <w:tcW w:w="1361" w:type="dxa"/>
            <w:vAlign w:val="center"/>
          </w:tcPr>
          <w:p>
            <w:pPr>
              <w:pStyle w:val="9"/>
            </w:pPr>
            <w:r>
              <w:t>865.65</w:t>
            </w: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22001</w:t>
            </w:r>
          </w:p>
        </w:tc>
        <w:tc>
          <w:tcPr>
            <w:tcW w:w="4535" w:type="dxa"/>
            <w:vAlign w:val="center"/>
          </w:tcPr>
          <w:p>
            <w:pPr>
              <w:pStyle w:val="10"/>
            </w:pPr>
            <w:r>
              <w:t>自然资源事务</w:t>
            </w:r>
          </w:p>
        </w:tc>
        <w:tc>
          <w:tcPr>
            <w:tcW w:w="1361" w:type="dxa"/>
            <w:vAlign w:val="center"/>
          </w:tcPr>
          <w:p>
            <w:pPr>
              <w:pStyle w:val="9"/>
            </w:pPr>
            <w:r>
              <w:t>1820.93</w:t>
            </w:r>
          </w:p>
        </w:tc>
        <w:tc>
          <w:tcPr>
            <w:tcW w:w="1361" w:type="dxa"/>
            <w:vAlign w:val="center"/>
          </w:tcPr>
          <w:p>
            <w:pPr>
              <w:pStyle w:val="9"/>
            </w:pPr>
            <w:r>
              <w:t>865.65</w:t>
            </w: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2200101</w:t>
            </w:r>
          </w:p>
        </w:tc>
        <w:tc>
          <w:tcPr>
            <w:tcW w:w="4535" w:type="dxa"/>
            <w:vAlign w:val="center"/>
          </w:tcPr>
          <w:p>
            <w:pPr>
              <w:pStyle w:val="10"/>
            </w:pPr>
            <w:r>
              <w:t>行政运行</w:t>
            </w:r>
          </w:p>
        </w:tc>
        <w:tc>
          <w:tcPr>
            <w:tcW w:w="1361" w:type="dxa"/>
            <w:vAlign w:val="center"/>
          </w:tcPr>
          <w:p>
            <w:pPr>
              <w:pStyle w:val="9"/>
            </w:pPr>
            <w:r>
              <w:t>865.65</w:t>
            </w:r>
          </w:p>
        </w:tc>
        <w:tc>
          <w:tcPr>
            <w:tcW w:w="1361" w:type="dxa"/>
            <w:vAlign w:val="center"/>
          </w:tcPr>
          <w:p>
            <w:pPr>
              <w:pStyle w:val="9"/>
            </w:pPr>
            <w:r>
              <w:t>865.65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2200114</w:t>
            </w:r>
          </w:p>
        </w:tc>
        <w:tc>
          <w:tcPr>
            <w:tcW w:w="4535" w:type="dxa"/>
            <w:vAlign w:val="center"/>
          </w:tcPr>
          <w:p>
            <w:pPr>
              <w:pStyle w:val="10"/>
            </w:pPr>
            <w:r>
              <w:t>地质勘查与矿产资源管理</w:t>
            </w: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r>
              <w:t>955.28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12.76</w:t>
            </w:r>
          </w:p>
        </w:tc>
        <w:tc>
          <w:tcPr>
            <w:tcW w:w="1361" w:type="dxa"/>
            <w:vAlign w:val="center"/>
          </w:tcPr>
          <w:p>
            <w:pPr>
              <w:pStyle w:val="9"/>
            </w:pPr>
            <w:r>
              <w:t>12.76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12.76</w:t>
            </w:r>
          </w:p>
        </w:tc>
        <w:tc>
          <w:tcPr>
            <w:tcW w:w="1361" w:type="dxa"/>
            <w:vAlign w:val="center"/>
          </w:tcPr>
          <w:p>
            <w:pPr>
              <w:pStyle w:val="9"/>
            </w:pPr>
            <w:r>
              <w:t>12.76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12.76</w:t>
            </w:r>
          </w:p>
        </w:tc>
        <w:tc>
          <w:tcPr>
            <w:tcW w:w="1361" w:type="dxa"/>
            <w:vAlign w:val="center"/>
          </w:tcPr>
          <w:p>
            <w:pPr>
              <w:pStyle w:val="9"/>
            </w:pPr>
            <w:r>
              <w:t>12.76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1867.55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29885.84</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17.01</w:t>
            </w:r>
          </w:p>
        </w:tc>
        <w:tc>
          <w:tcPr>
            <w:tcW w:w="1474" w:type="dxa"/>
            <w:vAlign w:val="center"/>
          </w:tcPr>
          <w:p>
            <w:pPr>
              <w:pStyle w:val="9"/>
            </w:pPr>
            <w:r>
              <w:t>17.01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16.86</w:t>
            </w:r>
          </w:p>
        </w:tc>
        <w:tc>
          <w:tcPr>
            <w:tcW w:w="1474" w:type="dxa"/>
            <w:vAlign w:val="center"/>
          </w:tcPr>
          <w:p>
            <w:pPr>
              <w:pStyle w:val="9"/>
            </w:pPr>
            <w:r>
              <w:t>16.86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29885.84</w:t>
            </w:r>
          </w:p>
        </w:tc>
        <w:tc>
          <w:tcPr>
            <w:tcW w:w="1474" w:type="dxa"/>
            <w:vAlign w:val="center"/>
          </w:tcPr>
          <w:p>
            <w:pPr>
              <w:pStyle w:val="9"/>
            </w:pPr>
          </w:p>
        </w:tc>
        <w:tc>
          <w:tcPr>
            <w:tcW w:w="1474" w:type="dxa"/>
            <w:vAlign w:val="center"/>
          </w:tcPr>
          <w:p>
            <w:pPr>
              <w:pStyle w:val="9"/>
            </w:pPr>
            <w:r>
              <w:t>29885.84</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r>
              <w:t>1820.93</w:t>
            </w:r>
          </w:p>
        </w:tc>
        <w:tc>
          <w:tcPr>
            <w:tcW w:w="1474" w:type="dxa"/>
            <w:vAlign w:val="center"/>
          </w:tcPr>
          <w:p>
            <w:pPr>
              <w:pStyle w:val="9"/>
            </w:pPr>
            <w:r>
              <w:t>1820.93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12.76</w:t>
            </w:r>
          </w:p>
        </w:tc>
        <w:tc>
          <w:tcPr>
            <w:tcW w:w="1474" w:type="dxa"/>
            <w:vAlign w:val="center"/>
          </w:tcPr>
          <w:p>
            <w:pPr>
              <w:pStyle w:val="9"/>
            </w:pPr>
            <w:r>
              <w:t>12.76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31753.40</w:t>
            </w:r>
          </w:p>
        </w:tc>
        <w:tc>
          <w:tcPr>
            <w:tcW w:w="3402" w:type="dxa"/>
            <w:vAlign w:val="center"/>
          </w:tcPr>
          <w:p>
            <w:pPr>
              <w:pStyle w:val="12"/>
            </w:pPr>
            <w:r>
              <w:t>本年支出合计</w:t>
            </w:r>
          </w:p>
        </w:tc>
        <w:tc>
          <w:tcPr>
            <w:tcW w:w="1474" w:type="dxa"/>
            <w:vAlign w:val="center"/>
          </w:tcPr>
          <w:p>
            <w:pPr>
              <w:pStyle w:val="13"/>
            </w:pPr>
            <w:r>
              <w:t>31753.40</w:t>
            </w:r>
          </w:p>
        </w:tc>
        <w:tc>
          <w:tcPr>
            <w:tcW w:w="1474" w:type="dxa"/>
            <w:vAlign w:val="center"/>
          </w:tcPr>
          <w:p>
            <w:pPr>
              <w:pStyle w:val="13"/>
            </w:pPr>
            <w:r>
              <w:t>1867.55</w:t>
            </w:r>
          </w:p>
        </w:tc>
        <w:tc>
          <w:tcPr>
            <w:tcW w:w="1474" w:type="dxa"/>
            <w:vAlign w:val="center"/>
          </w:tcPr>
          <w:p>
            <w:pPr>
              <w:pStyle w:val="13"/>
            </w:pPr>
            <w:r>
              <w:t>29885.84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31753.40</w:t>
            </w:r>
          </w:p>
        </w:tc>
        <w:tc>
          <w:tcPr>
            <w:tcW w:w="3402" w:type="dxa"/>
            <w:vAlign w:val="center"/>
          </w:tcPr>
          <w:p>
            <w:pPr>
              <w:pStyle w:val="12"/>
            </w:pPr>
            <w:r>
              <w:t>支出总计</w:t>
            </w:r>
          </w:p>
        </w:tc>
        <w:tc>
          <w:tcPr>
            <w:tcW w:w="1474" w:type="dxa"/>
            <w:vAlign w:val="center"/>
          </w:tcPr>
          <w:p>
            <w:pPr>
              <w:pStyle w:val="13"/>
            </w:pPr>
            <w:r>
              <w:t>31753.40</w:t>
            </w:r>
          </w:p>
        </w:tc>
        <w:tc>
          <w:tcPr>
            <w:tcW w:w="1474" w:type="dxa"/>
            <w:vAlign w:val="center"/>
          </w:tcPr>
          <w:p>
            <w:pPr>
              <w:pStyle w:val="13"/>
            </w:pPr>
            <w:r>
              <w:t>1867.55</w:t>
            </w:r>
          </w:p>
        </w:tc>
        <w:tc>
          <w:tcPr>
            <w:tcW w:w="1474" w:type="dxa"/>
            <w:vAlign w:val="center"/>
          </w:tcPr>
          <w:p>
            <w:pPr>
              <w:pStyle w:val="13"/>
            </w:pPr>
            <w:r>
              <w:t>29885.84</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1867.55</w:t>
            </w:r>
          </w:p>
        </w:tc>
        <w:tc>
          <w:tcPr>
            <w:tcW w:w="2551" w:type="dxa"/>
            <w:vAlign w:val="center"/>
          </w:tcPr>
          <w:p>
            <w:pPr>
              <w:pStyle w:val="13"/>
            </w:pPr>
            <w:r>
              <w:t>912.27</w:t>
            </w:r>
          </w:p>
        </w:tc>
        <w:tc>
          <w:tcPr>
            <w:tcW w:w="2551" w:type="dxa"/>
            <w:vAlign w:val="center"/>
          </w:tcPr>
          <w:p>
            <w:pPr>
              <w:pStyle w:val="13"/>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16.86</w:t>
            </w:r>
          </w:p>
        </w:tc>
        <w:tc>
          <w:tcPr>
            <w:tcW w:w="2551" w:type="dxa"/>
            <w:vAlign w:val="center"/>
          </w:tcPr>
          <w:p>
            <w:pPr>
              <w:pStyle w:val="9"/>
            </w:pPr>
            <w:r>
              <w:t>16.86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16.86</w:t>
            </w:r>
          </w:p>
        </w:tc>
        <w:tc>
          <w:tcPr>
            <w:tcW w:w="2551" w:type="dxa"/>
            <w:vAlign w:val="center"/>
          </w:tcPr>
          <w:p>
            <w:pPr>
              <w:pStyle w:val="9"/>
            </w:pPr>
            <w:r>
              <w:t>16.86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16.86</w:t>
            </w:r>
          </w:p>
        </w:tc>
        <w:tc>
          <w:tcPr>
            <w:tcW w:w="2551" w:type="dxa"/>
            <w:vAlign w:val="center"/>
          </w:tcPr>
          <w:p>
            <w:pPr>
              <w:pStyle w:val="9"/>
            </w:pPr>
            <w:r>
              <w:t>16.86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220</w:t>
            </w:r>
          </w:p>
        </w:tc>
        <w:tc>
          <w:tcPr>
            <w:tcW w:w="4535" w:type="dxa"/>
            <w:vAlign w:val="center"/>
          </w:tcPr>
          <w:p>
            <w:pPr>
              <w:pStyle w:val="10"/>
            </w:pPr>
            <w:r>
              <w:t>自然资源海洋气象等支出</w:t>
            </w:r>
          </w:p>
        </w:tc>
        <w:tc>
          <w:tcPr>
            <w:tcW w:w="2551" w:type="dxa"/>
            <w:vAlign w:val="center"/>
          </w:tcPr>
          <w:p>
            <w:pPr>
              <w:pStyle w:val="9"/>
            </w:pPr>
            <w:r>
              <w:t>1820.93</w:t>
            </w:r>
          </w:p>
        </w:tc>
        <w:tc>
          <w:tcPr>
            <w:tcW w:w="2551" w:type="dxa"/>
            <w:vAlign w:val="center"/>
          </w:tcPr>
          <w:p>
            <w:pPr>
              <w:pStyle w:val="9"/>
            </w:pPr>
            <w:r>
              <w:t>865.65</w:t>
            </w:r>
          </w:p>
        </w:tc>
        <w:tc>
          <w:tcPr>
            <w:tcW w:w="2551" w:type="dxa"/>
            <w:vAlign w:val="center"/>
          </w:tcPr>
          <w:p>
            <w:pPr>
              <w:pStyle w:val="9"/>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22001</w:t>
            </w:r>
          </w:p>
        </w:tc>
        <w:tc>
          <w:tcPr>
            <w:tcW w:w="4535" w:type="dxa"/>
            <w:vAlign w:val="center"/>
          </w:tcPr>
          <w:p>
            <w:pPr>
              <w:pStyle w:val="10"/>
            </w:pPr>
            <w:r>
              <w:t>自然资源事务</w:t>
            </w:r>
          </w:p>
        </w:tc>
        <w:tc>
          <w:tcPr>
            <w:tcW w:w="2551" w:type="dxa"/>
            <w:vAlign w:val="center"/>
          </w:tcPr>
          <w:p>
            <w:pPr>
              <w:pStyle w:val="9"/>
            </w:pPr>
            <w:r>
              <w:t>1820.93</w:t>
            </w:r>
          </w:p>
        </w:tc>
        <w:tc>
          <w:tcPr>
            <w:tcW w:w="2551" w:type="dxa"/>
            <w:vAlign w:val="center"/>
          </w:tcPr>
          <w:p>
            <w:pPr>
              <w:pStyle w:val="9"/>
            </w:pPr>
            <w:r>
              <w:t>865.65</w:t>
            </w:r>
          </w:p>
        </w:tc>
        <w:tc>
          <w:tcPr>
            <w:tcW w:w="2551" w:type="dxa"/>
            <w:vAlign w:val="center"/>
          </w:tcPr>
          <w:p>
            <w:pPr>
              <w:pStyle w:val="9"/>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2200101</w:t>
            </w:r>
          </w:p>
        </w:tc>
        <w:tc>
          <w:tcPr>
            <w:tcW w:w="4535" w:type="dxa"/>
            <w:vAlign w:val="center"/>
          </w:tcPr>
          <w:p>
            <w:pPr>
              <w:pStyle w:val="10"/>
            </w:pPr>
            <w:r>
              <w:t>行政运行</w:t>
            </w:r>
          </w:p>
        </w:tc>
        <w:tc>
          <w:tcPr>
            <w:tcW w:w="2551" w:type="dxa"/>
            <w:vAlign w:val="center"/>
          </w:tcPr>
          <w:p>
            <w:pPr>
              <w:pStyle w:val="9"/>
            </w:pPr>
            <w:r>
              <w:t>865.65</w:t>
            </w:r>
          </w:p>
        </w:tc>
        <w:tc>
          <w:tcPr>
            <w:tcW w:w="2551" w:type="dxa"/>
            <w:vAlign w:val="center"/>
          </w:tcPr>
          <w:p>
            <w:pPr>
              <w:pStyle w:val="9"/>
            </w:pPr>
            <w:r>
              <w:t>865.65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2200114</w:t>
            </w:r>
          </w:p>
        </w:tc>
        <w:tc>
          <w:tcPr>
            <w:tcW w:w="4535" w:type="dxa"/>
            <w:vAlign w:val="center"/>
          </w:tcPr>
          <w:p>
            <w:pPr>
              <w:pStyle w:val="10"/>
            </w:pPr>
            <w:r>
              <w:t>地质勘查与矿产资源管理</w:t>
            </w:r>
          </w:p>
        </w:tc>
        <w:tc>
          <w:tcPr>
            <w:tcW w:w="2551" w:type="dxa"/>
            <w:vAlign w:val="center"/>
          </w:tcPr>
          <w:p>
            <w:pPr>
              <w:pStyle w:val="9"/>
            </w:pPr>
            <w:r>
              <w:t>955.28</w:t>
            </w:r>
          </w:p>
        </w:tc>
        <w:tc>
          <w:tcPr>
            <w:tcW w:w="2551" w:type="dxa"/>
            <w:vAlign w:val="center"/>
          </w:tcPr>
          <w:p>
            <w:pPr>
              <w:pStyle w:val="9"/>
            </w:pPr>
          </w:p>
        </w:tc>
        <w:tc>
          <w:tcPr>
            <w:tcW w:w="2551" w:type="dxa"/>
            <w:vAlign w:val="center"/>
          </w:tcPr>
          <w:p>
            <w:pPr>
              <w:pStyle w:val="9"/>
            </w:pPr>
            <w:r>
              <w:t>955.28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912.27</w:t>
            </w:r>
          </w:p>
        </w:tc>
        <w:tc>
          <w:tcPr>
            <w:tcW w:w="2551" w:type="dxa"/>
            <w:vAlign w:val="center"/>
          </w:tcPr>
          <w:p>
            <w:pPr>
              <w:pStyle w:val="13"/>
            </w:pPr>
            <w:r>
              <w:t>782.63</w:t>
            </w:r>
          </w:p>
        </w:tc>
        <w:tc>
          <w:tcPr>
            <w:tcW w:w="2551" w:type="dxa"/>
            <w:vAlign w:val="center"/>
          </w:tcPr>
          <w:p>
            <w:pPr>
              <w:pStyle w:val="13"/>
            </w:pPr>
            <w:r>
              <w:t>129.64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780.45</w:t>
            </w:r>
          </w:p>
        </w:tc>
        <w:tc>
          <w:tcPr>
            <w:tcW w:w="2551" w:type="dxa"/>
            <w:vAlign w:val="center"/>
          </w:tcPr>
          <w:p>
            <w:pPr>
              <w:pStyle w:val="9"/>
            </w:pPr>
            <w:r>
              <w:t>780.45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45.12</w:t>
            </w:r>
          </w:p>
        </w:tc>
        <w:tc>
          <w:tcPr>
            <w:tcW w:w="2551" w:type="dxa"/>
            <w:vAlign w:val="center"/>
          </w:tcPr>
          <w:p>
            <w:pPr>
              <w:pStyle w:val="9"/>
            </w:pPr>
            <w:r>
              <w:t>45.12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20.25</w:t>
            </w:r>
          </w:p>
        </w:tc>
        <w:tc>
          <w:tcPr>
            <w:tcW w:w="2551" w:type="dxa"/>
            <w:vAlign w:val="center"/>
          </w:tcPr>
          <w:p>
            <w:pPr>
              <w:pStyle w:val="9"/>
            </w:pPr>
            <w:r>
              <w:t>20.25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72.65</w:t>
            </w:r>
          </w:p>
        </w:tc>
        <w:tc>
          <w:tcPr>
            <w:tcW w:w="2551" w:type="dxa"/>
            <w:vAlign w:val="center"/>
          </w:tcPr>
          <w:p>
            <w:pPr>
              <w:pStyle w:val="9"/>
            </w:pPr>
            <w:r>
              <w:t>72.65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17.01</w:t>
            </w:r>
          </w:p>
        </w:tc>
        <w:tc>
          <w:tcPr>
            <w:tcW w:w="2551" w:type="dxa"/>
            <w:vAlign w:val="center"/>
          </w:tcPr>
          <w:p>
            <w:pPr>
              <w:pStyle w:val="9"/>
            </w:pPr>
            <w:r>
              <w:t>17.01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8.01</w:t>
            </w:r>
          </w:p>
        </w:tc>
        <w:tc>
          <w:tcPr>
            <w:tcW w:w="2551" w:type="dxa"/>
            <w:vAlign w:val="center"/>
          </w:tcPr>
          <w:p>
            <w:pPr>
              <w:pStyle w:val="9"/>
            </w:pPr>
            <w:r>
              <w:t>8.01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8.84</w:t>
            </w:r>
          </w:p>
        </w:tc>
        <w:tc>
          <w:tcPr>
            <w:tcW w:w="2551" w:type="dxa"/>
            <w:vAlign w:val="center"/>
          </w:tcPr>
          <w:p>
            <w:pPr>
              <w:pStyle w:val="9"/>
            </w:pPr>
            <w:r>
              <w:t>8.84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1.28</w:t>
            </w:r>
          </w:p>
        </w:tc>
        <w:tc>
          <w:tcPr>
            <w:tcW w:w="2551" w:type="dxa"/>
            <w:vAlign w:val="center"/>
          </w:tcPr>
          <w:p>
            <w:pPr>
              <w:pStyle w:val="9"/>
            </w:pPr>
            <w:r>
              <w:t>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12.76</w:t>
            </w:r>
          </w:p>
        </w:tc>
        <w:tc>
          <w:tcPr>
            <w:tcW w:w="2551" w:type="dxa"/>
            <w:vAlign w:val="center"/>
          </w:tcPr>
          <w:p>
            <w:pPr>
              <w:pStyle w:val="9"/>
            </w:pPr>
            <w:r>
              <w:t>12.76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594.52</w:t>
            </w:r>
          </w:p>
        </w:tc>
        <w:tc>
          <w:tcPr>
            <w:tcW w:w="2551" w:type="dxa"/>
            <w:vAlign w:val="center"/>
          </w:tcPr>
          <w:p>
            <w:pPr>
              <w:pStyle w:val="9"/>
            </w:pPr>
            <w:r>
              <w:t>594.52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129.64</w:t>
            </w:r>
          </w:p>
        </w:tc>
        <w:tc>
          <w:tcPr>
            <w:tcW w:w="2551" w:type="dxa"/>
            <w:vAlign w:val="center"/>
          </w:tcPr>
          <w:p>
            <w:pPr>
              <w:pStyle w:val="9"/>
            </w:pPr>
          </w:p>
        </w:tc>
        <w:tc>
          <w:tcPr>
            <w:tcW w:w="2551" w:type="dxa"/>
            <w:vAlign w:val="center"/>
          </w:tcPr>
          <w:p>
            <w:pPr>
              <w:pStyle w:val="9"/>
            </w:pPr>
            <w:r>
              <w:t>129.64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15.51</w:t>
            </w:r>
          </w:p>
        </w:tc>
        <w:tc>
          <w:tcPr>
            <w:tcW w:w="2551" w:type="dxa"/>
            <w:vAlign w:val="center"/>
          </w:tcPr>
          <w:p>
            <w:pPr>
              <w:pStyle w:val="9"/>
            </w:pPr>
          </w:p>
        </w:tc>
        <w:tc>
          <w:tcPr>
            <w:tcW w:w="2551" w:type="dxa"/>
            <w:vAlign w:val="center"/>
          </w:tcPr>
          <w:p>
            <w:pPr>
              <w:pStyle w:val="9"/>
            </w:pPr>
            <w: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11.28</w:t>
            </w:r>
          </w:p>
        </w:tc>
        <w:tc>
          <w:tcPr>
            <w:tcW w:w="2551" w:type="dxa"/>
            <w:vAlign w:val="center"/>
          </w:tcPr>
          <w:p>
            <w:pPr>
              <w:pStyle w:val="9"/>
            </w:pPr>
          </w:p>
        </w:tc>
        <w:tc>
          <w:tcPr>
            <w:tcW w:w="2551" w:type="dxa"/>
            <w:vAlign w:val="center"/>
          </w:tcPr>
          <w:p>
            <w:pPr>
              <w:pStyle w:val="9"/>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13.08</w:t>
            </w:r>
          </w:p>
        </w:tc>
        <w:tc>
          <w:tcPr>
            <w:tcW w:w="2551" w:type="dxa"/>
            <w:vAlign w:val="center"/>
          </w:tcPr>
          <w:p>
            <w:pPr>
              <w:pStyle w:val="9"/>
            </w:pPr>
          </w:p>
        </w:tc>
        <w:tc>
          <w:tcPr>
            <w:tcW w:w="2551" w:type="dxa"/>
            <w:vAlign w:val="center"/>
          </w:tcPr>
          <w:p>
            <w:pPr>
              <w:pStyle w:val="9"/>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7.61</w:t>
            </w:r>
          </w:p>
        </w:tc>
        <w:tc>
          <w:tcPr>
            <w:tcW w:w="2551" w:type="dxa"/>
            <w:vAlign w:val="center"/>
          </w:tcPr>
          <w:p>
            <w:pPr>
              <w:pStyle w:val="9"/>
            </w:pPr>
          </w:p>
        </w:tc>
        <w:tc>
          <w:tcPr>
            <w:tcW w:w="2551" w:type="dxa"/>
            <w:vAlign w:val="center"/>
          </w:tcPr>
          <w:p>
            <w:pPr>
              <w:pStyle w:val="9"/>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0.85</w:t>
            </w:r>
          </w:p>
        </w:tc>
        <w:tc>
          <w:tcPr>
            <w:tcW w:w="2551" w:type="dxa"/>
            <w:vAlign w:val="center"/>
          </w:tcPr>
          <w:p>
            <w:pPr>
              <w:pStyle w:val="9"/>
            </w:pPr>
          </w:p>
        </w:tc>
        <w:tc>
          <w:tcPr>
            <w:tcW w:w="2551" w:type="dxa"/>
            <w:vAlign w:val="center"/>
          </w:tcPr>
          <w:p>
            <w:pPr>
              <w:pStyle w:val="9"/>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4.23</w:t>
            </w:r>
          </w:p>
        </w:tc>
        <w:tc>
          <w:tcPr>
            <w:tcW w:w="2551" w:type="dxa"/>
            <w:vAlign w:val="center"/>
          </w:tcPr>
          <w:p>
            <w:pPr>
              <w:pStyle w:val="9"/>
            </w:pPr>
          </w:p>
        </w:tc>
        <w:tc>
          <w:tcPr>
            <w:tcW w:w="2551" w:type="dxa"/>
            <w:vAlign w:val="center"/>
          </w:tcPr>
          <w:p>
            <w:pPr>
              <w:pStyle w:val="9"/>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4.70</w:t>
            </w:r>
          </w:p>
        </w:tc>
        <w:tc>
          <w:tcPr>
            <w:tcW w:w="2551" w:type="dxa"/>
            <w:vAlign w:val="center"/>
          </w:tcPr>
          <w:p>
            <w:pPr>
              <w:pStyle w:val="9"/>
            </w:pPr>
          </w:p>
        </w:tc>
        <w:tc>
          <w:tcPr>
            <w:tcW w:w="2551" w:type="dxa"/>
            <w:vAlign w:val="center"/>
          </w:tcPr>
          <w:p>
            <w:pPr>
              <w:pStyle w:val="9"/>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64.38</w:t>
            </w:r>
          </w:p>
        </w:tc>
        <w:tc>
          <w:tcPr>
            <w:tcW w:w="2551" w:type="dxa"/>
            <w:vAlign w:val="center"/>
          </w:tcPr>
          <w:p>
            <w:pPr>
              <w:pStyle w:val="9"/>
            </w:pPr>
          </w:p>
        </w:tc>
        <w:tc>
          <w:tcPr>
            <w:tcW w:w="2551" w:type="dxa"/>
            <w:vAlign w:val="center"/>
          </w:tcPr>
          <w:p>
            <w:pPr>
              <w:pStyle w:val="9"/>
            </w:pPr>
            <w: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2.19</w:t>
            </w:r>
          </w:p>
        </w:tc>
        <w:tc>
          <w:tcPr>
            <w:tcW w:w="2551" w:type="dxa"/>
            <w:vAlign w:val="center"/>
          </w:tcPr>
          <w:p>
            <w:pPr>
              <w:pStyle w:val="9"/>
            </w:pPr>
            <w:r>
              <w:t>2.19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0.26</w:t>
            </w:r>
          </w:p>
        </w:tc>
        <w:tc>
          <w:tcPr>
            <w:tcW w:w="2551" w:type="dxa"/>
            <w:vAlign w:val="center"/>
          </w:tcPr>
          <w:p>
            <w:pPr>
              <w:pStyle w:val="9"/>
            </w:pPr>
            <w:r>
              <w:t>0.26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1.93</w:t>
            </w:r>
          </w:p>
        </w:tc>
        <w:tc>
          <w:tcPr>
            <w:tcW w:w="2551" w:type="dxa"/>
            <w:vAlign w:val="center"/>
          </w:tcPr>
          <w:p>
            <w:pPr>
              <w:pStyle w:val="9"/>
            </w:pPr>
            <w:r>
              <w:t>1.93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29885.84</w:t>
            </w:r>
          </w:p>
        </w:tc>
        <w:tc>
          <w:tcPr>
            <w:tcW w:w="2551" w:type="dxa"/>
            <w:vAlign w:val="center"/>
          </w:tcPr>
          <w:p>
            <w:pPr>
              <w:pStyle w:val="13"/>
            </w:pPr>
          </w:p>
        </w:tc>
        <w:tc>
          <w:tcPr>
            <w:tcW w:w="2551" w:type="dxa"/>
            <w:vAlign w:val="center"/>
          </w:tcPr>
          <w:p>
            <w:pPr>
              <w:pStyle w:val="13"/>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29885.84</w:t>
            </w:r>
          </w:p>
        </w:tc>
        <w:tc>
          <w:tcPr>
            <w:tcW w:w="2551" w:type="dxa"/>
            <w:vAlign w:val="center"/>
          </w:tcPr>
          <w:p>
            <w:pPr>
              <w:pStyle w:val="9"/>
            </w:pPr>
          </w:p>
        </w:tc>
        <w:tc>
          <w:tcPr>
            <w:tcW w:w="2551" w:type="dxa"/>
            <w:vAlign w:val="center"/>
          </w:tcPr>
          <w:p>
            <w:pPr>
              <w:pStyle w:val="9"/>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29885.84</w:t>
            </w:r>
          </w:p>
        </w:tc>
        <w:tc>
          <w:tcPr>
            <w:tcW w:w="2551" w:type="dxa"/>
            <w:vAlign w:val="center"/>
          </w:tcPr>
          <w:p>
            <w:pPr>
              <w:pStyle w:val="9"/>
            </w:pPr>
          </w:p>
        </w:tc>
        <w:tc>
          <w:tcPr>
            <w:tcW w:w="2551" w:type="dxa"/>
            <w:vAlign w:val="center"/>
          </w:tcPr>
          <w:p>
            <w:pPr>
              <w:pStyle w:val="9"/>
            </w:pPr>
            <w:r>
              <w:t>29885.84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2120801</w:t>
            </w:r>
          </w:p>
        </w:tc>
        <w:tc>
          <w:tcPr>
            <w:tcW w:w="4535" w:type="dxa"/>
            <w:vAlign w:val="center"/>
          </w:tcPr>
          <w:p>
            <w:pPr>
              <w:pStyle w:val="10"/>
            </w:pPr>
            <w:r>
              <w:t>征地和拆迁补偿支出</w:t>
            </w:r>
          </w:p>
        </w:tc>
        <w:tc>
          <w:tcPr>
            <w:tcW w:w="2551" w:type="dxa"/>
            <w:vAlign w:val="center"/>
          </w:tcPr>
          <w:p>
            <w:pPr>
              <w:pStyle w:val="9"/>
            </w:pPr>
            <w:r>
              <w:t>27446.22</w:t>
            </w:r>
          </w:p>
        </w:tc>
        <w:tc>
          <w:tcPr>
            <w:tcW w:w="2551" w:type="dxa"/>
            <w:vAlign w:val="center"/>
          </w:tcPr>
          <w:p>
            <w:pPr>
              <w:pStyle w:val="9"/>
            </w:pPr>
          </w:p>
        </w:tc>
        <w:tc>
          <w:tcPr>
            <w:tcW w:w="2551" w:type="dxa"/>
            <w:vAlign w:val="center"/>
          </w:tcPr>
          <w:p>
            <w:pPr>
              <w:pStyle w:val="9"/>
            </w:pPr>
            <w:r>
              <w:t>27446.22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2120802</w:t>
            </w:r>
          </w:p>
        </w:tc>
        <w:tc>
          <w:tcPr>
            <w:tcW w:w="4535" w:type="dxa"/>
            <w:vAlign w:val="center"/>
          </w:tcPr>
          <w:p>
            <w:pPr>
              <w:pStyle w:val="10"/>
            </w:pPr>
            <w:r>
              <w:t>土地开发支出</w:t>
            </w:r>
          </w:p>
        </w:tc>
        <w:tc>
          <w:tcPr>
            <w:tcW w:w="2551" w:type="dxa"/>
            <w:vAlign w:val="center"/>
          </w:tcPr>
          <w:p>
            <w:pPr>
              <w:pStyle w:val="9"/>
            </w:pPr>
            <w:r>
              <w:t>1783.62</w:t>
            </w:r>
          </w:p>
        </w:tc>
        <w:tc>
          <w:tcPr>
            <w:tcW w:w="2551" w:type="dxa"/>
            <w:vAlign w:val="center"/>
          </w:tcPr>
          <w:p>
            <w:pPr>
              <w:pStyle w:val="9"/>
            </w:pPr>
          </w:p>
        </w:tc>
        <w:tc>
          <w:tcPr>
            <w:tcW w:w="2551" w:type="dxa"/>
            <w:vAlign w:val="center"/>
          </w:tcPr>
          <w:p>
            <w:pPr>
              <w:pStyle w:val="9"/>
            </w:pPr>
            <w:r>
              <w:t>1783.62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2120806</w:t>
            </w:r>
          </w:p>
        </w:tc>
        <w:tc>
          <w:tcPr>
            <w:tcW w:w="4535" w:type="dxa"/>
            <w:vAlign w:val="center"/>
          </w:tcPr>
          <w:p>
            <w:pPr>
              <w:pStyle w:val="10"/>
            </w:pPr>
            <w:r>
              <w:t>土地出让业务支出</w:t>
            </w:r>
          </w:p>
        </w:tc>
        <w:tc>
          <w:tcPr>
            <w:tcW w:w="2551" w:type="dxa"/>
            <w:vAlign w:val="center"/>
          </w:tcPr>
          <w:p>
            <w:pPr>
              <w:pStyle w:val="9"/>
            </w:pPr>
            <w:r>
              <w:t>656.00</w:t>
            </w:r>
          </w:p>
        </w:tc>
        <w:tc>
          <w:tcPr>
            <w:tcW w:w="2551" w:type="dxa"/>
            <w:vAlign w:val="center"/>
          </w:tcPr>
          <w:p>
            <w:pPr>
              <w:pStyle w:val="9"/>
            </w:pPr>
          </w:p>
        </w:tc>
        <w:tc>
          <w:tcPr>
            <w:tcW w:w="2551" w:type="dxa"/>
            <w:vAlign w:val="center"/>
          </w:tcPr>
          <w:p>
            <w:pPr>
              <w:pStyle w:val="9"/>
            </w:pPr>
            <w:r>
              <w:t>656.00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6.85</w:t>
            </w:r>
          </w:p>
        </w:tc>
        <w:tc>
          <w:tcPr>
            <w:tcW w:w="2381" w:type="dxa"/>
            <w:vAlign w:val="center"/>
          </w:tcPr>
          <w:p>
            <w:pPr>
              <w:pStyle w:val="13"/>
            </w:pPr>
            <w:r>
              <w:t>6.85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6.85</w:t>
            </w:r>
          </w:p>
        </w:tc>
        <w:tc>
          <w:tcPr>
            <w:tcW w:w="2381" w:type="dxa"/>
            <w:vAlign w:val="center"/>
          </w:tcPr>
          <w:p>
            <w:pPr>
              <w:pStyle w:val="9"/>
            </w:pPr>
            <w:r>
              <w:t>6.85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6.00</w:t>
            </w:r>
          </w:p>
        </w:tc>
        <w:tc>
          <w:tcPr>
            <w:tcW w:w="2381" w:type="dxa"/>
            <w:vAlign w:val="center"/>
          </w:tcPr>
          <w:p>
            <w:pPr>
              <w:pStyle w:val="9"/>
            </w:pPr>
            <w:r>
              <w:t>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6.00</w:t>
            </w:r>
          </w:p>
        </w:tc>
        <w:tc>
          <w:tcPr>
            <w:tcW w:w="2381" w:type="dxa"/>
            <w:vAlign w:val="center"/>
          </w:tcPr>
          <w:p>
            <w:pPr>
              <w:pStyle w:val="9"/>
            </w:pPr>
            <w:r>
              <w:t>6.00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0.85</w:t>
            </w:r>
          </w:p>
        </w:tc>
        <w:tc>
          <w:tcPr>
            <w:tcW w:w="2381" w:type="dxa"/>
            <w:vAlign w:val="center"/>
          </w:tcPr>
          <w:p>
            <w:pPr>
              <w:pStyle w:val="9"/>
            </w:pPr>
            <w:r>
              <w:t>0.85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唐山市自然资源和规划局丰润区分局本级2023年单位预算信息公开情况说明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按照《预算法》、《地方预决算公开操作规程》和《关于进一步推进预算公开工作的实施意见》规定，现将唐山市自然资源和规划局丰润区分局本级2023年单位预算公开如下：</w:t>
      </w:r>
    </w:p>
    <w:p>
      <w:pPr>
        <w:spacing w:before="10" w:after="10"/>
        <w:ind w:firstLine="640"/>
        <w:outlineLvl w:val="5"/>
      </w:pPr>
    </w:p>
    <w:p>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
          <w:snapToGrid/>
          <w:kern w:val="0"/>
          <w:sz w:val="32"/>
          <w:szCs w:val="32"/>
          <w:lang w:val="en-US" w:eastAsia="zh-CN" w:bidi="ar"/>
        </w:rPr>
        <w:t>1、履行全民所有土地、矿产、湿地、水等自然资源资产所有者职责和所有国土空间用途管制职责。</w:t>
      </w:r>
      <w:r>
        <w:rPr>
          <w:rFonts w:hint="eastAsia" w:ascii="仿宋" w:hAnsi="仿宋" w:eastAsia="仿宋" w:cs="仿宋_GB2312"/>
          <w:snapToGrid/>
          <w:spacing w:val="14"/>
          <w:kern w:val="0"/>
          <w:sz w:val="32"/>
          <w:szCs w:val="32"/>
          <w:lang w:val="en-US" w:eastAsia="zh-CN" w:bidi="ar"/>
        </w:rPr>
        <w:t>贯彻国家、省、市自然资源和规划的相关法律、法规、规章、政策。</w:t>
      </w:r>
      <w:r>
        <w:rPr>
          <w:rFonts w:hint="eastAsia" w:ascii="仿宋" w:hAnsi="仿宋" w:eastAsia="仿宋" w:cs="仿宋_GB2312"/>
          <w:snapToGrid/>
          <w:kern w:val="0"/>
          <w:sz w:val="32"/>
          <w:szCs w:val="32"/>
          <w:lang w:val="en-US" w:eastAsia="zh-CN" w:bidi="ar"/>
        </w:rPr>
        <w:t>贯彻执行自然资源和国土空间规划及测绘等</w:t>
      </w:r>
      <w:r>
        <w:rPr>
          <w:rFonts w:hint="eastAsia" w:ascii="仿宋" w:hAnsi="仿宋" w:eastAsia="仿宋" w:cs="仿宋"/>
          <w:snapToGrid/>
          <w:kern w:val="0"/>
          <w:sz w:val="32"/>
          <w:szCs w:val="32"/>
          <w:lang w:val="en-US" w:eastAsia="zh-CN" w:bidi="ar"/>
        </w:rPr>
        <w:t>地方规范性文件</w:t>
      </w:r>
      <w:r>
        <w:rPr>
          <w:rFonts w:hint="eastAsia" w:ascii="仿宋" w:hAnsi="仿宋" w:eastAsia="仿宋" w:cs="仿宋_GB2312"/>
          <w:snapToGrid/>
          <w:kern w:val="0"/>
          <w:sz w:val="32"/>
          <w:szCs w:val="32"/>
          <w:lang w:val="en-US" w:eastAsia="zh-CN" w:bidi="ar"/>
        </w:rPr>
        <w:t>和自然资源保护、开发利用规划。</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2、负责辖区自然资源调查监测评价。贯彻执行国家自然资源调查监测评价的指标体系、统计标准和自然资源调查监测评价制度。实施自然资源基础调查、专项调查和监测。</w:t>
      </w:r>
      <w:r>
        <w:rPr>
          <w:rFonts w:hint="eastAsia" w:ascii="仿宋" w:hAnsi="仿宋" w:eastAsia="仿宋" w:cs="仿宋_GB2312"/>
          <w:snapToGrid/>
          <w:color w:val="000000"/>
          <w:kern w:val="0"/>
          <w:sz w:val="32"/>
          <w:szCs w:val="32"/>
          <w:lang w:val="en-US" w:eastAsia="zh-CN" w:bidi="ar"/>
        </w:rPr>
        <w:t>负责自然资源调查监测评价成果的监督管理和信息发布。</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3、负责辖区自然资源统一确权登记工作。贯彻执行国家各类自然资源和不动产统一确权登记、权籍调查、不动产测绘、争议调处、成果应用的制度、标准、规范。建立健全辖区自然资源和不动产登记信息管理基础平台。负责自然资源和不动产登记资料收集、整理、共享、汇交管理等。</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4、负责辖区自然资源资产有偿使用工作。贯彻执行国家全民所有自然资源资产统计制度，负责全民所有自然资源资产核算。负责编制全民所有自然资源资产负债表。参与拟订全民所有自然资源资产划拨、出让、租赁、作价出资和土地储备政策，合理配置全民所有自然资源资产。负责自然资源资产价值评估管理，依法收缴相关资产收益。</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5、负责辖区自然资源的合理开发利用。参与拟订自然资源发展规划和战略，贯彻国家和省市自然资源开发利用标准并组织实施，建立政府公示自然资源价格体系，组织开展自然资源分等定级价格评估和自然资源利用评价，节约集约利用自然资源。负责自然资源市场监管。组织落实自然资源管理涉及宏观调控、区域协调和城乡统筹的政策措施。</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6、负责建立辖区空间规划体系并监督实施。推进主体功能区战略和制度，组织编制并监督实施分区域规划、区域城镇体系规划、详细规划等国土空间规划和相关专项规划。建立国土空间规划实施监测、评估和预警体系。组织划定生态保护红线、永久基本农田、城镇开发边界等控制线，构建节约资源和保护环境的生产、生活、生态空间布局。贯彻执行国土空间用途管制制度，贯彻执行城乡规划法律、法规和相关政策。负责土地等自然资源年度利用计划管理工作。负责土地等国土空间用途转用工作。负责土地征收征用管理。负责建设工程的规划审批管理，核发选址意见书、建设用地规划许可证、建设工程规划许可证及乡村建设规划许可证；负责对已批项目实施跟踪管理，对建设工程进行规划条件核实。</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7、负责统筹辖区国土空间生态修复。牵头组织国土空间生态修复并实施有关生态修复工程。负责国土空间综合整治、</w:t>
      </w:r>
      <w:r>
        <w:rPr>
          <w:rFonts w:hint="eastAsia" w:ascii="仿宋" w:hAnsi="仿宋" w:eastAsia="仿宋" w:cs="仿宋_GB2312"/>
          <w:snapToGrid/>
          <w:color w:val="000000"/>
          <w:kern w:val="0"/>
          <w:sz w:val="32"/>
          <w:szCs w:val="32"/>
          <w:lang w:val="en-US" w:eastAsia="zh-CN" w:bidi="ar"/>
        </w:rPr>
        <w:t>土地整理复垦、矿山地质环境恢复治理、工矿废弃地复垦利用</w:t>
      </w:r>
      <w:r>
        <w:rPr>
          <w:rFonts w:hint="eastAsia" w:ascii="仿宋" w:hAnsi="仿宋" w:eastAsia="仿宋" w:cs="仿宋"/>
          <w:snapToGrid/>
          <w:kern w:val="0"/>
          <w:sz w:val="32"/>
          <w:szCs w:val="32"/>
          <w:lang w:val="en-US" w:eastAsia="zh-CN" w:bidi="ar"/>
        </w:rPr>
        <w:t>等工作。牵头建立和实施生态保护补偿制度，参与制定合理利用社会资金进行生态修复的政策措施并组织实施，提出备选项目。</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8、负责组织实施最严格的耕地保护制度。牵头落实耕地保护政策，负责耕地数量、质量、生态保护。组织实施耕地保护责任目标考核和永久基本农田特殊保护。</w:t>
      </w:r>
      <w:r>
        <w:rPr>
          <w:rFonts w:hint="eastAsia" w:ascii="仿宋" w:hAnsi="仿宋" w:eastAsia="仿宋" w:cs="仿宋"/>
          <w:snapToGrid/>
          <w:color w:val="000000"/>
          <w:kern w:val="0"/>
          <w:sz w:val="32"/>
          <w:szCs w:val="32"/>
          <w:lang w:val="en-US" w:eastAsia="zh-CN" w:bidi="ar"/>
        </w:rPr>
        <w:t>落实</w:t>
      </w:r>
      <w:r>
        <w:rPr>
          <w:rFonts w:hint="eastAsia" w:ascii="仿宋" w:hAnsi="仿宋" w:eastAsia="仿宋" w:cs="仿宋"/>
          <w:snapToGrid/>
          <w:kern w:val="0"/>
          <w:sz w:val="32"/>
          <w:szCs w:val="32"/>
          <w:lang w:val="en-US" w:eastAsia="zh-CN" w:bidi="ar"/>
        </w:rPr>
        <w:t>耕地占补平衡制度。</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
          <w:snapToGrid/>
          <w:kern w:val="0"/>
          <w:sz w:val="32"/>
          <w:szCs w:val="32"/>
          <w:lang w:val="en-US" w:eastAsia="zh-CN" w:bidi="ar"/>
        </w:rPr>
        <w:t>9、</w:t>
      </w:r>
      <w:r>
        <w:rPr>
          <w:rFonts w:hint="eastAsia" w:ascii="仿宋" w:hAnsi="仿宋" w:eastAsia="仿宋" w:cs="仿宋_GB2312"/>
          <w:snapToGrid/>
          <w:color w:val="000000"/>
          <w:kern w:val="0"/>
          <w:sz w:val="32"/>
          <w:szCs w:val="32"/>
          <w:lang w:val="en-US" w:eastAsia="zh-CN" w:bidi="ar"/>
        </w:rPr>
        <w:t>负责管理辖区地质勘查行业和地质工作。编制地质勘查规划并监督检查执行情况。管理地质勘查项目。组织实施重大地质矿产勘查专项。负责古生物化石的监督管理。</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_GB2312"/>
          <w:snapToGrid/>
          <w:color w:val="000000"/>
          <w:kern w:val="0"/>
          <w:sz w:val="32"/>
          <w:szCs w:val="32"/>
          <w:lang w:val="en-US" w:eastAsia="zh-CN" w:bidi="ar"/>
        </w:rPr>
        <w:t>10、负责辖区地质灾害预防和治理。负责落实综合防灾减灾规划相关要求，组织实施地质灾害防治规划和防护标准。组织开展地质灾害调查评价及隐患的普查、详查、排查。组织开展群测群防、专业监测和预报预警等工作，指导开展地质灾害工程治理工作。承担地质灾害应急救援的技术支撑工作。监督管理地下水过量开采及引发的地面沉降等地质问题。</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u w:val="single"/>
          <w:lang w:val="en-US"/>
        </w:rPr>
      </w:pPr>
      <w:r>
        <w:rPr>
          <w:rFonts w:hint="eastAsia" w:ascii="仿宋" w:hAnsi="仿宋" w:eastAsia="仿宋" w:cs="仿宋"/>
          <w:snapToGrid/>
          <w:kern w:val="0"/>
          <w:sz w:val="32"/>
          <w:szCs w:val="32"/>
          <w:lang w:val="en-US" w:eastAsia="zh-CN" w:bidi="ar"/>
        </w:rPr>
        <w:t>11、负责辖区矿产资源管理工作。负责矿产资源储量及压覆矿产资源管理。负责矿业权管理。</w:t>
      </w:r>
      <w:r>
        <w:rPr>
          <w:rFonts w:hint="eastAsia" w:ascii="仿宋" w:hAnsi="仿宋" w:eastAsia="仿宋" w:cs="仿宋_GB2312"/>
          <w:snapToGrid/>
          <w:color w:val="000000"/>
          <w:kern w:val="0"/>
          <w:sz w:val="32"/>
          <w:szCs w:val="32"/>
          <w:lang w:val="en-US" w:eastAsia="zh-CN" w:bidi="ar"/>
        </w:rPr>
        <w:t>会同有关部门负责落实保护性开采的特定矿种、优势矿产的调控及相关管理工作。监督指导矿产资源合理利用和保护。</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sz w:val="32"/>
          <w:szCs w:val="32"/>
          <w:lang w:val="en-US"/>
        </w:rPr>
      </w:pPr>
      <w:r>
        <w:rPr>
          <w:rFonts w:hint="eastAsia" w:ascii="仿宋" w:hAnsi="仿宋" w:eastAsia="仿宋" w:cs="仿宋"/>
          <w:snapToGrid/>
          <w:kern w:val="0"/>
          <w:sz w:val="32"/>
          <w:szCs w:val="32"/>
          <w:lang w:val="en-US" w:eastAsia="zh-CN" w:bidi="ar"/>
        </w:rPr>
        <w:t>12、负责辖区测绘地理信息管理工作。负责基础测绘和测绘行业管理。负责测绘资质资格与信用管理，监督管理地理信息安全和市场秩序。负责地理信息公共服务管理。负责测量标志保护。</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snapToGrid/>
          <w:kern w:val="0"/>
          <w:sz w:val="32"/>
          <w:szCs w:val="32"/>
          <w:lang w:val="en-US" w:eastAsia="zh-CN" w:bidi="ar"/>
        </w:rPr>
        <w:t>13、查处辖区自然资源开发利用和国土空间规划及测绘违法案件。</w:t>
      </w:r>
      <w:r>
        <w:rPr>
          <w:rFonts w:hint="eastAsia" w:ascii="仿宋" w:hAnsi="仿宋" w:eastAsia="仿宋" w:cs="仿宋"/>
          <w:snapToGrid/>
          <w:color w:val="000000"/>
          <w:kern w:val="0"/>
          <w:sz w:val="32"/>
          <w:szCs w:val="32"/>
          <w:lang w:val="en-US" w:eastAsia="zh-CN" w:bidi="ar"/>
        </w:rPr>
        <w:t>负责有关行政执法工作。</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_GB2312"/>
          <w:snapToGrid/>
          <w:color w:val="000000"/>
          <w:kern w:val="0"/>
          <w:sz w:val="32"/>
          <w:szCs w:val="32"/>
          <w:lang w:val="en-US" w:eastAsia="zh-CN" w:bidi="ar"/>
        </w:rPr>
        <w:t>14、推动辖区自然资源和规划领域科技发展。参与拟定并实施自然资源和规划领域科技创新发展和人才培养战略、规划和计划。参与拟定技术标准、规程规范并监督实施。组织实施科技工程及创新能力建设，推进自然资源和规划信息化和信息资料的公共服务。</w:t>
      </w:r>
    </w:p>
    <w:p>
      <w:pPr>
        <w:keepNext w:val="0"/>
        <w:keepLines w:val="0"/>
        <w:widowControl/>
        <w:suppressLineNumbers w:val="0"/>
        <w:adjustRightInd w:val="0"/>
        <w:snapToGrid w:val="0"/>
        <w:spacing w:before="0" w:beforeAutospacing="0" w:after="0" w:afterAutospacing="0" w:line="360" w:lineRule="auto"/>
        <w:ind w:left="0" w:right="0" w:firstLine="480" w:firstLineChars="150"/>
        <w:jc w:val="left"/>
        <w:rPr>
          <w:rFonts w:ascii="方正楷体_GBK" w:hAnsi="方正楷体_GBK" w:eastAsia="方正楷体_GBK" w:cs="方正楷体_GBK"/>
          <w:b/>
          <w:color w:val="000000"/>
          <w:sz w:val="32"/>
        </w:rPr>
      </w:pPr>
      <w:r>
        <w:rPr>
          <w:rFonts w:hint="eastAsia" w:ascii="仿宋" w:hAnsi="仿宋" w:eastAsia="仿宋" w:cs="仿宋"/>
          <w:snapToGrid/>
          <w:kern w:val="0"/>
          <w:sz w:val="32"/>
          <w:szCs w:val="32"/>
          <w:lang w:val="en-US" w:eastAsia="zh-CN" w:bidi="ar"/>
        </w:rPr>
        <w:t>15、完成市自然资源和规划局及区委、区政府交办的其他任务。</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唐山市自然资源和规划局丰润区分局本级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唐山市丰润区土地储备开发中心</w:t>
            </w:r>
          </w:p>
        </w:tc>
        <w:tc>
          <w:tcPr>
            <w:tcW w:w="1843" w:type="dxa"/>
            <w:vAlign w:val="center"/>
          </w:tcPr>
          <w:p>
            <w:pPr>
              <w:pStyle w:val="11"/>
            </w:pPr>
            <w:r>
              <w:t>事业</w:t>
            </w:r>
          </w:p>
        </w:tc>
        <w:tc>
          <w:tcPr>
            <w:tcW w:w="2126" w:type="dxa"/>
            <w:vAlign w:val="center"/>
          </w:tcPr>
          <w:p>
            <w:pPr>
              <w:pStyle w:val="11"/>
            </w:pPr>
          </w:p>
        </w:tc>
        <w:tc>
          <w:tcPr>
            <w:tcW w:w="3827" w:type="dxa"/>
            <w:vAlign w:val="center"/>
          </w:tcPr>
          <w:p>
            <w:pPr>
              <w:pStyle w:val="11"/>
            </w:pPr>
            <w:r>
              <w:t>其他</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按照预算管理有关规定，目前我省部门预算的编制实行综合预算管理，即全部收入和支出都反映在预算中。唐山市自然资源和规划局丰润区分局机关及所属事业单位的收支包含在部门预算中。</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（一）收入说明</w:t>
      </w:r>
    </w:p>
    <w:p>
      <w:pPr>
        <w:spacing w:line="5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年单位预算收入</w:t>
      </w:r>
      <w:r>
        <w:rPr>
          <w:rFonts w:hint="eastAsia" w:ascii="方正仿宋简体" w:hAnsi="方正仿宋简体" w:eastAsia="方正仿宋简体" w:cs="方正仿宋简体"/>
          <w:sz w:val="32"/>
          <w:szCs w:val="32"/>
          <w:lang w:val="en-US" w:eastAsia="zh-CN"/>
        </w:rPr>
        <w:t>31753.40</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1867.55</w:t>
      </w:r>
      <w:r>
        <w:rPr>
          <w:rFonts w:hint="eastAsia" w:ascii="方正仿宋简体" w:hAnsi="方正仿宋简体" w:eastAsia="方正仿宋简体" w:cs="方正仿宋简体"/>
          <w:sz w:val="32"/>
          <w:szCs w:val="32"/>
        </w:rPr>
        <w:t>万元，政府性基金收入</w:t>
      </w:r>
      <w:r>
        <w:rPr>
          <w:rFonts w:hint="eastAsia" w:ascii="方正仿宋简体" w:hAnsi="方正仿宋简体" w:eastAsia="方正仿宋简体" w:cs="方正仿宋简体"/>
          <w:sz w:val="32"/>
          <w:szCs w:val="32"/>
          <w:lang w:val="en-US" w:eastAsia="zh-CN"/>
        </w:rPr>
        <w:t>29885.84</w:t>
      </w:r>
      <w:r>
        <w:rPr>
          <w:rFonts w:hint="eastAsia" w:ascii="方正仿宋简体" w:hAnsi="方正仿宋简体" w:eastAsia="方正仿宋简体" w:cs="方正仿宋简体"/>
          <w:sz w:val="32"/>
          <w:szCs w:val="32"/>
        </w:rPr>
        <w:t>万元，国有资本经营预算收入0万元。</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（二）支出说明</w:t>
      </w:r>
    </w:p>
    <w:p>
      <w:pPr>
        <w:spacing w:line="5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年单位预算支出</w:t>
      </w:r>
      <w:r>
        <w:rPr>
          <w:rFonts w:hint="eastAsia" w:ascii="方正仿宋简体" w:hAnsi="方正仿宋简体" w:eastAsia="方正仿宋简体" w:cs="方正仿宋简体"/>
          <w:sz w:val="32"/>
          <w:szCs w:val="32"/>
          <w:lang w:val="en-US" w:eastAsia="zh-CN"/>
        </w:rPr>
        <w:t>31753.40</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912.27</w:t>
      </w:r>
      <w:r>
        <w:rPr>
          <w:rFonts w:hint="eastAsia" w:ascii="方正仿宋简体" w:hAnsi="方正仿宋简体" w:eastAsia="方正仿宋简体" w:cs="方正仿宋简体"/>
          <w:sz w:val="32"/>
          <w:szCs w:val="32"/>
        </w:rPr>
        <w:t>万元，包含人员经费</w:t>
      </w:r>
      <w:r>
        <w:rPr>
          <w:rFonts w:hint="eastAsia" w:ascii="方正仿宋简体" w:hAnsi="方正仿宋简体" w:eastAsia="方正仿宋简体" w:cs="方正仿宋简体"/>
          <w:sz w:val="32"/>
          <w:szCs w:val="32"/>
          <w:lang w:val="en-US" w:eastAsia="zh-CN"/>
        </w:rPr>
        <w:t>782.63</w:t>
      </w:r>
      <w:r>
        <w:rPr>
          <w:rFonts w:hint="eastAsia" w:ascii="方正仿宋简体" w:hAnsi="方正仿宋简体" w:eastAsia="方正仿宋简体" w:cs="方正仿宋简体"/>
          <w:sz w:val="32"/>
          <w:szCs w:val="32"/>
        </w:rPr>
        <w:t>元、正常公用经费</w:t>
      </w:r>
      <w:r>
        <w:rPr>
          <w:rFonts w:hint="eastAsia" w:ascii="方正仿宋简体" w:hAnsi="方正仿宋简体" w:eastAsia="方正仿宋简体" w:cs="方正仿宋简体"/>
          <w:sz w:val="32"/>
          <w:szCs w:val="32"/>
          <w:lang w:val="en-US" w:eastAsia="zh-CN"/>
        </w:rPr>
        <w:t>129.64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30841.12</w:t>
      </w:r>
      <w:r>
        <w:rPr>
          <w:rFonts w:hint="eastAsia" w:ascii="方正仿宋简体" w:hAnsi="方正仿宋简体" w:eastAsia="方正仿宋简体" w:cs="方正仿宋简体"/>
          <w:sz w:val="32"/>
          <w:szCs w:val="32"/>
        </w:rPr>
        <w:t>万元。</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（三）比上年增减情况</w:t>
      </w:r>
    </w:p>
    <w:p>
      <w:pPr>
        <w:spacing w:line="500" w:lineRule="exact"/>
        <w:ind w:firstLine="640" w:firstLineChars="200"/>
        <w:rPr>
          <w:rFonts w:eastAsia="方正仿宋_GBK"/>
          <w:color w:val="000000"/>
          <w:sz w:val="28"/>
        </w:rPr>
      </w:pPr>
      <w:r>
        <w:rPr>
          <w:rFonts w:hint="eastAsia" w:ascii="方正仿宋简体" w:hAnsi="方正仿宋简体" w:eastAsia="方正仿宋简体" w:cs="方正仿宋简体"/>
          <w:sz w:val="32"/>
          <w:szCs w:val="32"/>
        </w:rPr>
        <w:t xml:space="preserve"> 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年单位预算较202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年增加</w:t>
      </w:r>
      <w:r>
        <w:rPr>
          <w:rFonts w:hint="eastAsia" w:ascii="方正仿宋简体" w:hAnsi="方正仿宋简体" w:eastAsia="方正仿宋简体" w:cs="方正仿宋简体"/>
          <w:sz w:val="32"/>
          <w:szCs w:val="32"/>
          <w:lang w:val="en-US" w:eastAsia="zh-CN"/>
        </w:rPr>
        <w:t>26425.62</w:t>
      </w:r>
      <w:r>
        <w:rPr>
          <w:rFonts w:hint="eastAsia" w:ascii="方正仿宋简体" w:hAnsi="方正仿宋简体" w:eastAsia="方正仿宋简体" w:cs="方正仿宋简体"/>
          <w:sz w:val="32"/>
          <w:szCs w:val="32"/>
        </w:rPr>
        <w:t>万元，其中人员经费增加</w:t>
      </w:r>
      <w:r>
        <w:rPr>
          <w:rFonts w:hint="eastAsia" w:ascii="方正仿宋简体" w:hAnsi="方正仿宋简体" w:eastAsia="方正仿宋简体" w:cs="方正仿宋简体"/>
          <w:sz w:val="32"/>
          <w:szCs w:val="32"/>
          <w:lang w:val="en-US" w:eastAsia="zh-CN"/>
        </w:rPr>
        <w:t>280.71</w:t>
      </w:r>
      <w:r>
        <w:rPr>
          <w:rFonts w:hint="eastAsia" w:ascii="方正仿宋简体" w:hAnsi="方正仿宋简体" w:eastAsia="方正仿宋简体" w:cs="方正仿宋简体"/>
          <w:sz w:val="32"/>
          <w:szCs w:val="32"/>
        </w:rPr>
        <w:t>万元（增加原因为在职人员增加及工资调整</w:t>
      </w:r>
      <w:r>
        <w:rPr>
          <w:rFonts w:hint="eastAsia" w:ascii="方正仿宋简体" w:hAnsi="方正仿宋简体" w:eastAsia="方正仿宋简体" w:cs="方正仿宋简体"/>
          <w:sz w:val="32"/>
          <w:szCs w:val="32"/>
          <w:lang w:eastAsia="zh-CN"/>
        </w:rPr>
        <w:t>，单位新招录劳务派遣人员</w:t>
      </w:r>
      <w:r>
        <w:rPr>
          <w:rFonts w:hint="eastAsia" w:ascii="方正仿宋简体" w:hAnsi="方正仿宋简体" w:eastAsia="方正仿宋简体" w:cs="方正仿宋简体"/>
          <w:sz w:val="32"/>
          <w:szCs w:val="32"/>
        </w:rPr>
        <w:t>）、正常公用经费</w:t>
      </w:r>
      <w:r>
        <w:rPr>
          <w:rFonts w:hint="eastAsia" w:ascii="方正仿宋简体" w:hAnsi="方正仿宋简体" w:eastAsia="方正仿宋简体" w:cs="方正仿宋简体"/>
          <w:sz w:val="32"/>
          <w:szCs w:val="32"/>
          <w:lang w:eastAsia="zh-CN"/>
        </w:rPr>
        <w:t>比去年减少</w:t>
      </w:r>
      <w:r>
        <w:rPr>
          <w:rFonts w:hint="eastAsia" w:ascii="方正仿宋简体" w:hAnsi="方正仿宋简体" w:eastAsia="方正仿宋简体" w:cs="方正仿宋简体"/>
          <w:sz w:val="32"/>
          <w:szCs w:val="32"/>
          <w:lang w:val="en-US" w:eastAsia="zh-CN"/>
        </w:rPr>
        <w:t>4.77万元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项目支出增加</w:t>
      </w:r>
      <w:r>
        <w:rPr>
          <w:rFonts w:hint="eastAsia" w:ascii="方正仿宋简体" w:hAnsi="方正仿宋简体" w:eastAsia="方正仿宋简体" w:cs="方正仿宋简体"/>
          <w:sz w:val="32"/>
          <w:szCs w:val="32"/>
          <w:lang w:val="en-US" w:eastAsia="zh-CN"/>
        </w:rPr>
        <w:t>26149.67</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因</w:t>
      </w:r>
      <w:r>
        <w:rPr>
          <w:rFonts w:hint="eastAsia" w:ascii="方正仿宋简体" w:hAnsi="方正仿宋简体" w:eastAsia="方正仿宋简体" w:cs="方正仿宋简体"/>
          <w:sz w:val="32"/>
          <w:szCs w:val="32"/>
          <w:lang w:val="en-US" w:eastAsia="zh-CN"/>
        </w:rPr>
        <w:t>2022年项目支出调到2023年</w:t>
      </w:r>
      <w:r>
        <w:rPr>
          <w:rFonts w:hint="eastAsia" w:ascii="方正仿宋简体" w:hAnsi="方正仿宋简体" w:eastAsia="方正仿宋简体" w:cs="方正仿宋简体"/>
          <w:sz w:val="32"/>
          <w:szCs w:val="32"/>
        </w:rPr>
        <w:t>）。</w:t>
      </w:r>
    </w:p>
    <w:p>
      <w:pPr>
        <w:pStyle w:val="16"/>
      </w:pPr>
    </w:p>
    <w:p>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年机关运行经费共计安排</w:t>
      </w:r>
      <w:r>
        <w:rPr>
          <w:rFonts w:hint="eastAsia" w:ascii="方正仿宋简体" w:hAnsi="方正仿宋简体" w:eastAsia="方正仿宋简体" w:cs="方正仿宋简体"/>
          <w:sz w:val="32"/>
          <w:szCs w:val="32"/>
          <w:lang w:val="en-US" w:eastAsia="zh-CN"/>
        </w:rPr>
        <w:t>129.64</w:t>
      </w:r>
      <w:r>
        <w:rPr>
          <w:rFonts w:hint="eastAsia" w:ascii="方正仿宋简体" w:hAnsi="方正仿宋简体" w:eastAsia="方正仿宋简体" w:cs="方正仿宋简体"/>
          <w:sz w:val="32"/>
          <w:szCs w:val="32"/>
        </w:rPr>
        <w:t>万元，主要包括用于保证机关正常运转的办公费、邮电费、差旅费、福利费、水电费、办公取暖费、日常维修费、物业管理费、公务车运行维护费等支出。</w:t>
      </w:r>
    </w:p>
    <w:p>
      <w:pPr>
        <w:pStyle w:val="17"/>
        <w:ind w:left="0" w:leftChars="0" w:firstLine="0" w:firstLineChars="0"/>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年我部门“三公”经费预算安排</w:t>
      </w:r>
      <w:r>
        <w:rPr>
          <w:rFonts w:hint="eastAsia" w:ascii="方正仿宋简体" w:hAnsi="方正仿宋简体" w:eastAsia="方正仿宋简体" w:cs="方正仿宋简体"/>
          <w:sz w:val="32"/>
          <w:szCs w:val="32"/>
          <w:lang w:val="en-US" w:eastAsia="zh-CN"/>
        </w:rPr>
        <w:t>6.85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1.51万元</w:t>
      </w:r>
      <w:r>
        <w:rPr>
          <w:rFonts w:hint="eastAsia" w:ascii="方正仿宋简体" w:hAnsi="方正仿宋简体" w:eastAsia="方正仿宋简体" w:cs="方正仿宋简体"/>
          <w:sz w:val="32"/>
          <w:szCs w:val="32"/>
        </w:rPr>
        <w:t>。具体安排情况为：</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(一)公务用车购置及运行费。共计安排</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万元，与2022年预算相比无变化。</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①公务用车购置0万元，与上年持平；</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②公务运行维护经费安排</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万元，与上年持平</w:t>
      </w:r>
      <w:r>
        <w:rPr>
          <w:rFonts w:hint="eastAsia" w:ascii="方正仿宋简体" w:hAnsi="方正仿宋简体" w:eastAsia="方正仿宋简体" w:cs="方正仿宋简体"/>
          <w:sz w:val="32"/>
          <w:szCs w:val="32"/>
          <w:lang w:eastAsia="zh-CN"/>
        </w:rPr>
        <w:t>；</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（二）公务接待费。共计安排</w:t>
      </w:r>
      <w:r>
        <w:rPr>
          <w:rFonts w:hint="eastAsia" w:ascii="方正仿宋简体" w:hAnsi="方正仿宋简体" w:eastAsia="方正仿宋简体" w:cs="方正仿宋简体"/>
          <w:sz w:val="32"/>
          <w:szCs w:val="32"/>
          <w:lang w:val="en-US" w:eastAsia="zh-CN"/>
        </w:rPr>
        <w:t>0.85</w:t>
      </w:r>
      <w:r>
        <w:rPr>
          <w:rFonts w:hint="eastAsia" w:ascii="方正仿宋简体" w:hAnsi="方正仿宋简体" w:eastAsia="方正仿宋简体" w:cs="方正仿宋简体"/>
          <w:sz w:val="32"/>
          <w:szCs w:val="32"/>
        </w:rPr>
        <w:t>万元，与2022年预算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1.51万元</w:t>
      </w:r>
      <w:r>
        <w:rPr>
          <w:rFonts w:hint="eastAsia" w:ascii="方正仿宋简体" w:hAnsi="方正仿宋简体" w:eastAsia="方正仿宋简体" w:cs="方正仿宋简体"/>
          <w:sz w:val="32"/>
          <w:szCs w:val="32"/>
        </w:rPr>
        <w:t>。</w:t>
      </w:r>
    </w:p>
    <w:p>
      <w:pPr>
        <w:spacing w:line="5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因公出国(境)费</w:t>
      </w:r>
      <w:r>
        <w:rPr>
          <w:rFonts w:hint="eastAsia" w:ascii="方正仿宋简体" w:hAnsi="方正仿宋简体" w:eastAsia="方正仿宋简体" w:cs="方正仿宋简体"/>
          <w:sz w:val="32"/>
          <w:szCs w:val="32"/>
          <w:lang w:eastAsia="zh-CN"/>
        </w:rPr>
        <w:t>。共计</w:t>
      </w:r>
      <w:r>
        <w:rPr>
          <w:rFonts w:hint="eastAsia" w:ascii="方正仿宋简体" w:hAnsi="方正仿宋简体" w:eastAsia="方正仿宋简体" w:cs="方正仿宋简体"/>
          <w:sz w:val="32"/>
          <w:szCs w:val="32"/>
        </w:rPr>
        <w:t>安排0万元，与2022年预算相比无变化。</w:t>
      </w:r>
    </w:p>
    <w:p>
      <w:pPr>
        <w:spacing w:line="50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（四）培训费。共计安排0万元，与2022年预算相比无变化。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1、土地变更调查绩效目标表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建立完善土地变更调查数据库</w:t>
            </w:r>
          </w:p>
          <w:p>
            <w:pPr>
              <w:pStyle w:val="10"/>
            </w:pPr>
            <w:r>
              <w:t>2.</w:t>
            </w:r>
            <w:r>
              <w:rPr>
                <w:rFonts w:hint="eastAsia"/>
              </w:rPr>
              <w:t>为全区发展提供地类数据支持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rPr>
              <w:t>地类图斑数</w:t>
            </w:r>
          </w:p>
        </w:tc>
        <w:tc>
          <w:tcPr>
            <w:tcW w:w="2835" w:type="dxa"/>
            <w:vAlign w:val="center"/>
          </w:tcPr>
          <w:p>
            <w:pPr>
              <w:pStyle w:val="10"/>
            </w:pPr>
            <w:r>
              <w:rPr>
                <w:rFonts w:hint="eastAsia"/>
              </w:rPr>
              <w:t>地类图斑数</w:t>
            </w:r>
          </w:p>
        </w:tc>
        <w:tc>
          <w:tcPr>
            <w:tcW w:w="2551" w:type="dxa"/>
            <w:vAlign w:val="center"/>
          </w:tcPr>
          <w:p>
            <w:pPr>
              <w:pStyle w:val="10"/>
            </w:pPr>
            <w:r>
              <w:t>≥</w:t>
            </w:r>
            <w:r>
              <w:rPr>
                <w:rFonts w:hint="eastAsia"/>
              </w:rPr>
              <w:t>16420处</w:t>
            </w:r>
          </w:p>
        </w:tc>
        <w:tc>
          <w:tcPr>
            <w:tcW w:w="2268" w:type="dxa"/>
            <w:vAlign w:val="center"/>
          </w:tcPr>
          <w:p>
            <w:pPr>
              <w:pStyle w:val="10"/>
            </w:pPr>
            <w:r>
              <w:rPr>
                <w:rFonts w:hint="eastAsia"/>
              </w:rPr>
              <w:t>国家规定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rPr>
              <w:t>数据库正确率</w:t>
            </w:r>
          </w:p>
        </w:tc>
        <w:tc>
          <w:tcPr>
            <w:tcW w:w="2835" w:type="dxa"/>
            <w:vAlign w:val="center"/>
          </w:tcPr>
          <w:p>
            <w:pPr>
              <w:pStyle w:val="10"/>
            </w:pPr>
            <w:r>
              <w:rPr>
                <w:rFonts w:hint="eastAsia"/>
              </w:rPr>
              <w:t>数据库正确率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rPr>
              <w:t>成果完成时间</w:t>
            </w:r>
          </w:p>
        </w:tc>
        <w:tc>
          <w:tcPr>
            <w:tcW w:w="2835" w:type="dxa"/>
            <w:vAlign w:val="center"/>
          </w:tcPr>
          <w:p>
            <w:pPr>
              <w:pStyle w:val="10"/>
            </w:pPr>
            <w:r>
              <w:rPr>
                <w:rFonts w:hint="eastAsia"/>
              </w:rPr>
              <w:t>成果完成时间</w:t>
            </w:r>
          </w:p>
        </w:tc>
        <w:tc>
          <w:tcPr>
            <w:tcW w:w="2551" w:type="dxa"/>
            <w:vAlign w:val="center"/>
          </w:tcPr>
          <w:p>
            <w:pPr>
              <w:pStyle w:val="10"/>
            </w:pPr>
            <w:r>
              <w:rPr>
                <w:rFonts w:hint="eastAsia"/>
              </w:rPr>
              <w:t>2023年年底</w:t>
            </w:r>
          </w:p>
        </w:tc>
        <w:tc>
          <w:tcPr>
            <w:tcW w:w="2268" w:type="dxa"/>
            <w:vAlign w:val="center"/>
          </w:tcPr>
          <w:p>
            <w:pPr>
              <w:pStyle w:val="10"/>
            </w:pPr>
            <w:r>
              <w:rPr>
                <w:rFonts w:hint="eastAsia"/>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rPr>
              <w:t>图斑核查单价</w:t>
            </w:r>
          </w:p>
        </w:tc>
        <w:tc>
          <w:tcPr>
            <w:tcW w:w="2835" w:type="dxa"/>
            <w:vAlign w:val="center"/>
          </w:tcPr>
          <w:p>
            <w:pPr>
              <w:pStyle w:val="10"/>
            </w:pPr>
            <w:r>
              <w:rPr>
                <w:rFonts w:hint="eastAsia"/>
              </w:rPr>
              <w:t>图斑核查单价</w:t>
            </w:r>
          </w:p>
        </w:tc>
        <w:tc>
          <w:tcPr>
            <w:tcW w:w="2551" w:type="dxa"/>
            <w:vAlign w:val="center"/>
          </w:tcPr>
          <w:p>
            <w:pPr>
              <w:pStyle w:val="10"/>
            </w:pPr>
            <w:r>
              <w:t>≤</w:t>
            </w:r>
            <w:r>
              <w:rPr>
                <w:rFonts w:hint="eastAsia"/>
              </w:rPr>
              <w:t>106.6元/处</w:t>
            </w:r>
          </w:p>
        </w:tc>
        <w:tc>
          <w:tcPr>
            <w:tcW w:w="2268" w:type="dxa"/>
            <w:vAlign w:val="center"/>
          </w:tcPr>
          <w:p>
            <w:pPr>
              <w:pStyle w:val="10"/>
            </w:pPr>
            <w:r>
              <w:rPr>
                <w:rFonts w:hint="eastAsia"/>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rPr>
                <w:rFonts w:hint="eastAsia"/>
              </w:rPr>
              <w:t>全面了解丰润区土地利用现状</w:t>
            </w:r>
          </w:p>
        </w:tc>
        <w:tc>
          <w:tcPr>
            <w:tcW w:w="2835" w:type="dxa"/>
            <w:vAlign w:val="center"/>
          </w:tcPr>
          <w:p>
            <w:pPr>
              <w:pStyle w:val="10"/>
            </w:pPr>
            <w:r>
              <w:rPr>
                <w:rFonts w:hint="eastAsia"/>
              </w:rPr>
              <w:t>全面了解丰润区土地利用现状</w:t>
            </w:r>
          </w:p>
        </w:tc>
        <w:tc>
          <w:tcPr>
            <w:tcW w:w="2551" w:type="dxa"/>
            <w:vAlign w:val="center"/>
          </w:tcPr>
          <w:p>
            <w:pPr>
              <w:pStyle w:val="10"/>
            </w:pPr>
            <w:r>
              <w:rPr>
                <w:rFonts w:hint="eastAsia"/>
              </w:rP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rPr>
              <w:t>受益群体满意度</w:t>
            </w:r>
          </w:p>
        </w:tc>
        <w:tc>
          <w:tcPr>
            <w:tcW w:w="2835" w:type="dxa"/>
            <w:vAlign w:val="center"/>
          </w:tcPr>
          <w:p>
            <w:pPr>
              <w:pStyle w:val="10"/>
            </w:pPr>
            <w:r>
              <w:rPr>
                <w:rFonts w:hint="eastAsia"/>
              </w:rPr>
              <w:t>受益群体满意度</w:t>
            </w:r>
          </w:p>
        </w:tc>
        <w:tc>
          <w:tcPr>
            <w:tcW w:w="2551" w:type="dxa"/>
            <w:vAlign w:val="center"/>
          </w:tcPr>
          <w:p>
            <w:pPr>
              <w:pStyle w:val="10"/>
            </w:pPr>
            <w:r>
              <w:t>≥9</w:t>
            </w:r>
            <w:r>
              <w:rPr>
                <w:rFonts w:hint="eastAsia"/>
                <w:lang w:val="en-US" w:eastAsia="zh-CN"/>
              </w:rPr>
              <w:t>0</w:t>
            </w:r>
            <w:r>
              <w:t>%</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2、土地矿产卫片执法绩效目标表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对部下发的土地、矿产卫片图斑进行核实，有效打击违法行为的发生</w:t>
            </w:r>
          </w:p>
          <w:p>
            <w:pPr>
              <w:pStyle w:val="10"/>
            </w:pPr>
            <w:r>
              <w:t>2.</w:t>
            </w:r>
            <w:r>
              <w:rPr>
                <w:rFonts w:hint="eastAsia"/>
              </w:rPr>
              <w:t>对越界采矿做采出量核实，出具储量报告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rPr>
              <w:t>视频维护</w:t>
            </w:r>
          </w:p>
        </w:tc>
        <w:tc>
          <w:tcPr>
            <w:tcW w:w="2835" w:type="dxa"/>
            <w:vAlign w:val="center"/>
          </w:tcPr>
          <w:p>
            <w:pPr>
              <w:pStyle w:val="10"/>
            </w:pPr>
            <w:r>
              <w:rPr>
                <w:rFonts w:hint="eastAsia"/>
              </w:rPr>
              <w:t>视频维护</w:t>
            </w:r>
          </w:p>
        </w:tc>
        <w:tc>
          <w:tcPr>
            <w:tcW w:w="2551" w:type="dxa"/>
            <w:vAlign w:val="center"/>
          </w:tcPr>
          <w:p>
            <w:pPr>
              <w:pStyle w:val="10"/>
            </w:pPr>
            <w:r>
              <w:rPr>
                <w:rFonts w:hint="eastAsia"/>
              </w:rPr>
              <w:t>≥32个</w:t>
            </w:r>
          </w:p>
        </w:tc>
        <w:tc>
          <w:tcPr>
            <w:tcW w:w="2268" w:type="dxa"/>
            <w:vAlign w:val="center"/>
          </w:tcPr>
          <w:p>
            <w:pPr>
              <w:pStyle w:val="10"/>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rPr>
                <w:rFonts w:hint="eastAsia"/>
              </w:rPr>
            </w:pPr>
            <w:r>
              <w:rPr>
                <w:rFonts w:hint="eastAsia"/>
                <w:lang w:val="en-US" w:eastAsia="zh-CN"/>
              </w:rPr>
              <w:t>对违法图斑进行整改</w:t>
            </w:r>
          </w:p>
        </w:tc>
        <w:tc>
          <w:tcPr>
            <w:tcW w:w="2835" w:type="dxa"/>
            <w:vAlign w:val="center"/>
          </w:tcPr>
          <w:p>
            <w:pPr>
              <w:pStyle w:val="10"/>
              <w:rPr>
                <w:rFonts w:hint="eastAsia"/>
              </w:rPr>
            </w:pPr>
            <w:r>
              <w:rPr>
                <w:rFonts w:hint="eastAsia"/>
                <w:lang w:val="en-US" w:eastAsia="zh-CN"/>
              </w:rPr>
              <w:t>整改矿产卫片占需整改卫片的数量</w:t>
            </w:r>
          </w:p>
        </w:tc>
        <w:tc>
          <w:tcPr>
            <w:tcW w:w="2551" w:type="dxa"/>
            <w:vAlign w:val="center"/>
          </w:tcPr>
          <w:p>
            <w:pPr>
              <w:pStyle w:val="10"/>
              <w:rPr>
                <w:rFonts w:hint="eastAsia"/>
              </w:rPr>
            </w:pPr>
            <w:r>
              <w:rPr>
                <w:rFonts w:hint="eastAsia"/>
                <w:lang w:val="en-US" w:eastAsia="zh-CN"/>
              </w:rPr>
              <w:t>≥85%</w:t>
            </w:r>
          </w:p>
        </w:tc>
        <w:tc>
          <w:tcPr>
            <w:tcW w:w="2268" w:type="dxa"/>
            <w:vAlign w:val="center"/>
          </w:tcPr>
          <w:p>
            <w:pPr>
              <w:pStyle w:val="10"/>
              <w:rPr>
                <w:rFonts w:hint="eastAsia"/>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rPr>
                <w:rFonts w:hint="eastAsia"/>
              </w:rPr>
            </w:pPr>
            <w:r>
              <w:rPr>
                <w:rFonts w:hint="eastAsia"/>
                <w:lang w:val="en-US" w:eastAsia="zh-CN"/>
              </w:rPr>
              <w:t>完成卫片图斑的核实期限</w:t>
            </w:r>
          </w:p>
        </w:tc>
        <w:tc>
          <w:tcPr>
            <w:tcW w:w="2835" w:type="dxa"/>
            <w:vAlign w:val="center"/>
          </w:tcPr>
          <w:p>
            <w:pPr>
              <w:pStyle w:val="10"/>
              <w:rPr>
                <w:rFonts w:hint="eastAsia"/>
              </w:rPr>
            </w:pPr>
            <w:r>
              <w:rPr>
                <w:rFonts w:hint="eastAsia"/>
                <w:lang w:val="en-US" w:eastAsia="zh-CN"/>
              </w:rPr>
              <w:t>完成卫片图斑的核实期限</w:t>
            </w:r>
          </w:p>
        </w:tc>
        <w:tc>
          <w:tcPr>
            <w:tcW w:w="2551" w:type="dxa"/>
            <w:vAlign w:val="center"/>
          </w:tcPr>
          <w:p>
            <w:pPr>
              <w:pStyle w:val="10"/>
              <w:rPr>
                <w:rFonts w:hint="eastAsia"/>
              </w:rPr>
            </w:pPr>
            <w:r>
              <w:rPr>
                <w:rFonts w:hint="eastAsia"/>
                <w:lang w:val="en-US" w:eastAsia="zh-CN"/>
              </w:rPr>
              <w:t>≤3月</w:t>
            </w:r>
          </w:p>
        </w:tc>
        <w:tc>
          <w:tcPr>
            <w:tcW w:w="2268" w:type="dxa"/>
            <w:vAlign w:val="center"/>
          </w:tcPr>
          <w:p>
            <w:pPr>
              <w:pStyle w:val="10"/>
              <w:rPr>
                <w:rFonts w:hint="eastAsia"/>
              </w:rPr>
            </w:pPr>
            <w:r>
              <w:rPr>
                <w:rFonts w:hint="eastAsia"/>
                <w:lang w:val="en-US"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rPr>
                <w:rFonts w:hint="eastAsia"/>
              </w:rPr>
            </w:pPr>
            <w:r>
              <w:rPr>
                <w:rFonts w:hint="eastAsia"/>
                <w:lang w:val="en-US" w:eastAsia="zh-CN"/>
              </w:rPr>
              <w:t>聘请第三方视频维护成本</w:t>
            </w:r>
          </w:p>
        </w:tc>
        <w:tc>
          <w:tcPr>
            <w:tcW w:w="2835" w:type="dxa"/>
            <w:vAlign w:val="center"/>
          </w:tcPr>
          <w:p>
            <w:pPr>
              <w:pStyle w:val="10"/>
              <w:rPr>
                <w:rFonts w:hint="eastAsia"/>
              </w:rPr>
            </w:pPr>
            <w:r>
              <w:rPr>
                <w:rFonts w:hint="eastAsia"/>
                <w:lang w:val="en-US" w:eastAsia="zh-CN"/>
              </w:rPr>
              <w:t>聘请第三方视频维护成本</w:t>
            </w:r>
          </w:p>
        </w:tc>
        <w:tc>
          <w:tcPr>
            <w:tcW w:w="2551" w:type="dxa"/>
            <w:vAlign w:val="center"/>
          </w:tcPr>
          <w:p>
            <w:pPr>
              <w:pStyle w:val="10"/>
              <w:rPr>
                <w:rFonts w:hint="eastAsia"/>
              </w:rPr>
            </w:pPr>
            <w:r>
              <w:rPr>
                <w:rFonts w:hint="eastAsia"/>
                <w:lang w:val="en-US" w:eastAsia="zh-CN"/>
              </w:rPr>
              <w:t>≤40万元</w:t>
            </w:r>
          </w:p>
        </w:tc>
        <w:tc>
          <w:tcPr>
            <w:tcW w:w="2268" w:type="dxa"/>
            <w:vAlign w:val="center"/>
          </w:tcPr>
          <w:p>
            <w:pPr>
              <w:pStyle w:val="10"/>
              <w:rPr>
                <w:rFonts w:hint="eastAsia"/>
              </w:rPr>
            </w:pPr>
            <w:r>
              <w:rPr>
                <w:rFonts w:hint="eastAsia"/>
                <w:lang w:val="en-US"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rPr>
                <w:rFonts w:hint="eastAsia" w:eastAsia="方正书宋_GBK"/>
                <w:lang w:eastAsia="zh-CN"/>
              </w:rPr>
            </w:pPr>
            <w:r>
              <w:rPr>
                <w:rFonts w:hint="eastAsia"/>
                <w:lang w:val="en-US" w:eastAsia="zh-CN"/>
              </w:rPr>
              <w:t>提高土地利用率</w:t>
            </w:r>
          </w:p>
        </w:tc>
        <w:tc>
          <w:tcPr>
            <w:tcW w:w="2835" w:type="dxa"/>
            <w:vAlign w:val="center"/>
          </w:tcPr>
          <w:p>
            <w:pPr>
              <w:pStyle w:val="10"/>
            </w:pPr>
            <w:r>
              <w:rPr>
                <w:rFonts w:hint="eastAsia"/>
                <w:lang w:val="en-US" w:eastAsia="zh-CN"/>
              </w:rPr>
              <w:t>提高土地利用率</w:t>
            </w:r>
          </w:p>
        </w:tc>
        <w:tc>
          <w:tcPr>
            <w:tcW w:w="2551" w:type="dxa"/>
            <w:vAlign w:val="center"/>
          </w:tcPr>
          <w:p>
            <w:pPr>
              <w:pStyle w:val="10"/>
              <w:rPr>
                <w:rFonts w:hint="eastAsia" w:eastAsia="方正书宋_GBK"/>
                <w:lang w:eastAsia="zh-CN"/>
              </w:rPr>
            </w:pPr>
            <w:r>
              <w:rPr>
                <w:rFonts w:hint="eastAsia"/>
                <w:lang w:val="en-US" w:eastAsia="zh-CN"/>
              </w:rPr>
              <w:t>高</w:t>
            </w:r>
          </w:p>
        </w:tc>
        <w:tc>
          <w:tcPr>
            <w:tcW w:w="2268" w:type="dxa"/>
            <w:vAlign w:val="center"/>
          </w:tcPr>
          <w:p>
            <w:pPr>
              <w:pStyle w:val="10"/>
            </w:pPr>
            <w:r>
              <w:rPr>
                <w:rFonts w:hint="eastAsia"/>
                <w:lang w:val="en-US" w:eastAsia="zh-CN"/>
              </w:rPr>
              <w:t>经验</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rPr>
                <w:rFonts w:hint="eastAsia"/>
                <w:lang w:val="en-US" w:eastAsia="zh-CN"/>
              </w:rPr>
              <w:t>对违法开采、非法占地依法进行处罚</w:t>
            </w:r>
          </w:p>
        </w:tc>
        <w:tc>
          <w:tcPr>
            <w:tcW w:w="2835" w:type="dxa"/>
            <w:vAlign w:val="center"/>
          </w:tcPr>
          <w:p>
            <w:pPr>
              <w:pStyle w:val="10"/>
            </w:pPr>
            <w:r>
              <w:rPr>
                <w:rFonts w:hint="eastAsia"/>
                <w:lang w:val="en-US" w:eastAsia="zh-CN"/>
              </w:rPr>
              <w:t>对违法行为依照有关法律法规的规定进行处罚</w:t>
            </w:r>
          </w:p>
        </w:tc>
        <w:tc>
          <w:tcPr>
            <w:tcW w:w="2551" w:type="dxa"/>
            <w:vAlign w:val="center"/>
          </w:tcPr>
          <w:p>
            <w:pPr>
              <w:pStyle w:val="10"/>
            </w:pPr>
            <w:r>
              <w:rPr>
                <w:rFonts w:hint="eastAsia"/>
                <w:lang w:val="en-US" w:eastAsia="zh-CN"/>
              </w:rPr>
              <w:t>≥100元/平方米</w:t>
            </w:r>
          </w:p>
        </w:tc>
        <w:tc>
          <w:tcPr>
            <w:tcW w:w="2268" w:type="dxa"/>
            <w:vAlign w:val="center"/>
          </w:tcPr>
          <w:p>
            <w:pPr>
              <w:pStyle w:val="10"/>
            </w:pPr>
            <w:r>
              <w:rPr>
                <w:rFonts w:hint="eastAsia"/>
                <w:lang w:val="en-US" w:eastAsia="zh-CN"/>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lang w:val="en-US" w:eastAsia="zh-CN"/>
              </w:rPr>
              <w:t>当地居民满意度</w:t>
            </w:r>
          </w:p>
        </w:tc>
        <w:tc>
          <w:tcPr>
            <w:tcW w:w="2835" w:type="dxa"/>
            <w:vAlign w:val="center"/>
          </w:tcPr>
          <w:p>
            <w:pPr>
              <w:pStyle w:val="10"/>
            </w:pPr>
            <w:r>
              <w:rPr>
                <w:rFonts w:hint="eastAsia"/>
                <w:lang w:val="en-US" w:eastAsia="zh-CN"/>
              </w:rPr>
              <w:t>当地居民满意度</w:t>
            </w:r>
          </w:p>
        </w:tc>
        <w:tc>
          <w:tcPr>
            <w:tcW w:w="2551" w:type="dxa"/>
            <w:vAlign w:val="center"/>
          </w:tcPr>
          <w:p>
            <w:pPr>
              <w:pStyle w:val="10"/>
            </w:pPr>
            <w:r>
              <w:rPr>
                <w:rFonts w:hint="eastAsia"/>
                <w:lang w:val="en-US" w:eastAsia="zh-CN"/>
              </w:rPr>
              <w:t>≥95%</w:t>
            </w:r>
          </w:p>
        </w:tc>
        <w:tc>
          <w:tcPr>
            <w:tcW w:w="2268" w:type="dxa"/>
            <w:vAlign w:val="center"/>
          </w:tcPr>
          <w:p>
            <w:pPr>
              <w:pStyle w:val="10"/>
            </w:pPr>
            <w:r>
              <w:rPr>
                <w:rFonts w:hint="eastAsia"/>
                <w:lang w:val="en-US" w:eastAsia="zh-CN"/>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3、网络视频系统维护绩效目标表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1.保障不动产登记工作顺利进行，提高矿山监管力度</w:t>
            </w:r>
          </w:p>
          <w:p>
            <w:pPr>
              <w:pStyle w:val="10"/>
            </w:pPr>
            <w:r>
              <w:t>2.保障登记工作的高效性。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网络视频维护个数</w:t>
            </w:r>
          </w:p>
        </w:tc>
        <w:tc>
          <w:tcPr>
            <w:tcW w:w="2835" w:type="dxa"/>
            <w:vAlign w:val="center"/>
          </w:tcPr>
          <w:p>
            <w:pPr>
              <w:pStyle w:val="10"/>
            </w:pPr>
            <w:r>
              <w:t>网络视频维护个数</w:t>
            </w:r>
          </w:p>
        </w:tc>
        <w:tc>
          <w:tcPr>
            <w:tcW w:w="2551" w:type="dxa"/>
            <w:vAlign w:val="center"/>
          </w:tcPr>
          <w:p>
            <w:pPr>
              <w:pStyle w:val="10"/>
            </w:pPr>
            <w:r>
              <w:t>≥32个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正常使用天数占需要使用天数的比例</w:t>
            </w:r>
          </w:p>
        </w:tc>
        <w:tc>
          <w:tcPr>
            <w:tcW w:w="2835" w:type="dxa"/>
            <w:vAlign w:val="center"/>
          </w:tcPr>
          <w:p>
            <w:pPr>
              <w:pStyle w:val="10"/>
            </w:pPr>
            <w:r>
              <w:t>正常使用天数占需要使用天数的比例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需要维护时间</w:t>
            </w:r>
          </w:p>
        </w:tc>
        <w:tc>
          <w:tcPr>
            <w:tcW w:w="2835" w:type="dxa"/>
            <w:vAlign w:val="center"/>
          </w:tcPr>
          <w:p>
            <w:pPr>
              <w:pStyle w:val="10"/>
            </w:pPr>
            <w:r>
              <w:t>需要维护时间</w:t>
            </w:r>
          </w:p>
        </w:tc>
        <w:tc>
          <w:tcPr>
            <w:tcW w:w="2551" w:type="dxa"/>
            <w:vAlign w:val="center"/>
          </w:tcPr>
          <w:p>
            <w:pPr>
              <w:pStyle w:val="10"/>
            </w:pPr>
            <w:r>
              <w:t>≤1小时</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网络视频系统维护平均成本</w:t>
            </w:r>
          </w:p>
        </w:tc>
        <w:tc>
          <w:tcPr>
            <w:tcW w:w="2835" w:type="dxa"/>
            <w:vAlign w:val="center"/>
          </w:tcPr>
          <w:p>
            <w:pPr>
              <w:pStyle w:val="10"/>
            </w:pPr>
            <w:r>
              <w:t>网络视频系统维护平均成本</w:t>
            </w:r>
          </w:p>
        </w:tc>
        <w:tc>
          <w:tcPr>
            <w:tcW w:w="2551" w:type="dxa"/>
            <w:vAlign w:val="center"/>
          </w:tcPr>
          <w:p>
            <w:pPr>
              <w:pStyle w:val="10"/>
            </w:pPr>
            <w:r>
              <w:t>≤0.15万元/个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实现高质量高品质生活</w:t>
            </w:r>
          </w:p>
        </w:tc>
        <w:tc>
          <w:tcPr>
            <w:tcW w:w="2835" w:type="dxa"/>
            <w:vAlign w:val="center"/>
          </w:tcPr>
          <w:p>
            <w:pPr>
              <w:pStyle w:val="10"/>
            </w:pPr>
            <w:r>
              <w:t>实现高质量高品质生活</w:t>
            </w:r>
          </w:p>
        </w:tc>
        <w:tc>
          <w:tcPr>
            <w:tcW w:w="2551" w:type="dxa"/>
            <w:vAlign w:val="center"/>
          </w:tcPr>
          <w:p>
            <w:pPr>
              <w:pStyle w:val="10"/>
            </w:pPr>
            <w:r>
              <w:t>良</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使用人对维护工作满意程度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4、2020矿山遥感监测数据核对项目绩效目标表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1.查清历史遗留矿山现状</w:t>
            </w:r>
          </w:p>
          <w:p>
            <w:pPr>
              <w:pStyle w:val="10"/>
            </w:pPr>
            <w:r>
              <w:t>2.遥感图斑分类核定，历史遗留矿山数据库建设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图斑核查数量</w:t>
            </w:r>
          </w:p>
        </w:tc>
        <w:tc>
          <w:tcPr>
            <w:tcW w:w="2835" w:type="dxa"/>
            <w:vAlign w:val="center"/>
          </w:tcPr>
          <w:p>
            <w:pPr>
              <w:pStyle w:val="10"/>
            </w:pPr>
            <w:r>
              <w:t>图斑核查数量</w:t>
            </w:r>
          </w:p>
        </w:tc>
        <w:tc>
          <w:tcPr>
            <w:tcW w:w="2551" w:type="dxa"/>
            <w:vAlign w:val="center"/>
          </w:tcPr>
          <w:p>
            <w:pPr>
              <w:pStyle w:val="10"/>
            </w:pPr>
            <w:r>
              <w:t>≥59处</w:t>
            </w:r>
          </w:p>
        </w:tc>
        <w:tc>
          <w:tcPr>
            <w:tcW w:w="2268" w:type="dxa"/>
            <w:vAlign w:val="center"/>
          </w:tcPr>
          <w:p>
            <w:pPr>
              <w:pStyle w:val="10"/>
            </w:pPr>
            <w:r>
              <w:t>数据填报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信息填报率</w:t>
            </w:r>
          </w:p>
        </w:tc>
        <w:tc>
          <w:tcPr>
            <w:tcW w:w="2835" w:type="dxa"/>
            <w:vAlign w:val="center"/>
          </w:tcPr>
          <w:p>
            <w:pPr>
              <w:pStyle w:val="10"/>
            </w:pPr>
            <w:r>
              <w:t>信息填报率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完成时间</w:t>
            </w:r>
          </w:p>
        </w:tc>
        <w:tc>
          <w:tcPr>
            <w:tcW w:w="2835" w:type="dxa"/>
            <w:vAlign w:val="center"/>
          </w:tcPr>
          <w:p>
            <w:pPr>
              <w:pStyle w:val="10"/>
            </w:pPr>
            <w:r>
              <w:t>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核查单价</w:t>
            </w:r>
          </w:p>
        </w:tc>
        <w:tc>
          <w:tcPr>
            <w:tcW w:w="2835" w:type="dxa"/>
            <w:vAlign w:val="center"/>
          </w:tcPr>
          <w:p>
            <w:pPr>
              <w:pStyle w:val="10"/>
            </w:pPr>
            <w:r>
              <w:t>核查单价</w:t>
            </w:r>
          </w:p>
        </w:tc>
        <w:tc>
          <w:tcPr>
            <w:tcW w:w="2551" w:type="dxa"/>
            <w:vAlign w:val="center"/>
          </w:tcPr>
          <w:p>
            <w:pPr>
              <w:pStyle w:val="10"/>
            </w:pPr>
            <w:r>
              <w:t>≤0.16万元/处</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建立核查档案表和成果数据库，形成核查工作报告</w:t>
            </w:r>
          </w:p>
        </w:tc>
        <w:tc>
          <w:tcPr>
            <w:tcW w:w="2835" w:type="dxa"/>
            <w:vAlign w:val="center"/>
          </w:tcPr>
          <w:p>
            <w:pPr>
              <w:pStyle w:val="10"/>
            </w:pPr>
            <w:r>
              <w:t>建立核查档案表和成果数据库，形成核查工作报告</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5、2022年村庄规划编制绩效目标表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1.完成规划调研等前期工作</w:t>
            </w:r>
          </w:p>
          <w:p>
            <w:pPr>
              <w:pStyle w:val="10"/>
            </w:pPr>
            <w:r>
              <w:t>2.规划成果验收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2022年村庄规划编制</w:t>
            </w:r>
          </w:p>
        </w:tc>
        <w:tc>
          <w:tcPr>
            <w:tcW w:w="2835" w:type="dxa"/>
            <w:vAlign w:val="center"/>
          </w:tcPr>
          <w:p>
            <w:pPr>
              <w:pStyle w:val="10"/>
            </w:pPr>
            <w:r>
              <w:t>2022年村庄规划编制</w:t>
            </w:r>
          </w:p>
        </w:tc>
        <w:tc>
          <w:tcPr>
            <w:tcW w:w="2551" w:type="dxa"/>
            <w:vAlign w:val="center"/>
          </w:tcPr>
          <w:p>
            <w:pPr>
              <w:pStyle w:val="10"/>
            </w:pPr>
            <w:r>
              <w:t>≥20个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取规划土地占整体比例</w:t>
            </w:r>
          </w:p>
        </w:tc>
        <w:tc>
          <w:tcPr>
            <w:tcW w:w="2835" w:type="dxa"/>
            <w:vAlign w:val="center"/>
          </w:tcPr>
          <w:p>
            <w:pPr>
              <w:pStyle w:val="10"/>
            </w:pPr>
            <w:r>
              <w:t>取规划土地占整体比例</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≤30万元/个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≥15年</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6、（2）2019年度中央重点生态保护修复治理绩效目标表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1.科学划定生态保护红线，保护生态环境</w:t>
            </w:r>
          </w:p>
          <w:p>
            <w:pPr>
              <w:pStyle w:val="10"/>
            </w:pPr>
            <w:r>
              <w:t>2.健全国土空间开发保护制度，提升国土资源利用效率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国土空间生态修复规划编制数量</w:t>
            </w:r>
          </w:p>
        </w:tc>
        <w:tc>
          <w:tcPr>
            <w:tcW w:w="2835" w:type="dxa"/>
            <w:vAlign w:val="center"/>
          </w:tcPr>
          <w:p>
            <w:pPr>
              <w:pStyle w:val="10"/>
            </w:pPr>
            <w:r>
              <w:t>国土空间生态修复规划编制数量</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生态修复土地占整体比例</w:t>
            </w:r>
          </w:p>
        </w:tc>
        <w:tc>
          <w:tcPr>
            <w:tcW w:w="2835" w:type="dxa"/>
            <w:vAlign w:val="center"/>
          </w:tcPr>
          <w:p>
            <w:pPr>
              <w:pStyle w:val="10"/>
            </w:pPr>
            <w:r>
              <w:t>生态修复土地占整体比例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≤955.28万元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集约节约土地利用，提高土地利用率</w:t>
            </w:r>
          </w:p>
        </w:tc>
        <w:tc>
          <w:tcPr>
            <w:tcW w:w="2835" w:type="dxa"/>
            <w:vAlign w:val="center"/>
          </w:tcPr>
          <w:p>
            <w:pPr>
              <w:pStyle w:val="10"/>
            </w:pPr>
            <w:r>
              <w:t>集约节约土地利用，提高土地利用率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7、（2）34家矿山开采现状勘测绩效目标表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1.改善和修复采矿活动破坏的地质环境</w:t>
            </w:r>
          </w:p>
          <w:p>
            <w:pPr>
              <w:pStyle w:val="10"/>
            </w:pPr>
            <w:r>
              <w:t>2.解决矿山开采引起的矿山环境问题，消除因矿山开采破坏地表形成的白斑影像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勘测矿山数量</w:t>
            </w:r>
          </w:p>
        </w:tc>
        <w:tc>
          <w:tcPr>
            <w:tcW w:w="2835" w:type="dxa"/>
            <w:vAlign w:val="center"/>
          </w:tcPr>
          <w:p>
            <w:pPr>
              <w:pStyle w:val="10"/>
            </w:pPr>
            <w:r>
              <w:t>勘测矿山数量</w:t>
            </w:r>
          </w:p>
        </w:tc>
        <w:tc>
          <w:tcPr>
            <w:tcW w:w="2551" w:type="dxa"/>
            <w:vAlign w:val="center"/>
          </w:tcPr>
          <w:p>
            <w:pPr>
              <w:pStyle w:val="10"/>
            </w:pPr>
            <w:r>
              <w:t>≥34家</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改善和修复采矿活动破坏的地质环境</w:t>
            </w:r>
          </w:p>
        </w:tc>
        <w:tc>
          <w:tcPr>
            <w:tcW w:w="2835" w:type="dxa"/>
            <w:vAlign w:val="center"/>
          </w:tcPr>
          <w:p>
            <w:pPr>
              <w:pStyle w:val="10"/>
            </w:pPr>
            <w:r>
              <w:t>改善和修复采矿活动破坏的地质环境</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资金支付时间</w:t>
            </w:r>
          </w:p>
        </w:tc>
        <w:tc>
          <w:tcPr>
            <w:tcW w:w="2835" w:type="dxa"/>
            <w:vAlign w:val="center"/>
          </w:tcPr>
          <w:p>
            <w:pPr>
              <w:pStyle w:val="10"/>
            </w:pPr>
            <w:r>
              <w:t>资金支付时间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勘测矿山成本</w:t>
            </w:r>
          </w:p>
        </w:tc>
        <w:tc>
          <w:tcPr>
            <w:tcW w:w="2835" w:type="dxa"/>
            <w:vAlign w:val="center"/>
          </w:tcPr>
          <w:p>
            <w:pPr>
              <w:pStyle w:val="10"/>
            </w:pPr>
            <w:r>
              <w:t>勘测矿山成本</w:t>
            </w:r>
          </w:p>
        </w:tc>
        <w:tc>
          <w:tcPr>
            <w:tcW w:w="2551" w:type="dxa"/>
            <w:vAlign w:val="center"/>
          </w:tcPr>
          <w:p>
            <w:pPr>
              <w:pStyle w:val="10"/>
            </w:pPr>
            <w:r>
              <w:t>≤1.78万元/家</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8、（2）拨付出让地块前期费用绩效目标表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1.全额支付该批次地块前期费用</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≥15宗</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≤940.8万元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9、（2）唐山市2022年第18、31、32、33、36、增减挂钩第1、2、4、5批次地块征地费绩效目标表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1.全额支付该批次地块征地补偿费</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≥9批次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≤1023万元/批次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10、（2）唐山市2022年第57、61、66批次预存征地费绩效目标表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1.全额支付该批次地块征地补偿费</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≥3批次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≤1169万元/批次</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11、（2）唐山市2022年第57、61、66批次预存征地费绩效目标表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1.全额支付该批次地块征地补偿费</w:t>
            </w:r>
          </w:p>
          <w:p>
            <w:pPr>
              <w:pStyle w:val="10"/>
            </w:pPr>
            <w:r>
              <w:t>2.提高土地利用率、国有土地收储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出让及收储宗地数量</w:t>
            </w:r>
          </w:p>
        </w:tc>
        <w:tc>
          <w:tcPr>
            <w:tcW w:w="2835" w:type="dxa"/>
            <w:vAlign w:val="center"/>
          </w:tcPr>
          <w:p>
            <w:pPr>
              <w:pStyle w:val="10"/>
            </w:pPr>
            <w:r>
              <w:t>出让及收储宗地数量</w:t>
            </w:r>
          </w:p>
        </w:tc>
        <w:tc>
          <w:tcPr>
            <w:tcW w:w="2551" w:type="dxa"/>
            <w:vAlign w:val="center"/>
          </w:tcPr>
          <w:p>
            <w:pPr>
              <w:pStyle w:val="10"/>
            </w:pPr>
            <w:r>
              <w:t>≥3批次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土地出让占总数比例</w:t>
            </w:r>
          </w:p>
        </w:tc>
        <w:tc>
          <w:tcPr>
            <w:tcW w:w="2835" w:type="dxa"/>
            <w:vAlign w:val="center"/>
          </w:tcPr>
          <w:p>
            <w:pPr>
              <w:pStyle w:val="10"/>
            </w:pPr>
            <w:r>
              <w:t>土地出让占总数比例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拨付补偿款完成时间</w:t>
            </w:r>
          </w:p>
        </w:tc>
        <w:tc>
          <w:tcPr>
            <w:tcW w:w="2835" w:type="dxa"/>
            <w:vAlign w:val="center"/>
          </w:tcPr>
          <w:p>
            <w:pPr>
              <w:pStyle w:val="10"/>
            </w:pPr>
            <w:r>
              <w:t>拨付补偿款完成时间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预计出让成本</w:t>
            </w:r>
          </w:p>
        </w:tc>
        <w:tc>
          <w:tcPr>
            <w:tcW w:w="2835" w:type="dxa"/>
            <w:vAlign w:val="center"/>
          </w:tcPr>
          <w:p>
            <w:pPr>
              <w:pStyle w:val="10"/>
            </w:pPr>
            <w:r>
              <w:t>预计出让成本</w:t>
            </w:r>
          </w:p>
        </w:tc>
        <w:tc>
          <w:tcPr>
            <w:tcW w:w="2551" w:type="dxa"/>
            <w:vAlign w:val="center"/>
          </w:tcPr>
          <w:p>
            <w:pPr>
              <w:pStyle w:val="10"/>
            </w:pPr>
            <w:r>
              <w:t>≤204万元/批次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提高群众生活质量优良率</w:t>
            </w:r>
          </w:p>
        </w:tc>
        <w:tc>
          <w:tcPr>
            <w:tcW w:w="2835" w:type="dxa"/>
            <w:vAlign w:val="center"/>
          </w:tcPr>
          <w:p>
            <w:pPr>
              <w:pStyle w:val="10"/>
            </w:pPr>
            <w:r>
              <w:t>提高群众生活质量优良率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12、丰润区2021、2022年度耕地流出问题现场排查数据整理工作绩效目标表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1.完成丰润区2021、2022年度耕地流出问题现场排查数据整理工作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整理图斑面积</w:t>
            </w:r>
          </w:p>
        </w:tc>
        <w:tc>
          <w:tcPr>
            <w:tcW w:w="2835" w:type="dxa"/>
            <w:vAlign w:val="center"/>
          </w:tcPr>
          <w:p>
            <w:pPr>
              <w:pStyle w:val="10"/>
            </w:pPr>
            <w:r>
              <w:t>整理图斑面积</w:t>
            </w:r>
          </w:p>
        </w:tc>
        <w:tc>
          <w:tcPr>
            <w:tcW w:w="2551" w:type="dxa"/>
            <w:vAlign w:val="center"/>
          </w:tcPr>
          <w:p>
            <w:pPr>
              <w:pStyle w:val="10"/>
            </w:pPr>
            <w:r>
              <w:t>≥44250亩</w:t>
            </w:r>
          </w:p>
        </w:tc>
        <w:tc>
          <w:tcPr>
            <w:tcW w:w="2268" w:type="dxa"/>
            <w:vAlign w:val="center"/>
          </w:tcPr>
          <w:p>
            <w:pPr>
              <w:pStyle w:val="10"/>
            </w:pPr>
            <w:r>
              <w:t>上级下达任务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≥100%</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整理完成时间</w:t>
            </w:r>
          </w:p>
        </w:tc>
        <w:tc>
          <w:tcPr>
            <w:tcW w:w="2835" w:type="dxa"/>
            <w:vAlign w:val="center"/>
          </w:tcPr>
          <w:p>
            <w:pPr>
              <w:pStyle w:val="10"/>
            </w:pPr>
            <w:r>
              <w:t>整理完成时间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整理单价</w:t>
            </w:r>
          </w:p>
        </w:tc>
        <w:tc>
          <w:tcPr>
            <w:tcW w:w="2835" w:type="dxa"/>
            <w:vAlign w:val="center"/>
          </w:tcPr>
          <w:p>
            <w:pPr>
              <w:pStyle w:val="10"/>
            </w:pPr>
            <w:r>
              <w:t>整理单价</w:t>
            </w:r>
          </w:p>
        </w:tc>
        <w:tc>
          <w:tcPr>
            <w:tcW w:w="2551" w:type="dxa"/>
            <w:vAlign w:val="center"/>
          </w:tcPr>
          <w:p>
            <w:pPr>
              <w:pStyle w:val="10"/>
            </w:pPr>
            <w:r>
              <w:t>≤7元/亩</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调查结果准确性</w:t>
            </w:r>
          </w:p>
        </w:tc>
        <w:tc>
          <w:tcPr>
            <w:tcW w:w="2835" w:type="dxa"/>
            <w:vAlign w:val="center"/>
          </w:tcPr>
          <w:p>
            <w:pPr>
              <w:pStyle w:val="10"/>
            </w:pPr>
            <w:r>
              <w:t>调查结果准确性</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13、丰润区2022年度耕地“进出平衡”方案编制工作绩效目标表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1.完成丰润区2022年度耕地“进出平衡”方案编制工作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整体方案编制</w:t>
            </w:r>
          </w:p>
        </w:tc>
        <w:tc>
          <w:tcPr>
            <w:tcW w:w="2835" w:type="dxa"/>
            <w:vAlign w:val="center"/>
          </w:tcPr>
          <w:p>
            <w:pPr>
              <w:pStyle w:val="10"/>
            </w:pPr>
            <w:r>
              <w:t>整体方案编制</w:t>
            </w:r>
          </w:p>
        </w:tc>
        <w:tc>
          <w:tcPr>
            <w:tcW w:w="2551" w:type="dxa"/>
            <w:vAlign w:val="center"/>
          </w:tcPr>
          <w:p>
            <w:pPr>
              <w:pStyle w:val="10"/>
            </w:pPr>
            <w:r>
              <w:t>≥1个</w:t>
            </w:r>
          </w:p>
        </w:tc>
        <w:tc>
          <w:tcPr>
            <w:tcW w:w="2268" w:type="dxa"/>
            <w:vAlign w:val="center"/>
          </w:tcPr>
          <w:p>
            <w:pPr>
              <w:pStyle w:val="10"/>
            </w:pPr>
            <w:r>
              <w:t>上级下达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≥100%</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编制完成时间</w:t>
            </w:r>
          </w:p>
        </w:tc>
        <w:tc>
          <w:tcPr>
            <w:tcW w:w="2835" w:type="dxa"/>
            <w:vAlign w:val="center"/>
          </w:tcPr>
          <w:p>
            <w:pPr>
              <w:pStyle w:val="10"/>
            </w:pPr>
            <w:r>
              <w:t>编制完成时间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编制单价</w:t>
            </w:r>
          </w:p>
        </w:tc>
        <w:tc>
          <w:tcPr>
            <w:tcW w:w="2835" w:type="dxa"/>
            <w:vAlign w:val="center"/>
          </w:tcPr>
          <w:p>
            <w:pPr>
              <w:pStyle w:val="10"/>
            </w:pPr>
            <w:r>
              <w:t>编制单价</w:t>
            </w:r>
          </w:p>
        </w:tc>
        <w:tc>
          <w:tcPr>
            <w:tcW w:w="2551" w:type="dxa"/>
            <w:vAlign w:val="center"/>
          </w:tcPr>
          <w:p>
            <w:pPr>
              <w:pStyle w:val="10"/>
            </w:pPr>
            <w:r>
              <w:t>≤29万元/个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能力提升率</w:t>
            </w:r>
          </w:p>
        </w:tc>
        <w:tc>
          <w:tcPr>
            <w:tcW w:w="2835" w:type="dxa"/>
            <w:vAlign w:val="center"/>
          </w:tcPr>
          <w:p>
            <w:pPr>
              <w:pStyle w:val="10"/>
            </w:pPr>
            <w:r>
              <w:t>能力提升率</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14、丰润区2022年耕地卫片现场核查工作绩效目标表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1.完成丰润区2022年耕地卫片现场核查工作</w:t>
            </w:r>
          </w:p>
          <w:p>
            <w:pPr>
              <w:pStyle w:val="10"/>
            </w:pPr>
            <w:r>
              <w:t>2.加强城镇化建设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核查图斑数量</w:t>
            </w:r>
          </w:p>
        </w:tc>
        <w:tc>
          <w:tcPr>
            <w:tcW w:w="2835" w:type="dxa"/>
            <w:vAlign w:val="center"/>
          </w:tcPr>
          <w:p>
            <w:pPr>
              <w:pStyle w:val="10"/>
            </w:pPr>
            <w:r>
              <w:t>核查图斑数量</w:t>
            </w:r>
          </w:p>
        </w:tc>
        <w:tc>
          <w:tcPr>
            <w:tcW w:w="2551" w:type="dxa"/>
            <w:vAlign w:val="center"/>
          </w:tcPr>
          <w:p>
            <w:pPr>
              <w:pStyle w:val="10"/>
            </w:pPr>
            <w:r>
              <w:t>≥604个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≥100%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核查完成时间</w:t>
            </w:r>
          </w:p>
        </w:tc>
        <w:tc>
          <w:tcPr>
            <w:tcW w:w="2835" w:type="dxa"/>
            <w:vAlign w:val="center"/>
          </w:tcPr>
          <w:p>
            <w:pPr>
              <w:pStyle w:val="10"/>
            </w:pPr>
            <w:r>
              <w:t>核查完成时间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核查单价</w:t>
            </w:r>
          </w:p>
        </w:tc>
        <w:tc>
          <w:tcPr>
            <w:tcW w:w="2835" w:type="dxa"/>
            <w:vAlign w:val="center"/>
          </w:tcPr>
          <w:p>
            <w:pPr>
              <w:pStyle w:val="10"/>
            </w:pPr>
            <w:r>
              <w:t>核查单价</w:t>
            </w:r>
          </w:p>
        </w:tc>
        <w:tc>
          <w:tcPr>
            <w:tcW w:w="2551" w:type="dxa"/>
            <w:vAlign w:val="center"/>
          </w:tcPr>
          <w:p>
            <w:pPr>
              <w:pStyle w:val="10"/>
            </w:pPr>
            <w:r>
              <w:t>≤500元/个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满意程度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15、丰润区曹雪芹东道以南、林荫路以东、纺织路以西、京秦铁路以北区域控制性详细规划编制费绩效目标表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1.完成规划编制工作，上报成果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规划编制数量</w:t>
            </w:r>
          </w:p>
        </w:tc>
        <w:tc>
          <w:tcPr>
            <w:tcW w:w="2835" w:type="dxa"/>
            <w:vAlign w:val="center"/>
          </w:tcPr>
          <w:p>
            <w:pPr>
              <w:pStyle w:val="10"/>
            </w:pPr>
            <w:r>
              <w:t>规划编制数量</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规划编制完成率</w:t>
            </w:r>
          </w:p>
        </w:tc>
        <w:tc>
          <w:tcPr>
            <w:tcW w:w="2835" w:type="dxa"/>
            <w:vAlign w:val="center"/>
          </w:tcPr>
          <w:p>
            <w:pPr>
              <w:pStyle w:val="10"/>
            </w:pPr>
            <w:r>
              <w:t>规划编制完成率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编制完成时间</w:t>
            </w:r>
          </w:p>
        </w:tc>
        <w:tc>
          <w:tcPr>
            <w:tcW w:w="2835" w:type="dxa"/>
            <w:vAlign w:val="center"/>
          </w:tcPr>
          <w:p>
            <w:pPr>
              <w:pStyle w:val="10"/>
            </w:pPr>
            <w:r>
              <w:t>编制完成时间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规划编制单价</w:t>
            </w:r>
          </w:p>
        </w:tc>
        <w:tc>
          <w:tcPr>
            <w:tcW w:w="2835" w:type="dxa"/>
            <w:vAlign w:val="center"/>
          </w:tcPr>
          <w:p>
            <w:pPr>
              <w:pStyle w:val="10"/>
            </w:pPr>
            <w:r>
              <w:t>规划编制单价</w:t>
            </w:r>
          </w:p>
        </w:tc>
        <w:tc>
          <w:tcPr>
            <w:tcW w:w="2551" w:type="dxa"/>
            <w:vAlign w:val="center"/>
          </w:tcPr>
          <w:p>
            <w:pPr>
              <w:pStyle w:val="10"/>
            </w:pPr>
            <w:r>
              <w:t>≤18万元/个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提高资源利用率</w:t>
            </w:r>
          </w:p>
        </w:tc>
        <w:tc>
          <w:tcPr>
            <w:tcW w:w="2835" w:type="dxa"/>
            <w:vAlign w:val="center"/>
          </w:tcPr>
          <w:p>
            <w:pPr>
              <w:pStyle w:val="10"/>
            </w:pPr>
            <w:r>
              <w:t>提高资源利用率</w:t>
            </w:r>
          </w:p>
        </w:tc>
        <w:tc>
          <w:tcPr>
            <w:tcW w:w="2551" w:type="dxa"/>
            <w:vAlign w:val="center"/>
          </w:tcPr>
          <w:p>
            <w:pPr>
              <w:pStyle w:val="10"/>
            </w:pPr>
            <w:r>
              <w:t>高</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16、丰润区城镇基准地价更新绩效目标表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1.出具丰润区城镇土地级别与基准地价更新成果，</w:t>
            </w:r>
          </w:p>
          <w:p>
            <w:pPr>
              <w:pStyle w:val="10"/>
            </w:pPr>
            <w:r>
              <w:t>2.通过市级以上自然资源主管部门验收合格</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对城区及建制镇国有建设用地土地级别和基准地价进行更新个数</w:t>
            </w:r>
          </w:p>
        </w:tc>
        <w:tc>
          <w:tcPr>
            <w:tcW w:w="2835" w:type="dxa"/>
            <w:vAlign w:val="center"/>
          </w:tcPr>
          <w:p>
            <w:pPr>
              <w:pStyle w:val="10"/>
            </w:pPr>
            <w:r>
              <w:t>对城区及建制镇国有建设用地土地级别和基准地价进行更新个数</w:t>
            </w:r>
          </w:p>
        </w:tc>
        <w:tc>
          <w:tcPr>
            <w:tcW w:w="2551" w:type="dxa"/>
            <w:vAlign w:val="center"/>
          </w:tcPr>
          <w:p>
            <w:pPr>
              <w:pStyle w:val="10"/>
            </w:pPr>
            <w:r>
              <w:t>≥2个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符合城镇土地定级估价规程要求，通过市级以上级自然资源主管部门验收完成率</w:t>
            </w:r>
          </w:p>
        </w:tc>
        <w:tc>
          <w:tcPr>
            <w:tcW w:w="2835" w:type="dxa"/>
            <w:vAlign w:val="center"/>
          </w:tcPr>
          <w:p>
            <w:pPr>
              <w:pStyle w:val="10"/>
            </w:pPr>
            <w:r>
              <w:t>符合城镇土地定级估价规程要求，通过市级以上级自然资源主管部门验收完成率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合同约定的提交成果的时间</w:t>
            </w:r>
          </w:p>
        </w:tc>
        <w:tc>
          <w:tcPr>
            <w:tcW w:w="2835" w:type="dxa"/>
            <w:vAlign w:val="center"/>
          </w:tcPr>
          <w:p>
            <w:pPr>
              <w:pStyle w:val="10"/>
            </w:pPr>
            <w:r>
              <w:t>合同约定的提交成果的时间</w:t>
            </w:r>
          </w:p>
        </w:tc>
        <w:tc>
          <w:tcPr>
            <w:tcW w:w="2551" w:type="dxa"/>
            <w:vAlign w:val="center"/>
          </w:tcPr>
          <w:p>
            <w:pPr>
              <w:pStyle w:val="10"/>
            </w:pPr>
            <w:r>
              <w:t>2023年年底i</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国有建设用地基准地价成本</w:t>
            </w:r>
          </w:p>
        </w:tc>
        <w:tc>
          <w:tcPr>
            <w:tcW w:w="2835" w:type="dxa"/>
            <w:vAlign w:val="center"/>
          </w:tcPr>
          <w:p>
            <w:pPr>
              <w:pStyle w:val="10"/>
            </w:pPr>
            <w:r>
              <w:t>国有建设用地基准地价成本</w:t>
            </w:r>
          </w:p>
        </w:tc>
        <w:tc>
          <w:tcPr>
            <w:tcW w:w="2551" w:type="dxa"/>
            <w:vAlign w:val="center"/>
          </w:tcPr>
          <w:p>
            <w:pPr>
              <w:pStyle w:val="10"/>
            </w:pPr>
            <w:r>
              <w:t>≤15万元/个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按照相关规定，城镇基准地价每三年更新一次</w:t>
            </w:r>
          </w:p>
        </w:tc>
        <w:tc>
          <w:tcPr>
            <w:tcW w:w="2835" w:type="dxa"/>
            <w:vAlign w:val="center"/>
          </w:tcPr>
          <w:p>
            <w:pPr>
              <w:pStyle w:val="10"/>
            </w:pPr>
            <w:r>
              <w:t>按照相关规定，城镇基准地价每三年更新一次</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及时更新自然资源价格体系</w:t>
            </w:r>
          </w:p>
        </w:tc>
        <w:tc>
          <w:tcPr>
            <w:tcW w:w="2835" w:type="dxa"/>
            <w:vAlign w:val="center"/>
          </w:tcPr>
          <w:p>
            <w:pPr>
              <w:pStyle w:val="10"/>
            </w:pPr>
            <w:r>
              <w:t>及时更新自然资源价格体系</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17、丰润区耕地恢复潜力调查评价工作绩效目标表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1.完成丰润区耕地恢复潜力调查评价工作</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耕地恢复潜力调查报告等工作</w:t>
            </w:r>
          </w:p>
        </w:tc>
        <w:tc>
          <w:tcPr>
            <w:tcW w:w="2835" w:type="dxa"/>
            <w:vAlign w:val="center"/>
          </w:tcPr>
          <w:p>
            <w:pPr>
              <w:pStyle w:val="10"/>
            </w:pPr>
            <w:r>
              <w:t>耕地恢复潜力调查报告等工作</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验收通过率</w:t>
            </w:r>
          </w:p>
        </w:tc>
        <w:tc>
          <w:tcPr>
            <w:tcW w:w="2835" w:type="dxa"/>
            <w:vAlign w:val="center"/>
          </w:tcPr>
          <w:p>
            <w:pPr>
              <w:pStyle w:val="10"/>
            </w:pPr>
            <w:r>
              <w:t>验收通过率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调查完成时间</w:t>
            </w:r>
          </w:p>
        </w:tc>
        <w:tc>
          <w:tcPr>
            <w:tcW w:w="2835" w:type="dxa"/>
            <w:vAlign w:val="center"/>
          </w:tcPr>
          <w:p>
            <w:pPr>
              <w:pStyle w:val="10"/>
            </w:pPr>
            <w:r>
              <w:t>调查完成时间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调查单价</w:t>
            </w:r>
          </w:p>
        </w:tc>
        <w:tc>
          <w:tcPr>
            <w:tcW w:w="2835" w:type="dxa"/>
            <w:vAlign w:val="center"/>
          </w:tcPr>
          <w:p>
            <w:pPr>
              <w:pStyle w:val="10"/>
            </w:pPr>
            <w:r>
              <w:t>调查单价</w:t>
            </w:r>
          </w:p>
        </w:tc>
        <w:tc>
          <w:tcPr>
            <w:tcW w:w="2551" w:type="dxa"/>
            <w:vAlign w:val="center"/>
          </w:tcPr>
          <w:p>
            <w:pPr>
              <w:pStyle w:val="10"/>
            </w:pPr>
            <w:r>
              <w:t>≤28万元/个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生态效益增值率</w:t>
            </w:r>
          </w:p>
        </w:tc>
        <w:tc>
          <w:tcPr>
            <w:tcW w:w="2835" w:type="dxa"/>
            <w:vAlign w:val="center"/>
          </w:tcPr>
          <w:p>
            <w:pPr>
              <w:pStyle w:val="10"/>
            </w:pPr>
            <w:r>
              <w:t>项目实施后生态效益增长率</w:t>
            </w:r>
          </w:p>
        </w:tc>
        <w:tc>
          <w:tcPr>
            <w:tcW w:w="2551" w:type="dxa"/>
            <w:vAlign w:val="center"/>
          </w:tcPr>
          <w:p>
            <w:pPr>
              <w:pStyle w:val="10"/>
            </w:pPr>
            <w:r>
              <w:t>≥85%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18、丰润区国土空间分区规划（2020-2035年）绩效目标表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1.加强城市化建设</w:t>
            </w:r>
          </w:p>
          <w:p>
            <w:pPr>
              <w:pStyle w:val="10"/>
            </w:pPr>
            <w:r>
              <w:t>2.完成规划编制工作，达到报审条件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国土空间分区规划编制数量</w:t>
            </w:r>
          </w:p>
        </w:tc>
        <w:tc>
          <w:tcPr>
            <w:tcW w:w="2835" w:type="dxa"/>
            <w:vAlign w:val="center"/>
          </w:tcPr>
          <w:p>
            <w:pPr>
              <w:pStyle w:val="10"/>
            </w:pPr>
            <w:r>
              <w:t>国土空间分区规划编制数量</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区规划土地占整体比例</w:t>
            </w:r>
          </w:p>
        </w:tc>
        <w:tc>
          <w:tcPr>
            <w:tcW w:w="2835" w:type="dxa"/>
            <w:vAlign w:val="center"/>
          </w:tcPr>
          <w:p>
            <w:pPr>
              <w:pStyle w:val="10"/>
            </w:pPr>
            <w:r>
              <w:t>区规划土地占整体比例</w:t>
            </w:r>
          </w:p>
        </w:tc>
        <w:tc>
          <w:tcPr>
            <w:tcW w:w="2551" w:type="dxa"/>
            <w:vAlign w:val="center"/>
          </w:tcPr>
          <w:p>
            <w:pPr>
              <w:pStyle w:val="10"/>
            </w:pPr>
            <w:r>
              <w:t>≥90%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≤600万元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生态效益增长率</w:t>
            </w:r>
          </w:p>
        </w:tc>
        <w:tc>
          <w:tcPr>
            <w:tcW w:w="2835" w:type="dxa"/>
            <w:vAlign w:val="center"/>
          </w:tcPr>
          <w:p>
            <w:pPr>
              <w:pStyle w:val="10"/>
            </w:pPr>
            <w:r>
              <w:t>生态效益增长率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集约节约土地利用，提高土地利用率</w:t>
            </w:r>
          </w:p>
        </w:tc>
        <w:tc>
          <w:tcPr>
            <w:tcW w:w="2835" w:type="dxa"/>
            <w:vAlign w:val="center"/>
          </w:tcPr>
          <w:p>
            <w:pPr>
              <w:pStyle w:val="10"/>
            </w:pPr>
            <w:r>
              <w:t>集约节约土地利用，提高土地利用率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19、丰润区国土空间基础信息平台和“一张图”实施监督系统绩效目标表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1.完成国土空间基础信息平台建设</w:t>
            </w:r>
          </w:p>
          <w:p>
            <w:pPr>
              <w:pStyle w:val="10"/>
            </w:pPr>
            <w:r>
              <w:t>2.与省级、市级平台对接，实现纵向联通。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搭建基础信息平台和“一张图”实施监督系统</w:t>
            </w:r>
          </w:p>
        </w:tc>
        <w:tc>
          <w:tcPr>
            <w:tcW w:w="2835" w:type="dxa"/>
            <w:vAlign w:val="center"/>
          </w:tcPr>
          <w:p>
            <w:pPr>
              <w:pStyle w:val="10"/>
            </w:pPr>
            <w:r>
              <w:t>搭建基础信息平台和“一张图”实施监督系统</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平台建设完成率</w:t>
            </w:r>
          </w:p>
        </w:tc>
        <w:tc>
          <w:tcPr>
            <w:tcW w:w="2835" w:type="dxa"/>
            <w:vAlign w:val="center"/>
          </w:tcPr>
          <w:p>
            <w:pPr>
              <w:pStyle w:val="10"/>
            </w:pPr>
            <w:r>
              <w:t>平台建设完成率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按照省、市要求完成系统建设</w:t>
            </w:r>
          </w:p>
        </w:tc>
        <w:tc>
          <w:tcPr>
            <w:tcW w:w="2835" w:type="dxa"/>
            <w:vAlign w:val="center"/>
          </w:tcPr>
          <w:p>
            <w:pPr>
              <w:pStyle w:val="10"/>
            </w:pPr>
            <w:r>
              <w:t>按照省、市要求完成系统建设时间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项目建设成本</w:t>
            </w:r>
          </w:p>
        </w:tc>
        <w:tc>
          <w:tcPr>
            <w:tcW w:w="2551" w:type="dxa"/>
            <w:vAlign w:val="center"/>
          </w:tcPr>
          <w:p>
            <w:pPr>
              <w:pStyle w:val="10"/>
            </w:pPr>
            <w:r>
              <w:t>≤64万元/个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推进与其他相关部门信息平台的横向联通和数据共享</w:t>
            </w:r>
          </w:p>
        </w:tc>
        <w:tc>
          <w:tcPr>
            <w:tcW w:w="2835" w:type="dxa"/>
            <w:vAlign w:val="center"/>
          </w:tcPr>
          <w:p>
            <w:pPr>
              <w:pStyle w:val="10"/>
            </w:pPr>
            <w:r>
              <w:t>推进与其他相关部门信息平台的横向联通和数据共享</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20、丰润区控制性详细规划（2020-2035年）绩效目标表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1.完成规划编制工作，达到报审条件</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城区控制性详细规划编制数量</w:t>
            </w:r>
          </w:p>
        </w:tc>
        <w:tc>
          <w:tcPr>
            <w:tcW w:w="2835" w:type="dxa"/>
            <w:vAlign w:val="center"/>
          </w:tcPr>
          <w:p>
            <w:pPr>
              <w:pStyle w:val="10"/>
            </w:pPr>
            <w:r>
              <w:t>城区控制性详细规划编制数量</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城市规划质量评定</w:t>
            </w:r>
          </w:p>
        </w:tc>
        <w:tc>
          <w:tcPr>
            <w:tcW w:w="2835" w:type="dxa"/>
            <w:vAlign w:val="center"/>
          </w:tcPr>
          <w:p>
            <w:pPr>
              <w:pStyle w:val="10"/>
            </w:pPr>
            <w:r>
              <w:t>城市规划质量评定</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合同约定编制费用</w:t>
            </w:r>
          </w:p>
        </w:tc>
        <w:tc>
          <w:tcPr>
            <w:tcW w:w="2835" w:type="dxa"/>
            <w:vAlign w:val="center"/>
          </w:tcPr>
          <w:p>
            <w:pPr>
              <w:pStyle w:val="10"/>
            </w:pPr>
            <w:r>
              <w:t>合同约定编制费用</w:t>
            </w:r>
          </w:p>
        </w:tc>
        <w:tc>
          <w:tcPr>
            <w:tcW w:w="2551" w:type="dxa"/>
            <w:vAlign w:val="center"/>
          </w:tcPr>
          <w:p>
            <w:pPr>
              <w:pStyle w:val="10"/>
            </w:pPr>
            <w:r>
              <w:t>≤180万元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≥85%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合理规划，节约、高效的利用资源</w:t>
            </w:r>
          </w:p>
        </w:tc>
        <w:tc>
          <w:tcPr>
            <w:tcW w:w="2835" w:type="dxa"/>
            <w:vAlign w:val="center"/>
          </w:tcPr>
          <w:p>
            <w:pPr>
              <w:pStyle w:val="10"/>
            </w:pPr>
            <w:r>
              <w:t>合理规划，节约、高效的利用资源</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21、丰润区矿产资源总体规划（2021-2025年）绩效目标表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1.完成我区矿产资源总体规划编制工作，达到报审条件</w:t>
            </w:r>
          </w:p>
          <w:p>
            <w:pPr>
              <w:pStyle w:val="10"/>
            </w:pPr>
            <w:r>
              <w:t>2.完成规划成果验收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丰润区矿产资源总体规划编制数量</w:t>
            </w:r>
          </w:p>
        </w:tc>
        <w:tc>
          <w:tcPr>
            <w:tcW w:w="2835" w:type="dxa"/>
            <w:vAlign w:val="center"/>
          </w:tcPr>
          <w:p>
            <w:pPr>
              <w:pStyle w:val="10"/>
            </w:pPr>
            <w:r>
              <w:t>丰润区矿产资源总体规划编制数量</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规划编制完成率</w:t>
            </w:r>
          </w:p>
        </w:tc>
        <w:tc>
          <w:tcPr>
            <w:tcW w:w="2835" w:type="dxa"/>
            <w:vAlign w:val="center"/>
          </w:tcPr>
          <w:p>
            <w:pPr>
              <w:pStyle w:val="10"/>
            </w:pPr>
            <w:r>
              <w:t>规划编制完成率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规划成果验收时间</w:t>
            </w:r>
          </w:p>
        </w:tc>
        <w:tc>
          <w:tcPr>
            <w:tcW w:w="2835" w:type="dxa"/>
            <w:vAlign w:val="center"/>
          </w:tcPr>
          <w:p>
            <w:pPr>
              <w:pStyle w:val="10"/>
            </w:pPr>
            <w:r>
              <w:t>规划成果验收时间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矿产资源总体规划编制费用</w:t>
            </w:r>
          </w:p>
        </w:tc>
        <w:tc>
          <w:tcPr>
            <w:tcW w:w="2835" w:type="dxa"/>
            <w:vAlign w:val="center"/>
          </w:tcPr>
          <w:p>
            <w:pPr>
              <w:pStyle w:val="10"/>
            </w:pPr>
            <w:r>
              <w:t>矿产资源总体规划编制费用</w:t>
            </w:r>
          </w:p>
        </w:tc>
        <w:tc>
          <w:tcPr>
            <w:tcW w:w="2551" w:type="dxa"/>
            <w:vAlign w:val="center"/>
          </w:tcPr>
          <w:p>
            <w:pPr>
              <w:pStyle w:val="10"/>
            </w:pPr>
            <w:r>
              <w:t>≤41万元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合理规划，节约、高效的利用资源</w:t>
            </w:r>
          </w:p>
        </w:tc>
        <w:tc>
          <w:tcPr>
            <w:tcW w:w="2835" w:type="dxa"/>
            <w:vAlign w:val="center"/>
          </w:tcPr>
          <w:p>
            <w:pPr>
              <w:pStyle w:val="10"/>
            </w:pPr>
            <w:r>
              <w:t>合理规划，节约、高效的利用资源</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绿色矿山建设及矿区生态平衡指标</w:t>
            </w:r>
          </w:p>
        </w:tc>
        <w:tc>
          <w:tcPr>
            <w:tcW w:w="2835" w:type="dxa"/>
            <w:vAlign w:val="center"/>
          </w:tcPr>
          <w:p>
            <w:pPr>
              <w:pStyle w:val="10"/>
            </w:pPr>
            <w:r>
              <w:t>绿色矿山建设及矿区生态平衡指标</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22、丰润区设施农用地上图入库工作绩效目标表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1.全面掌握并及时更新数据</w:t>
            </w:r>
          </w:p>
          <w:p>
            <w:pPr>
              <w:pStyle w:val="10"/>
            </w:pPr>
            <w:r>
              <w:t>2.通过技术手段在自然资源部开发的“设施农业用地监管系统”中逐图斑地块录入信息，同时纳入自然资源“一张图”监管。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现有存量设施农用地数量</w:t>
            </w:r>
          </w:p>
        </w:tc>
        <w:tc>
          <w:tcPr>
            <w:tcW w:w="2835" w:type="dxa"/>
            <w:vAlign w:val="center"/>
          </w:tcPr>
          <w:p>
            <w:pPr>
              <w:pStyle w:val="10"/>
            </w:pPr>
            <w:r>
              <w:t>现有存量设施农用地数量</w:t>
            </w:r>
          </w:p>
        </w:tc>
        <w:tc>
          <w:tcPr>
            <w:tcW w:w="2551" w:type="dxa"/>
            <w:vAlign w:val="center"/>
          </w:tcPr>
          <w:p>
            <w:pPr>
              <w:pStyle w:val="10"/>
            </w:pPr>
            <w:r>
              <w:t>≥4134块</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信息录入率</w:t>
            </w:r>
          </w:p>
        </w:tc>
        <w:tc>
          <w:tcPr>
            <w:tcW w:w="2835" w:type="dxa"/>
            <w:vAlign w:val="center"/>
          </w:tcPr>
          <w:p>
            <w:pPr>
              <w:pStyle w:val="10"/>
            </w:pPr>
            <w:r>
              <w:t>信息录入率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设施农用地上图入库平均成本</w:t>
            </w:r>
          </w:p>
        </w:tc>
        <w:tc>
          <w:tcPr>
            <w:tcW w:w="2835" w:type="dxa"/>
            <w:vAlign w:val="center"/>
          </w:tcPr>
          <w:p>
            <w:pPr>
              <w:pStyle w:val="10"/>
            </w:pPr>
            <w:r>
              <w:t>设施农用地上图入库平均成本</w:t>
            </w:r>
          </w:p>
        </w:tc>
        <w:tc>
          <w:tcPr>
            <w:tcW w:w="2551" w:type="dxa"/>
            <w:vAlign w:val="center"/>
          </w:tcPr>
          <w:p>
            <w:pPr>
              <w:pStyle w:val="10"/>
            </w:pPr>
            <w:r>
              <w:t>≤0.05万元/宗</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农业生态系统健康和谐发展</w:t>
            </w:r>
          </w:p>
        </w:tc>
        <w:tc>
          <w:tcPr>
            <w:tcW w:w="2835" w:type="dxa"/>
            <w:vAlign w:val="center"/>
          </w:tcPr>
          <w:p>
            <w:pPr>
              <w:pStyle w:val="10"/>
            </w:pPr>
            <w:r>
              <w:t>农业生态系统健康和谐发展</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23、丰润区唐遵铁路以东、昌盛道以南、燕山路以西、正丰道以北区域控制性详细规划编制费绩效目标表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完成规划编制工作</w:t>
            </w:r>
          </w:p>
          <w:p>
            <w:pPr>
              <w:pStyle w:val="10"/>
            </w:pPr>
            <w:r>
              <w:t>2.完成规划成果验收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val="en-US" w:eastAsia="zh-CN"/>
              </w:rPr>
              <w:t>规划编制数量</w:t>
            </w:r>
          </w:p>
        </w:tc>
        <w:tc>
          <w:tcPr>
            <w:tcW w:w="2835" w:type="dxa"/>
            <w:vAlign w:val="center"/>
          </w:tcPr>
          <w:p>
            <w:pPr>
              <w:pStyle w:val="10"/>
            </w:pPr>
            <w:r>
              <w:rPr>
                <w:rFonts w:hint="eastAsia"/>
                <w:lang w:val="en-US" w:eastAsia="zh-CN"/>
              </w:rPr>
              <w:t>规划编制数量</w:t>
            </w:r>
          </w:p>
        </w:tc>
        <w:tc>
          <w:tcPr>
            <w:tcW w:w="2551" w:type="dxa"/>
            <w:vAlign w:val="center"/>
          </w:tcPr>
          <w:p>
            <w:pPr>
              <w:pStyle w:val="10"/>
            </w:pPr>
            <w:r>
              <w:rPr>
                <w:rFonts w:hint="eastAsia"/>
                <w:lang w:val="en-US" w:eastAsia="zh-CN"/>
              </w:rPr>
              <w:t>≥1个</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lang w:val="en-US" w:eastAsia="zh-CN"/>
              </w:rPr>
              <w:t>规划编制完成率</w:t>
            </w:r>
          </w:p>
        </w:tc>
        <w:tc>
          <w:tcPr>
            <w:tcW w:w="2835" w:type="dxa"/>
            <w:vAlign w:val="center"/>
          </w:tcPr>
          <w:p>
            <w:pPr>
              <w:pStyle w:val="10"/>
            </w:pPr>
            <w:r>
              <w:rPr>
                <w:rFonts w:hint="eastAsia"/>
                <w:lang w:val="en-US" w:eastAsia="zh-CN"/>
              </w:rPr>
              <w:t>规划编制完成率</w:t>
            </w:r>
          </w:p>
        </w:tc>
        <w:tc>
          <w:tcPr>
            <w:tcW w:w="2551" w:type="dxa"/>
            <w:vAlign w:val="center"/>
          </w:tcPr>
          <w:p>
            <w:pPr>
              <w:pStyle w:val="10"/>
            </w:pPr>
            <w:r>
              <w:rPr>
                <w:rFonts w:hint="eastAsia"/>
                <w:lang w:val="en-US" w:eastAsia="zh-CN"/>
              </w:rPr>
              <w:t>≥95%</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lang w:val="en-US" w:eastAsia="zh-CN"/>
              </w:rPr>
              <w:t>编制完成时间</w:t>
            </w:r>
          </w:p>
        </w:tc>
        <w:tc>
          <w:tcPr>
            <w:tcW w:w="2835" w:type="dxa"/>
            <w:vAlign w:val="center"/>
          </w:tcPr>
          <w:p>
            <w:pPr>
              <w:pStyle w:val="10"/>
            </w:pPr>
            <w:r>
              <w:rPr>
                <w:rFonts w:hint="eastAsia"/>
                <w:lang w:val="en-US" w:eastAsia="zh-CN"/>
              </w:rPr>
              <w:t>编制完成时间</w:t>
            </w:r>
          </w:p>
        </w:tc>
        <w:tc>
          <w:tcPr>
            <w:tcW w:w="2551" w:type="dxa"/>
            <w:vAlign w:val="center"/>
          </w:tcPr>
          <w:p>
            <w:pPr>
              <w:pStyle w:val="10"/>
            </w:pPr>
            <w:r>
              <w:rPr>
                <w:rFonts w:hint="eastAsia"/>
                <w:lang w:val="en-US" w:eastAsia="zh-CN"/>
              </w:rPr>
              <w:t>2023年年底</w:t>
            </w:r>
          </w:p>
        </w:tc>
        <w:tc>
          <w:tcPr>
            <w:tcW w:w="2268" w:type="dxa"/>
            <w:vAlign w:val="center"/>
          </w:tcPr>
          <w:p>
            <w:pPr>
              <w:pStyle w:val="10"/>
            </w:pPr>
            <w:r>
              <w:rPr>
                <w:rFonts w:hint="eastAsia"/>
                <w:lang w:val="en-US"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lang w:val="en-US" w:eastAsia="zh-CN"/>
              </w:rPr>
              <w:t>规划编制单价</w:t>
            </w:r>
          </w:p>
        </w:tc>
        <w:tc>
          <w:tcPr>
            <w:tcW w:w="2835" w:type="dxa"/>
            <w:vAlign w:val="center"/>
          </w:tcPr>
          <w:p>
            <w:pPr>
              <w:pStyle w:val="10"/>
            </w:pPr>
            <w:r>
              <w:rPr>
                <w:rFonts w:hint="eastAsia"/>
                <w:lang w:val="en-US" w:eastAsia="zh-CN"/>
              </w:rPr>
              <w:t>规划编制单价</w:t>
            </w:r>
          </w:p>
        </w:tc>
        <w:tc>
          <w:tcPr>
            <w:tcW w:w="2551" w:type="dxa"/>
            <w:vAlign w:val="center"/>
          </w:tcPr>
          <w:p>
            <w:pPr>
              <w:pStyle w:val="10"/>
            </w:pPr>
            <w:r>
              <w:rPr>
                <w:rFonts w:hint="eastAsia"/>
                <w:lang w:val="en-US" w:eastAsia="zh-CN"/>
              </w:rPr>
              <w:t>≤13万元</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rPr>
                <w:rFonts w:hint="eastAsia"/>
                <w:lang w:val="en-US" w:eastAsia="zh-CN"/>
              </w:rPr>
              <w:t>生态</w:t>
            </w:r>
            <w:r>
              <w:t>效益指标</w:t>
            </w:r>
          </w:p>
        </w:tc>
        <w:tc>
          <w:tcPr>
            <w:tcW w:w="2835" w:type="dxa"/>
            <w:vAlign w:val="center"/>
          </w:tcPr>
          <w:p>
            <w:pPr>
              <w:pStyle w:val="10"/>
              <w:rPr>
                <w:rFonts w:hint="eastAsia"/>
                <w:lang w:val="en-US" w:eastAsia="zh-CN"/>
              </w:rPr>
            </w:pPr>
            <w:r>
              <w:rPr>
                <w:rFonts w:hint="eastAsia"/>
                <w:lang w:val="en-US" w:eastAsia="zh-CN"/>
              </w:rPr>
              <w:t>提高资源利用率</w:t>
            </w:r>
          </w:p>
        </w:tc>
        <w:tc>
          <w:tcPr>
            <w:tcW w:w="2835" w:type="dxa"/>
            <w:vAlign w:val="center"/>
          </w:tcPr>
          <w:p>
            <w:pPr>
              <w:pStyle w:val="10"/>
              <w:rPr>
                <w:rFonts w:hint="eastAsia"/>
                <w:lang w:val="en-US" w:eastAsia="zh-CN"/>
              </w:rPr>
            </w:pPr>
            <w:r>
              <w:rPr>
                <w:rFonts w:hint="eastAsia"/>
                <w:lang w:val="en-US" w:eastAsia="zh-CN"/>
              </w:rPr>
              <w:t>提高资源利用率</w:t>
            </w:r>
          </w:p>
        </w:tc>
        <w:tc>
          <w:tcPr>
            <w:tcW w:w="2551" w:type="dxa"/>
            <w:vAlign w:val="center"/>
          </w:tcPr>
          <w:p>
            <w:pPr>
              <w:pStyle w:val="10"/>
              <w:rPr>
                <w:rFonts w:hint="eastAsia"/>
                <w:lang w:val="en-US" w:eastAsia="zh-CN"/>
              </w:rPr>
            </w:pPr>
            <w:r>
              <w:rPr>
                <w:rFonts w:hint="eastAsia"/>
                <w:lang w:val="en-US" w:eastAsia="zh-CN"/>
              </w:rPr>
              <w:t>高</w:t>
            </w:r>
          </w:p>
        </w:tc>
        <w:tc>
          <w:tcPr>
            <w:tcW w:w="2268" w:type="dxa"/>
            <w:vAlign w:val="center"/>
          </w:tcPr>
          <w:p>
            <w:pPr>
              <w:pStyle w:val="10"/>
              <w:rPr>
                <w:rFonts w:hint="eastAsia"/>
                <w:lang w:val="en-US" w:eastAsia="zh-CN"/>
              </w:rPr>
            </w:pPr>
            <w:r>
              <w:rPr>
                <w:rFonts w:hint="eastAsia"/>
                <w:lang w:val="en-US" w:eastAsia="zh-CN"/>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rPr>
                <w:rFonts w:hint="eastAsia"/>
                <w:lang w:val="en-US" w:eastAsia="zh-CN"/>
              </w:rPr>
              <w:t>公众满意度</w:t>
            </w:r>
          </w:p>
        </w:tc>
        <w:tc>
          <w:tcPr>
            <w:tcW w:w="2835" w:type="dxa"/>
            <w:vAlign w:val="center"/>
          </w:tcPr>
          <w:p>
            <w:pPr>
              <w:pStyle w:val="10"/>
            </w:pPr>
            <w:r>
              <w:rPr>
                <w:rFonts w:hint="eastAsia"/>
                <w:lang w:val="en-US" w:eastAsia="zh-CN"/>
              </w:rPr>
              <w:t>公众满意度</w:t>
            </w:r>
          </w:p>
        </w:tc>
        <w:tc>
          <w:tcPr>
            <w:tcW w:w="2551" w:type="dxa"/>
            <w:vAlign w:val="center"/>
          </w:tcPr>
          <w:p>
            <w:pPr>
              <w:pStyle w:val="10"/>
            </w:pPr>
            <w:r>
              <w:rPr>
                <w:rFonts w:hint="eastAsia"/>
                <w:lang w:val="en-US" w:eastAsia="zh-CN"/>
              </w:rPr>
              <w:t>≥80%</w:t>
            </w:r>
          </w:p>
        </w:tc>
        <w:tc>
          <w:tcPr>
            <w:tcW w:w="2268" w:type="dxa"/>
            <w:vAlign w:val="center"/>
          </w:tcPr>
          <w:p>
            <w:pPr>
              <w:pStyle w:val="10"/>
            </w:pPr>
            <w:r>
              <w:rPr>
                <w:rFonts w:hint="eastAsia"/>
                <w:lang w:val="en-US" w:eastAsia="zh-CN"/>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24、开展《丰润区国土空间生态修复规划（2021-2035年）》编制工作绩效目标表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完成规划编制工作</w:t>
            </w:r>
          </w:p>
          <w:p>
            <w:pPr>
              <w:pStyle w:val="10"/>
            </w:pPr>
            <w:r>
              <w:t>2.完成规划成果验收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rPr>
                <w:rFonts w:hint="eastAsia"/>
                <w:lang w:val="en-US" w:eastAsia="zh-CN"/>
              </w:rPr>
              <w:t>国土空间生态修复规划编制数量</w:t>
            </w:r>
          </w:p>
        </w:tc>
        <w:tc>
          <w:tcPr>
            <w:tcW w:w="2835" w:type="dxa"/>
            <w:vAlign w:val="center"/>
          </w:tcPr>
          <w:p>
            <w:pPr>
              <w:pStyle w:val="10"/>
            </w:pPr>
            <w:r>
              <w:rPr>
                <w:rFonts w:hint="eastAsia"/>
                <w:lang w:val="en-US" w:eastAsia="zh-CN"/>
              </w:rPr>
              <w:t>国土空间生态修复规划编制数量</w:t>
            </w:r>
          </w:p>
        </w:tc>
        <w:tc>
          <w:tcPr>
            <w:tcW w:w="2551" w:type="dxa"/>
            <w:vAlign w:val="center"/>
          </w:tcPr>
          <w:p>
            <w:pPr>
              <w:pStyle w:val="10"/>
            </w:pPr>
            <w:r>
              <w:rPr>
                <w:rFonts w:hint="eastAsia"/>
                <w:lang w:val="en-US" w:eastAsia="zh-CN"/>
              </w:rPr>
              <w:t>≥1个</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rPr>
                <w:rFonts w:hint="eastAsia"/>
                <w:lang w:val="en-US" w:eastAsia="zh-CN"/>
              </w:rPr>
              <w:t>土地利用率</w:t>
            </w:r>
          </w:p>
        </w:tc>
        <w:tc>
          <w:tcPr>
            <w:tcW w:w="2835" w:type="dxa"/>
            <w:vAlign w:val="center"/>
          </w:tcPr>
          <w:p>
            <w:pPr>
              <w:pStyle w:val="10"/>
            </w:pPr>
            <w:r>
              <w:rPr>
                <w:rFonts w:hint="eastAsia"/>
                <w:lang w:val="en-US" w:eastAsia="zh-CN"/>
              </w:rPr>
              <w:t>生态修复土地占整体比例</w:t>
            </w:r>
          </w:p>
        </w:tc>
        <w:tc>
          <w:tcPr>
            <w:tcW w:w="2551" w:type="dxa"/>
            <w:vAlign w:val="center"/>
          </w:tcPr>
          <w:p>
            <w:pPr>
              <w:pStyle w:val="10"/>
            </w:pPr>
            <w:r>
              <w:rPr>
                <w:rFonts w:hint="eastAsia"/>
                <w:lang w:val="en-US" w:eastAsia="zh-CN"/>
              </w:rPr>
              <w:t>≥90%</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rPr>
                <w:rFonts w:hint="eastAsia"/>
                <w:lang w:val="en-US" w:eastAsia="zh-CN"/>
              </w:rPr>
              <w:t>合同约定的提交成果时间</w:t>
            </w:r>
          </w:p>
        </w:tc>
        <w:tc>
          <w:tcPr>
            <w:tcW w:w="2835" w:type="dxa"/>
            <w:vAlign w:val="center"/>
          </w:tcPr>
          <w:p>
            <w:pPr>
              <w:pStyle w:val="10"/>
            </w:pPr>
            <w:r>
              <w:rPr>
                <w:rFonts w:hint="eastAsia"/>
                <w:lang w:val="en-US" w:eastAsia="zh-CN"/>
              </w:rPr>
              <w:t>合同约定的提交成果时间</w:t>
            </w:r>
          </w:p>
        </w:tc>
        <w:tc>
          <w:tcPr>
            <w:tcW w:w="2551" w:type="dxa"/>
            <w:vAlign w:val="center"/>
          </w:tcPr>
          <w:p>
            <w:pPr>
              <w:pStyle w:val="10"/>
            </w:pPr>
            <w:r>
              <w:rPr>
                <w:rFonts w:hint="eastAsia"/>
                <w:lang w:val="en-US" w:eastAsia="zh-CN"/>
              </w:rPr>
              <w:t>2023年年底</w:t>
            </w:r>
          </w:p>
        </w:tc>
        <w:tc>
          <w:tcPr>
            <w:tcW w:w="2268" w:type="dxa"/>
            <w:vAlign w:val="center"/>
          </w:tcPr>
          <w:p>
            <w:pPr>
              <w:pStyle w:val="10"/>
            </w:pPr>
            <w:r>
              <w:rPr>
                <w:rFonts w:hint="eastAsia"/>
                <w:lang w:val="en-US" w:eastAsia="zh-C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rPr>
                <w:rFonts w:hint="eastAsia"/>
                <w:lang w:val="en-US" w:eastAsia="zh-CN"/>
              </w:rPr>
              <w:t>合同约定编制费用</w:t>
            </w:r>
          </w:p>
        </w:tc>
        <w:tc>
          <w:tcPr>
            <w:tcW w:w="2835" w:type="dxa"/>
            <w:vAlign w:val="center"/>
          </w:tcPr>
          <w:p>
            <w:pPr>
              <w:pStyle w:val="10"/>
            </w:pPr>
            <w:r>
              <w:rPr>
                <w:rFonts w:hint="eastAsia"/>
                <w:lang w:val="en-US" w:eastAsia="zh-CN"/>
              </w:rPr>
              <w:t>合同约定编制费用</w:t>
            </w:r>
          </w:p>
        </w:tc>
        <w:tc>
          <w:tcPr>
            <w:tcW w:w="2551" w:type="dxa"/>
            <w:vAlign w:val="center"/>
          </w:tcPr>
          <w:p>
            <w:pPr>
              <w:pStyle w:val="10"/>
            </w:pPr>
            <w:r>
              <w:rPr>
                <w:rFonts w:hint="eastAsia"/>
                <w:lang w:val="en-US" w:eastAsia="zh-CN"/>
              </w:rPr>
              <w:t>≤150万元</w:t>
            </w:r>
          </w:p>
        </w:tc>
        <w:tc>
          <w:tcPr>
            <w:tcW w:w="2268" w:type="dxa"/>
            <w:vAlign w:val="center"/>
          </w:tcPr>
          <w:p>
            <w:pPr>
              <w:pStyle w:val="10"/>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rPr>
                <w:rFonts w:hint="eastAsia"/>
                <w:lang w:val="en-US" w:eastAsia="zh-CN"/>
              </w:rPr>
            </w:pPr>
            <w:r>
              <w:rPr>
                <w:rFonts w:hint="eastAsia"/>
                <w:lang w:val="en-US" w:eastAsia="zh-CN"/>
              </w:rPr>
              <w:t>集约节约土地利用，提高土地利用率</w:t>
            </w:r>
          </w:p>
        </w:tc>
        <w:tc>
          <w:tcPr>
            <w:tcW w:w="2835" w:type="dxa"/>
            <w:vAlign w:val="center"/>
          </w:tcPr>
          <w:p>
            <w:pPr>
              <w:pStyle w:val="10"/>
              <w:rPr>
                <w:rFonts w:hint="eastAsia"/>
                <w:lang w:val="en-US" w:eastAsia="zh-CN"/>
              </w:rPr>
            </w:pPr>
            <w:r>
              <w:rPr>
                <w:rFonts w:hint="eastAsia"/>
                <w:lang w:val="en-US" w:eastAsia="zh-CN"/>
              </w:rPr>
              <w:t>集约节约土地利用，提高土地利用率</w:t>
            </w:r>
          </w:p>
        </w:tc>
        <w:tc>
          <w:tcPr>
            <w:tcW w:w="2551" w:type="dxa"/>
            <w:vAlign w:val="center"/>
          </w:tcPr>
          <w:p>
            <w:pPr>
              <w:pStyle w:val="10"/>
              <w:rPr>
                <w:rFonts w:hint="eastAsia"/>
                <w:lang w:val="en-US" w:eastAsia="zh-CN"/>
              </w:rPr>
            </w:pPr>
            <w:r>
              <w:rPr>
                <w:rFonts w:hint="eastAsia"/>
                <w:lang w:val="en-US" w:eastAsia="zh-CN"/>
              </w:rPr>
              <w:t>优</w:t>
            </w:r>
          </w:p>
        </w:tc>
        <w:tc>
          <w:tcPr>
            <w:tcW w:w="2268" w:type="dxa"/>
            <w:vAlign w:val="center"/>
          </w:tcPr>
          <w:p>
            <w:pPr>
              <w:pStyle w:val="10"/>
              <w:rPr>
                <w:rFonts w:hint="eastAsia"/>
                <w:lang w:val="en-US" w:eastAsia="zh-CN"/>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rPr>
                <w:rFonts w:hint="eastAsia"/>
                <w:lang w:val="en-US" w:eastAsia="zh-CN"/>
              </w:rPr>
            </w:pPr>
            <w:r>
              <w:rPr>
                <w:rFonts w:hint="eastAsia"/>
                <w:lang w:val="en-US" w:eastAsia="zh-CN"/>
              </w:rPr>
              <w:t>健全国土空间开发保护制度，提升国土资源利用效率</w:t>
            </w:r>
          </w:p>
        </w:tc>
        <w:tc>
          <w:tcPr>
            <w:tcW w:w="2835" w:type="dxa"/>
            <w:vAlign w:val="center"/>
          </w:tcPr>
          <w:p>
            <w:pPr>
              <w:pStyle w:val="10"/>
              <w:rPr>
                <w:rFonts w:hint="eastAsia"/>
                <w:lang w:val="en-US" w:eastAsia="zh-CN"/>
              </w:rPr>
            </w:pPr>
            <w:r>
              <w:rPr>
                <w:rFonts w:hint="eastAsia"/>
                <w:lang w:val="en-US" w:eastAsia="zh-CN"/>
              </w:rPr>
              <w:t>健全国土空间开发保护制度，提升国土资源利用效率</w:t>
            </w:r>
          </w:p>
        </w:tc>
        <w:tc>
          <w:tcPr>
            <w:tcW w:w="2551" w:type="dxa"/>
            <w:vAlign w:val="center"/>
          </w:tcPr>
          <w:p>
            <w:pPr>
              <w:pStyle w:val="10"/>
              <w:rPr>
                <w:rFonts w:hint="eastAsia"/>
                <w:lang w:val="en-US" w:eastAsia="zh-CN"/>
              </w:rPr>
            </w:pPr>
            <w:r>
              <w:rPr>
                <w:rFonts w:hint="eastAsia"/>
                <w:lang w:val="en-US" w:eastAsia="zh-CN"/>
              </w:rPr>
              <w:t>优</w:t>
            </w:r>
          </w:p>
        </w:tc>
        <w:tc>
          <w:tcPr>
            <w:tcW w:w="2268" w:type="dxa"/>
            <w:vAlign w:val="center"/>
          </w:tcPr>
          <w:p>
            <w:pPr>
              <w:pStyle w:val="10"/>
              <w:rPr>
                <w:rFonts w:hint="eastAsia"/>
                <w:lang w:val="en-US" w:eastAsia="zh-CN"/>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rPr>
                <w:rFonts w:hint="eastAsia"/>
                <w:lang w:val="en-US" w:eastAsia="zh-CN"/>
              </w:rPr>
            </w:pPr>
            <w:r>
              <w:rPr>
                <w:rFonts w:hint="eastAsia"/>
                <w:lang w:val="en-US" w:eastAsia="zh-CN"/>
              </w:rPr>
              <w:t>公众满意，成果公示</w:t>
            </w:r>
          </w:p>
        </w:tc>
        <w:tc>
          <w:tcPr>
            <w:tcW w:w="2835" w:type="dxa"/>
            <w:vAlign w:val="center"/>
          </w:tcPr>
          <w:p>
            <w:pPr>
              <w:pStyle w:val="10"/>
              <w:rPr>
                <w:rFonts w:hint="eastAsia"/>
                <w:lang w:val="en-US" w:eastAsia="zh-CN"/>
              </w:rPr>
            </w:pPr>
            <w:r>
              <w:rPr>
                <w:rFonts w:hint="eastAsia"/>
                <w:lang w:val="en-US" w:eastAsia="zh-CN"/>
              </w:rPr>
              <w:t>公众满意度</w:t>
            </w:r>
          </w:p>
        </w:tc>
        <w:tc>
          <w:tcPr>
            <w:tcW w:w="2551" w:type="dxa"/>
            <w:vAlign w:val="center"/>
          </w:tcPr>
          <w:p>
            <w:pPr>
              <w:pStyle w:val="10"/>
              <w:rPr>
                <w:rFonts w:hint="eastAsia"/>
                <w:lang w:val="en-US" w:eastAsia="zh-CN"/>
              </w:rPr>
            </w:pPr>
            <w:r>
              <w:rPr>
                <w:rFonts w:hint="eastAsia"/>
                <w:lang w:val="en-US" w:eastAsia="zh-CN"/>
              </w:rPr>
              <w:t>≥80%</w:t>
            </w:r>
          </w:p>
        </w:tc>
        <w:tc>
          <w:tcPr>
            <w:tcW w:w="2268" w:type="dxa"/>
            <w:vAlign w:val="center"/>
          </w:tcPr>
          <w:p>
            <w:pPr>
              <w:pStyle w:val="10"/>
              <w:rPr>
                <w:rFonts w:hint="eastAsia"/>
                <w:lang w:val="en-US" w:eastAsia="zh-CN"/>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25、历史遗留矿山核查项目绩效目标表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1.查清历史遗留矿山现状</w:t>
            </w:r>
          </w:p>
          <w:p>
            <w:pPr>
              <w:pStyle w:val="10"/>
            </w:pPr>
            <w:r>
              <w:t>2.遥感图斑分类核定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图斑核查</w:t>
            </w:r>
          </w:p>
        </w:tc>
        <w:tc>
          <w:tcPr>
            <w:tcW w:w="2835" w:type="dxa"/>
            <w:vAlign w:val="center"/>
          </w:tcPr>
          <w:p>
            <w:pPr>
              <w:pStyle w:val="10"/>
            </w:pPr>
            <w:r>
              <w:t>实地核查数量</w:t>
            </w:r>
          </w:p>
        </w:tc>
        <w:tc>
          <w:tcPr>
            <w:tcW w:w="2551" w:type="dxa"/>
            <w:vAlign w:val="center"/>
          </w:tcPr>
          <w:p>
            <w:pPr>
              <w:pStyle w:val="10"/>
            </w:pPr>
            <w:r>
              <w:t>≥358处</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信息填报率</w:t>
            </w:r>
          </w:p>
        </w:tc>
        <w:tc>
          <w:tcPr>
            <w:tcW w:w="2835" w:type="dxa"/>
            <w:vAlign w:val="center"/>
          </w:tcPr>
          <w:p>
            <w:pPr>
              <w:pStyle w:val="10"/>
            </w:pPr>
            <w:r>
              <w:t>信息填报率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2835" w:type="dxa"/>
            <w:vAlign w:val="center"/>
          </w:tcPr>
          <w:p>
            <w:pPr>
              <w:pStyle w:val="10"/>
            </w:pPr>
            <w:r>
              <w:t>完成时间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历史遗留矿山核查平均费用</w:t>
            </w:r>
          </w:p>
        </w:tc>
        <w:tc>
          <w:tcPr>
            <w:tcW w:w="2835" w:type="dxa"/>
            <w:vAlign w:val="center"/>
          </w:tcPr>
          <w:p>
            <w:pPr>
              <w:pStyle w:val="10"/>
            </w:pPr>
            <w:r>
              <w:t>历史遗留矿山核查平均费用</w:t>
            </w:r>
          </w:p>
        </w:tc>
        <w:tc>
          <w:tcPr>
            <w:tcW w:w="2551" w:type="dxa"/>
            <w:vAlign w:val="center"/>
          </w:tcPr>
          <w:p>
            <w:pPr>
              <w:pStyle w:val="10"/>
            </w:pPr>
            <w:r>
              <w:t>≤0.05万元/处</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建立核查档案</w:t>
            </w:r>
          </w:p>
        </w:tc>
        <w:tc>
          <w:tcPr>
            <w:tcW w:w="2835" w:type="dxa"/>
            <w:vAlign w:val="center"/>
          </w:tcPr>
          <w:p>
            <w:pPr>
              <w:pStyle w:val="10"/>
            </w:pPr>
            <w:r>
              <w:t>建立核查档案表和成果数据库，形成核查工作报告</w:t>
            </w:r>
          </w:p>
        </w:tc>
        <w:tc>
          <w:tcPr>
            <w:tcW w:w="2551" w:type="dxa"/>
            <w:vAlign w:val="center"/>
          </w:tcPr>
          <w:p>
            <w:pPr>
              <w:pStyle w:val="10"/>
            </w:pPr>
            <w:r>
              <w:t>≥1个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26、批而未供三年行动建立转征、供应土地数据库项目绩效目标表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1.完成全市2009-2018年存量批而未供土地处置为确保此项工作顺利推进</w:t>
            </w:r>
          </w:p>
          <w:p>
            <w:pPr>
              <w:pStyle w:val="10"/>
            </w:pPr>
            <w:r>
              <w:t>2.用现代化手段加强征收、转用土地管理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批而未供三年行动建立转征、供应土地数据库成果个数</w:t>
            </w:r>
          </w:p>
        </w:tc>
        <w:tc>
          <w:tcPr>
            <w:tcW w:w="2835" w:type="dxa"/>
            <w:vAlign w:val="center"/>
          </w:tcPr>
          <w:p>
            <w:pPr>
              <w:pStyle w:val="10"/>
            </w:pPr>
            <w:r>
              <w:t>批而未供三年行动建立转征、供应土地数据库成果个数</w:t>
            </w:r>
          </w:p>
        </w:tc>
        <w:tc>
          <w:tcPr>
            <w:tcW w:w="2551" w:type="dxa"/>
            <w:vAlign w:val="center"/>
          </w:tcPr>
          <w:p>
            <w:pPr>
              <w:pStyle w:val="10"/>
            </w:pPr>
            <w:r>
              <w:t>≥1个</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数据库建设完成率</w:t>
            </w:r>
          </w:p>
        </w:tc>
        <w:tc>
          <w:tcPr>
            <w:tcW w:w="2835" w:type="dxa"/>
            <w:vAlign w:val="center"/>
          </w:tcPr>
          <w:p>
            <w:pPr>
              <w:pStyle w:val="10"/>
            </w:pPr>
            <w:r>
              <w:t>数据库建设完成率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合同约定的提交成功时间</w:t>
            </w:r>
          </w:p>
        </w:tc>
        <w:tc>
          <w:tcPr>
            <w:tcW w:w="2835" w:type="dxa"/>
            <w:vAlign w:val="center"/>
          </w:tcPr>
          <w:p>
            <w:pPr>
              <w:pStyle w:val="10"/>
            </w:pPr>
            <w:r>
              <w:t>合同约定的提交成功时间</w:t>
            </w:r>
          </w:p>
        </w:tc>
        <w:tc>
          <w:tcPr>
            <w:tcW w:w="2551" w:type="dxa"/>
            <w:vAlign w:val="center"/>
          </w:tcPr>
          <w:p>
            <w:pPr>
              <w:pStyle w:val="10"/>
            </w:pPr>
            <w:r>
              <w:t>2023年年底</w:t>
            </w:r>
          </w:p>
        </w:tc>
        <w:tc>
          <w:tcPr>
            <w:tcW w:w="2268" w:type="dxa"/>
            <w:vAlign w:val="center"/>
          </w:tcPr>
          <w:p>
            <w:pPr>
              <w:pStyle w:val="10"/>
            </w:pPr>
            <w:r>
              <w:t>文件约定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批而未供三年行动建立转征、供应土地数据库成本</w:t>
            </w:r>
          </w:p>
        </w:tc>
        <w:tc>
          <w:tcPr>
            <w:tcW w:w="2835" w:type="dxa"/>
            <w:vAlign w:val="center"/>
          </w:tcPr>
          <w:p>
            <w:pPr>
              <w:pStyle w:val="10"/>
            </w:pPr>
            <w:r>
              <w:t>批而未供三年行动建立转征、供应土地数据库成本</w:t>
            </w:r>
          </w:p>
        </w:tc>
        <w:tc>
          <w:tcPr>
            <w:tcW w:w="2551" w:type="dxa"/>
            <w:vAlign w:val="center"/>
          </w:tcPr>
          <w:p>
            <w:pPr>
              <w:pStyle w:val="10"/>
            </w:pPr>
            <w:r>
              <w:t>≤20万元</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耕地保护</w:t>
            </w:r>
          </w:p>
        </w:tc>
        <w:tc>
          <w:tcPr>
            <w:tcW w:w="2835" w:type="dxa"/>
            <w:vAlign w:val="center"/>
          </w:tcPr>
          <w:p>
            <w:pPr>
              <w:pStyle w:val="10"/>
            </w:pPr>
            <w:r>
              <w:t>耕地保护</w:t>
            </w:r>
          </w:p>
        </w:tc>
        <w:tc>
          <w:tcPr>
            <w:tcW w:w="2551" w:type="dxa"/>
            <w:vAlign w:val="center"/>
          </w:tcPr>
          <w:p>
            <w:pPr>
              <w:pStyle w:val="10"/>
            </w:pPr>
            <w:r>
              <w:t>良</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及时更新数据库数据</w:t>
            </w:r>
          </w:p>
        </w:tc>
        <w:tc>
          <w:tcPr>
            <w:tcW w:w="2835" w:type="dxa"/>
            <w:vAlign w:val="center"/>
          </w:tcPr>
          <w:p>
            <w:pPr>
              <w:pStyle w:val="10"/>
            </w:pPr>
            <w:r>
              <w:t>及时更新数据库数据</w:t>
            </w:r>
          </w:p>
        </w:tc>
        <w:tc>
          <w:tcPr>
            <w:tcW w:w="2551" w:type="dxa"/>
            <w:vAlign w:val="center"/>
          </w:tcPr>
          <w:p>
            <w:pPr>
              <w:pStyle w:val="10"/>
            </w:pPr>
            <w:r>
              <w:t>≤1年</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≥90%</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27、土地出让业务经费绩效目标表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w:t>
            </w:r>
            <w:r>
              <w:rPr>
                <w:rFonts w:hint="eastAsia"/>
              </w:rPr>
              <w:t>保证机关工作正常运转</w:t>
            </w:r>
          </w:p>
          <w:p>
            <w:pPr>
              <w:pStyle w:val="10"/>
              <w:rPr>
                <w:rFonts w:hint="eastAsia" w:eastAsia="方正书宋_GBK"/>
                <w:lang w:eastAsia="zh-CN"/>
              </w:rPr>
            </w:pPr>
            <w:r>
              <w:t>2.</w:t>
            </w:r>
            <w:r>
              <w:rPr>
                <w:rFonts w:hint="eastAsia"/>
                <w:lang w:val="en-US" w:eastAsia="zh-CN"/>
              </w:rPr>
              <w:t>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rPr>
                <w:rFonts w:hint="eastAsia"/>
                <w:lang w:val="en-US" w:eastAsia="zh-CN"/>
              </w:rPr>
            </w:pPr>
            <w:r>
              <w:rPr>
                <w:rFonts w:hint="eastAsia"/>
                <w:lang w:val="en-US" w:eastAsia="zh-CN"/>
              </w:rPr>
              <w:t>在职人员数量</w:t>
            </w:r>
          </w:p>
        </w:tc>
        <w:tc>
          <w:tcPr>
            <w:tcW w:w="2835" w:type="dxa"/>
            <w:vAlign w:val="center"/>
          </w:tcPr>
          <w:p>
            <w:pPr>
              <w:pStyle w:val="10"/>
              <w:rPr>
                <w:rFonts w:hint="eastAsia"/>
                <w:lang w:val="en-US" w:eastAsia="zh-CN"/>
              </w:rPr>
            </w:pPr>
            <w:r>
              <w:rPr>
                <w:rFonts w:hint="eastAsia"/>
                <w:lang w:val="en-US" w:eastAsia="zh-CN"/>
              </w:rPr>
              <w:t>在职在岗人员数量</w:t>
            </w:r>
          </w:p>
        </w:tc>
        <w:tc>
          <w:tcPr>
            <w:tcW w:w="2551" w:type="dxa"/>
            <w:vAlign w:val="center"/>
          </w:tcPr>
          <w:p>
            <w:pPr>
              <w:pStyle w:val="10"/>
              <w:rPr>
                <w:rFonts w:hint="eastAsia"/>
                <w:lang w:val="en-US" w:eastAsia="zh-CN"/>
              </w:rPr>
            </w:pPr>
            <w:r>
              <w:rPr>
                <w:rFonts w:hint="eastAsia"/>
                <w:lang w:val="en-US" w:eastAsia="zh-CN"/>
              </w:rPr>
              <w:t>≥148人</w:t>
            </w:r>
          </w:p>
        </w:tc>
        <w:tc>
          <w:tcPr>
            <w:tcW w:w="2268" w:type="dxa"/>
            <w:vAlign w:val="center"/>
          </w:tcPr>
          <w:p>
            <w:pPr>
              <w:pStyle w:val="10"/>
              <w:rPr>
                <w:rFonts w:hint="eastAsia"/>
                <w:lang w:val="en-US" w:eastAsia="zh-CN"/>
              </w:rPr>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rPr>
                <w:rFonts w:hint="eastAsia"/>
                <w:lang w:val="en-US" w:eastAsia="zh-CN"/>
              </w:rPr>
            </w:pPr>
            <w:r>
              <w:rPr>
                <w:rFonts w:hint="eastAsia"/>
                <w:lang w:val="en-US" w:eastAsia="zh-CN"/>
              </w:rPr>
              <w:t>局内工作开展效果</w:t>
            </w:r>
          </w:p>
        </w:tc>
        <w:tc>
          <w:tcPr>
            <w:tcW w:w="2835" w:type="dxa"/>
            <w:vAlign w:val="center"/>
          </w:tcPr>
          <w:p>
            <w:pPr>
              <w:pStyle w:val="10"/>
              <w:rPr>
                <w:rFonts w:hint="eastAsia"/>
                <w:lang w:val="en-US" w:eastAsia="zh-CN"/>
              </w:rPr>
            </w:pPr>
            <w:r>
              <w:rPr>
                <w:rFonts w:hint="eastAsia"/>
                <w:lang w:val="en-US" w:eastAsia="zh-CN"/>
              </w:rPr>
              <w:t>局内工作开展效果</w:t>
            </w:r>
          </w:p>
        </w:tc>
        <w:tc>
          <w:tcPr>
            <w:tcW w:w="2551" w:type="dxa"/>
            <w:vAlign w:val="center"/>
          </w:tcPr>
          <w:p>
            <w:pPr>
              <w:pStyle w:val="10"/>
              <w:rPr>
                <w:rFonts w:hint="eastAsia"/>
                <w:lang w:val="en-US" w:eastAsia="zh-CN"/>
              </w:rPr>
            </w:pPr>
            <w:r>
              <w:rPr>
                <w:rFonts w:hint="eastAsia"/>
                <w:lang w:val="en-US" w:eastAsia="zh-CN"/>
              </w:rPr>
              <w:t>优</w:t>
            </w:r>
          </w:p>
        </w:tc>
        <w:tc>
          <w:tcPr>
            <w:tcW w:w="2268" w:type="dxa"/>
            <w:vAlign w:val="center"/>
          </w:tcPr>
          <w:p>
            <w:pPr>
              <w:pStyle w:val="10"/>
              <w:rPr>
                <w:rFonts w:hint="eastAsia"/>
                <w:lang w:val="en-US" w:eastAsia="zh-CN"/>
              </w:rPr>
            </w:pPr>
            <w:r>
              <w:rPr>
                <w:rFonts w:hint="eastAsia"/>
                <w:lang w:val="en-US" w:eastAsia="zh-C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rPr>
                <w:rFonts w:hint="eastAsia"/>
                <w:lang w:val="en-US" w:eastAsia="zh-CN"/>
              </w:rPr>
            </w:pPr>
            <w:r>
              <w:rPr>
                <w:rFonts w:hint="eastAsia"/>
                <w:lang w:val="en-US" w:eastAsia="zh-CN"/>
              </w:rPr>
              <w:t>工作完成率</w:t>
            </w:r>
          </w:p>
        </w:tc>
        <w:tc>
          <w:tcPr>
            <w:tcW w:w="2835" w:type="dxa"/>
            <w:vAlign w:val="center"/>
          </w:tcPr>
          <w:p>
            <w:pPr>
              <w:pStyle w:val="10"/>
              <w:rPr>
                <w:rFonts w:hint="eastAsia"/>
                <w:lang w:val="en-US" w:eastAsia="zh-CN"/>
              </w:rPr>
            </w:pPr>
            <w:r>
              <w:rPr>
                <w:rFonts w:hint="eastAsia"/>
                <w:lang w:val="en-US" w:eastAsia="zh-CN"/>
              </w:rPr>
              <w:t>工作完成率</w:t>
            </w:r>
          </w:p>
        </w:tc>
        <w:tc>
          <w:tcPr>
            <w:tcW w:w="2551" w:type="dxa"/>
            <w:vAlign w:val="center"/>
          </w:tcPr>
          <w:p>
            <w:pPr>
              <w:pStyle w:val="10"/>
              <w:rPr>
                <w:rFonts w:hint="eastAsia"/>
                <w:lang w:val="en-US" w:eastAsia="zh-CN"/>
              </w:rPr>
            </w:pPr>
            <w:r>
              <w:rPr>
                <w:rFonts w:hint="eastAsia"/>
                <w:lang w:val="en-US" w:eastAsia="zh-CN"/>
              </w:rPr>
              <w:t>≥95%</w:t>
            </w:r>
          </w:p>
        </w:tc>
        <w:tc>
          <w:tcPr>
            <w:tcW w:w="2268" w:type="dxa"/>
            <w:vAlign w:val="center"/>
          </w:tcPr>
          <w:p>
            <w:pPr>
              <w:pStyle w:val="10"/>
              <w:rPr>
                <w:rFonts w:hint="eastAsia"/>
                <w:lang w:val="en-US" w:eastAsia="zh-CN"/>
              </w:rPr>
            </w:pPr>
            <w:r>
              <w:rPr>
                <w:rFonts w:hint="eastAsia"/>
                <w:lang w:val="en-US" w:eastAsia="zh-C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rPr>
                <w:rFonts w:hint="eastAsia"/>
                <w:lang w:val="en-US" w:eastAsia="zh-CN"/>
              </w:rPr>
            </w:pPr>
            <w:r>
              <w:rPr>
                <w:rFonts w:hint="eastAsia"/>
                <w:lang w:val="en-US" w:eastAsia="zh-CN"/>
              </w:rPr>
              <w:t>电脑采集成本</w:t>
            </w:r>
          </w:p>
        </w:tc>
        <w:tc>
          <w:tcPr>
            <w:tcW w:w="2835" w:type="dxa"/>
            <w:vAlign w:val="center"/>
          </w:tcPr>
          <w:p>
            <w:pPr>
              <w:pStyle w:val="10"/>
              <w:rPr>
                <w:rFonts w:hint="eastAsia"/>
                <w:lang w:val="en-US" w:eastAsia="zh-CN"/>
              </w:rPr>
            </w:pPr>
            <w:r>
              <w:rPr>
                <w:rFonts w:hint="eastAsia"/>
                <w:lang w:val="en-US" w:eastAsia="zh-CN"/>
              </w:rPr>
              <w:t>电脑采集成本</w:t>
            </w:r>
          </w:p>
        </w:tc>
        <w:tc>
          <w:tcPr>
            <w:tcW w:w="2551" w:type="dxa"/>
            <w:vAlign w:val="center"/>
          </w:tcPr>
          <w:p>
            <w:pPr>
              <w:pStyle w:val="10"/>
              <w:rPr>
                <w:rFonts w:hint="eastAsia"/>
                <w:lang w:val="en-US" w:eastAsia="zh-CN"/>
              </w:rPr>
            </w:pPr>
            <w:r>
              <w:rPr>
                <w:rFonts w:hint="eastAsia"/>
                <w:lang w:val="en-US" w:eastAsia="zh-CN"/>
              </w:rPr>
              <w:t>≤4500元/台</w:t>
            </w:r>
          </w:p>
        </w:tc>
        <w:tc>
          <w:tcPr>
            <w:tcW w:w="2268" w:type="dxa"/>
            <w:vAlign w:val="center"/>
          </w:tcPr>
          <w:p>
            <w:pPr>
              <w:pStyle w:val="10"/>
              <w:rPr>
                <w:rFonts w:hint="eastAsia"/>
                <w:lang w:val="en-US" w:eastAsia="zh-CN"/>
              </w:rPr>
            </w:pPr>
            <w:r>
              <w:rPr>
                <w:rFonts w:hint="eastAsia"/>
                <w:lang w:val="en-US" w:eastAsia="zh-CN"/>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高</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rPr>
                <w:rFonts w:hint="eastAsia"/>
                <w:lang w:val="en-US" w:eastAsia="zh-CN"/>
              </w:rPr>
            </w:pPr>
            <w:r>
              <w:rPr>
                <w:rFonts w:hint="eastAsia"/>
                <w:lang w:val="en-US" w:eastAsia="zh-CN"/>
              </w:rPr>
              <w:t>保证局内工作顺利开展</w:t>
            </w:r>
          </w:p>
        </w:tc>
        <w:tc>
          <w:tcPr>
            <w:tcW w:w="2835" w:type="dxa"/>
            <w:vAlign w:val="center"/>
          </w:tcPr>
          <w:p>
            <w:pPr>
              <w:pStyle w:val="10"/>
              <w:rPr>
                <w:rFonts w:hint="eastAsia"/>
                <w:lang w:val="en-US" w:eastAsia="zh-CN"/>
              </w:rPr>
            </w:pPr>
            <w:r>
              <w:rPr>
                <w:rFonts w:hint="eastAsia"/>
                <w:lang w:val="en-US" w:eastAsia="zh-CN"/>
              </w:rPr>
              <w:t>保证局内工作顺利开展</w:t>
            </w:r>
          </w:p>
        </w:tc>
        <w:tc>
          <w:tcPr>
            <w:tcW w:w="2551" w:type="dxa"/>
            <w:vAlign w:val="center"/>
          </w:tcPr>
          <w:p>
            <w:pPr>
              <w:pStyle w:val="10"/>
              <w:rPr>
                <w:rFonts w:hint="eastAsia"/>
                <w:lang w:val="en-US" w:eastAsia="zh-CN"/>
              </w:rPr>
            </w:pPr>
            <w:r>
              <w:rPr>
                <w:rFonts w:hint="eastAsia"/>
                <w:lang w:val="en-US" w:eastAsia="zh-CN"/>
              </w:rPr>
              <w:t>2023年年底</w:t>
            </w:r>
          </w:p>
        </w:tc>
        <w:tc>
          <w:tcPr>
            <w:tcW w:w="2268" w:type="dxa"/>
            <w:vAlign w:val="center"/>
          </w:tcPr>
          <w:p>
            <w:pPr>
              <w:pStyle w:val="10"/>
              <w:rPr>
                <w:rFonts w:hint="eastAsia"/>
                <w:lang w:val="en-US" w:eastAsia="zh-CN"/>
              </w:rPr>
            </w:pPr>
            <w:r>
              <w:rPr>
                <w:rFonts w:hint="eastAsia"/>
                <w:lang w:val="en-US" w:eastAsia="zh-CN"/>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rPr>
                <w:rFonts w:hint="eastAsia"/>
                <w:lang w:val="en-US" w:eastAsia="zh-CN"/>
              </w:rPr>
            </w:pPr>
            <w:r>
              <w:rPr>
                <w:rFonts w:hint="eastAsia"/>
                <w:lang w:val="en-US" w:eastAsia="zh-CN"/>
              </w:rPr>
              <w:t>群众满意度</w:t>
            </w:r>
          </w:p>
        </w:tc>
        <w:tc>
          <w:tcPr>
            <w:tcW w:w="2835" w:type="dxa"/>
            <w:vAlign w:val="center"/>
          </w:tcPr>
          <w:p>
            <w:pPr>
              <w:pStyle w:val="10"/>
              <w:rPr>
                <w:rFonts w:hint="eastAsia"/>
                <w:lang w:val="en-US" w:eastAsia="zh-CN"/>
              </w:rPr>
            </w:pPr>
            <w:r>
              <w:rPr>
                <w:rFonts w:hint="eastAsia"/>
                <w:lang w:val="en-US" w:eastAsia="zh-CN"/>
              </w:rPr>
              <w:t>群众满意度</w:t>
            </w:r>
          </w:p>
        </w:tc>
        <w:tc>
          <w:tcPr>
            <w:tcW w:w="2551" w:type="dxa"/>
            <w:vAlign w:val="center"/>
          </w:tcPr>
          <w:p>
            <w:pPr>
              <w:pStyle w:val="10"/>
              <w:rPr>
                <w:rFonts w:hint="eastAsia"/>
                <w:lang w:val="en-US" w:eastAsia="zh-CN"/>
              </w:rPr>
            </w:pPr>
            <w:r>
              <w:rPr>
                <w:rFonts w:hint="eastAsia"/>
                <w:lang w:val="en-US" w:eastAsia="zh-CN"/>
              </w:rPr>
              <w:t>≥95%</w:t>
            </w:r>
          </w:p>
        </w:tc>
        <w:tc>
          <w:tcPr>
            <w:tcW w:w="2268" w:type="dxa"/>
            <w:vAlign w:val="center"/>
          </w:tcPr>
          <w:p>
            <w:pPr>
              <w:pStyle w:val="10"/>
              <w:rPr>
                <w:rFonts w:hint="eastAsia"/>
                <w:lang w:val="en-US" w:eastAsia="zh-CN"/>
              </w:rPr>
            </w:pPr>
            <w:r>
              <w:rPr>
                <w:rFonts w:hint="eastAsia"/>
                <w:lang w:val="en-US" w:eastAsia="zh-CN"/>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28、土地征收成片开发方案编制工作绩效目标表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1.为顺利完成征地报批工作。</w:t>
            </w:r>
          </w:p>
          <w:p>
            <w:pPr>
              <w:pStyle w:val="10"/>
            </w:pPr>
            <w:r>
              <w:t>2.保障项目用地需求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现有拟征收地块数</w:t>
            </w:r>
          </w:p>
        </w:tc>
        <w:tc>
          <w:tcPr>
            <w:tcW w:w="2835" w:type="dxa"/>
            <w:vAlign w:val="center"/>
          </w:tcPr>
          <w:p>
            <w:pPr>
              <w:pStyle w:val="10"/>
            </w:pPr>
            <w:r>
              <w:t>现有拟征收地块数</w:t>
            </w:r>
          </w:p>
        </w:tc>
        <w:tc>
          <w:tcPr>
            <w:tcW w:w="2551" w:type="dxa"/>
            <w:vAlign w:val="center"/>
          </w:tcPr>
          <w:p>
            <w:pPr>
              <w:pStyle w:val="10"/>
            </w:pPr>
            <w:r>
              <w:t>≥27批次</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专家评审通过率</w:t>
            </w:r>
          </w:p>
        </w:tc>
        <w:tc>
          <w:tcPr>
            <w:tcW w:w="2835" w:type="dxa"/>
            <w:vAlign w:val="center"/>
          </w:tcPr>
          <w:p>
            <w:pPr>
              <w:pStyle w:val="10"/>
            </w:pPr>
            <w:r>
              <w:t>专家评审通过率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土地征收成片开发方案</w:t>
            </w:r>
          </w:p>
        </w:tc>
        <w:tc>
          <w:tcPr>
            <w:tcW w:w="2835" w:type="dxa"/>
            <w:vAlign w:val="center"/>
          </w:tcPr>
          <w:p>
            <w:pPr>
              <w:pStyle w:val="10"/>
            </w:pPr>
            <w:r>
              <w:t>土地征收成片开发方案</w:t>
            </w:r>
          </w:p>
        </w:tc>
        <w:tc>
          <w:tcPr>
            <w:tcW w:w="2551" w:type="dxa"/>
            <w:vAlign w:val="center"/>
          </w:tcPr>
          <w:p>
            <w:pPr>
              <w:pStyle w:val="10"/>
            </w:pPr>
            <w:r>
              <w:t>≤1.11万元/批次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29、土地征收风险评估编制工作绩效目标表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1.为规范土地征收社会稳定风险评估工作，切实从源头上预防和减少土地征收矛盾隐患</w:t>
            </w:r>
          </w:p>
          <w:p>
            <w:pPr>
              <w:pStyle w:val="10"/>
            </w:pPr>
            <w:r>
              <w:t>2.为顺利完成征地报批工作，保障项目用地需求。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现有拟征收批次数</w:t>
            </w:r>
          </w:p>
        </w:tc>
        <w:tc>
          <w:tcPr>
            <w:tcW w:w="2835" w:type="dxa"/>
            <w:vAlign w:val="center"/>
          </w:tcPr>
          <w:p>
            <w:pPr>
              <w:pStyle w:val="10"/>
            </w:pPr>
            <w:r>
              <w:t>现有拟征收批次数</w:t>
            </w:r>
          </w:p>
        </w:tc>
        <w:tc>
          <w:tcPr>
            <w:tcW w:w="2551" w:type="dxa"/>
            <w:vAlign w:val="center"/>
          </w:tcPr>
          <w:p>
            <w:pPr>
              <w:pStyle w:val="10"/>
            </w:pPr>
            <w:r>
              <w:t>≥32批次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专家评审通过率</w:t>
            </w:r>
          </w:p>
        </w:tc>
        <w:tc>
          <w:tcPr>
            <w:tcW w:w="2835" w:type="dxa"/>
            <w:vAlign w:val="center"/>
          </w:tcPr>
          <w:p>
            <w:pPr>
              <w:pStyle w:val="10"/>
            </w:pPr>
            <w:r>
              <w:t>专家评审通过率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合同约定的提交成果时间</w:t>
            </w:r>
          </w:p>
        </w:tc>
        <w:tc>
          <w:tcPr>
            <w:tcW w:w="2835" w:type="dxa"/>
            <w:vAlign w:val="center"/>
          </w:tcPr>
          <w:p>
            <w:pPr>
              <w:pStyle w:val="10"/>
            </w:pPr>
            <w:r>
              <w:t>合同约定的提交成果时间</w:t>
            </w:r>
          </w:p>
        </w:tc>
        <w:tc>
          <w:tcPr>
            <w:tcW w:w="2551" w:type="dxa"/>
            <w:vAlign w:val="center"/>
          </w:tcPr>
          <w:p>
            <w:pPr>
              <w:pStyle w:val="10"/>
            </w:pPr>
            <w:r>
              <w:t>2023年年底</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土地征收社会稳定风险评估平均成本</w:t>
            </w:r>
          </w:p>
        </w:tc>
        <w:tc>
          <w:tcPr>
            <w:tcW w:w="2835" w:type="dxa"/>
            <w:vAlign w:val="center"/>
          </w:tcPr>
          <w:p>
            <w:pPr>
              <w:pStyle w:val="10"/>
            </w:pPr>
            <w:r>
              <w:t>土地征收社会稳定风险评估平均成本</w:t>
            </w:r>
          </w:p>
        </w:tc>
        <w:tc>
          <w:tcPr>
            <w:tcW w:w="2551" w:type="dxa"/>
            <w:vAlign w:val="center"/>
          </w:tcPr>
          <w:p>
            <w:pPr>
              <w:pStyle w:val="10"/>
            </w:pPr>
            <w:r>
              <w:t>≤2.57万元/批次</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生态系统健康和谐发展</w:t>
            </w:r>
          </w:p>
        </w:tc>
        <w:tc>
          <w:tcPr>
            <w:tcW w:w="2835" w:type="dxa"/>
            <w:vAlign w:val="center"/>
          </w:tcPr>
          <w:p>
            <w:pPr>
              <w:pStyle w:val="10"/>
            </w:pPr>
            <w:r>
              <w:t>生态系统健康和谐发展</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≥85%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30、土壤污染状况调查费绩效目标表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1.土壤污染状况调查服务费</w:t>
            </w:r>
          </w:p>
          <w:p>
            <w:pPr>
              <w:pStyle w:val="10"/>
            </w:pPr>
            <w:r>
              <w:t>2.加强城市化建设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委托业务数量</w:t>
            </w:r>
          </w:p>
        </w:tc>
        <w:tc>
          <w:tcPr>
            <w:tcW w:w="2835" w:type="dxa"/>
            <w:vAlign w:val="center"/>
          </w:tcPr>
          <w:p>
            <w:pPr>
              <w:pStyle w:val="10"/>
            </w:pPr>
            <w:r>
              <w:t>委托评估土地使用权出让的宗地数量</w:t>
            </w:r>
          </w:p>
        </w:tc>
        <w:tc>
          <w:tcPr>
            <w:tcW w:w="2551" w:type="dxa"/>
            <w:vAlign w:val="center"/>
          </w:tcPr>
          <w:p>
            <w:pPr>
              <w:pStyle w:val="10"/>
            </w:pPr>
            <w:r>
              <w:t>≥1宗</w:t>
            </w:r>
          </w:p>
        </w:tc>
        <w:tc>
          <w:tcPr>
            <w:tcW w:w="2268" w:type="dxa"/>
            <w:vAlign w:val="center"/>
          </w:tcPr>
          <w:p>
            <w:pPr>
              <w:pStyle w:val="10"/>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规范土地储备管理</w:t>
            </w:r>
          </w:p>
        </w:tc>
        <w:tc>
          <w:tcPr>
            <w:tcW w:w="2835" w:type="dxa"/>
            <w:vAlign w:val="center"/>
          </w:tcPr>
          <w:p>
            <w:pPr>
              <w:pStyle w:val="10"/>
            </w:pPr>
            <w:r>
              <w:t>土地资源的高效配置占规定土地资源比例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拨付时间</w:t>
            </w:r>
          </w:p>
        </w:tc>
        <w:tc>
          <w:tcPr>
            <w:tcW w:w="2835" w:type="dxa"/>
            <w:vAlign w:val="center"/>
          </w:tcPr>
          <w:p>
            <w:pPr>
              <w:pStyle w:val="10"/>
            </w:pPr>
            <w:r>
              <w:t>拨付时间</w:t>
            </w:r>
          </w:p>
        </w:tc>
        <w:tc>
          <w:tcPr>
            <w:tcW w:w="2551" w:type="dxa"/>
            <w:vAlign w:val="center"/>
          </w:tcPr>
          <w:p>
            <w:pPr>
              <w:pStyle w:val="10"/>
            </w:pPr>
            <w:r>
              <w:t>2023年6月30日前</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原华新纺织厂规划网格地块334272.81平方米（501亩）</w:t>
            </w:r>
          </w:p>
        </w:tc>
        <w:tc>
          <w:tcPr>
            <w:tcW w:w="2551" w:type="dxa"/>
            <w:vAlign w:val="center"/>
          </w:tcPr>
          <w:p>
            <w:pPr>
              <w:pStyle w:val="10"/>
            </w:pPr>
            <w:r>
              <w:t>≤29.9万元/宗</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土地利用率</w:t>
            </w:r>
          </w:p>
        </w:tc>
        <w:tc>
          <w:tcPr>
            <w:tcW w:w="2835" w:type="dxa"/>
            <w:vAlign w:val="center"/>
          </w:tcPr>
          <w:p>
            <w:pPr>
              <w:pStyle w:val="10"/>
            </w:pPr>
            <w:r>
              <w:t>土地利用率</w:t>
            </w:r>
          </w:p>
        </w:tc>
        <w:tc>
          <w:tcPr>
            <w:tcW w:w="2551" w:type="dxa"/>
            <w:vAlign w:val="center"/>
          </w:tcPr>
          <w:p>
            <w:pPr>
              <w:pStyle w:val="10"/>
            </w:pPr>
            <w:r>
              <w:t>≥80%</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经济增长率</w:t>
            </w:r>
          </w:p>
        </w:tc>
        <w:tc>
          <w:tcPr>
            <w:tcW w:w="2835" w:type="dxa"/>
            <w:vAlign w:val="center"/>
          </w:tcPr>
          <w:p>
            <w:pPr>
              <w:pStyle w:val="10"/>
            </w:pPr>
            <w:r>
              <w:t>经济可持续增长率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31、委托业务费绩效目标表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1.评估出让土地使用权出让价值</w:t>
            </w:r>
          </w:p>
          <w:p>
            <w:pPr>
              <w:pStyle w:val="10"/>
            </w:pPr>
            <w:r>
              <w:t>2.为确定土地出让底价提供参考依据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委托业务数量</w:t>
            </w:r>
          </w:p>
        </w:tc>
        <w:tc>
          <w:tcPr>
            <w:tcW w:w="2835" w:type="dxa"/>
            <w:vAlign w:val="center"/>
          </w:tcPr>
          <w:p>
            <w:pPr>
              <w:pStyle w:val="10"/>
            </w:pPr>
            <w:r>
              <w:t>委托评估土地使用权出让的宗地数量</w:t>
            </w:r>
          </w:p>
        </w:tc>
        <w:tc>
          <w:tcPr>
            <w:tcW w:w="2551" w:type="dxa"/>
            <w:vAlign w:val="center"/>
          </w:tcPr>
          <w:p>
            <w:pPr>
              <w:pStyle w:val="10"/>
            </w:pPr>
            <w:r>
              <w:t>≥15宗</w:t>
            </w:r>
          </w:p>
        </w:tc>
        <w:tc>
          <w:tcPr>
            <w:tcW w:w="2268" w:type="dxa"/>
            <w:vAlign w:val="center"/>
          </w:tcPr>
          <w:p>
            <w:pPr>
              <w:pStyle w:val="10"/>
            </w:pPr>
            <w:r>
              <w:t>评估标准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规范土地储备管理</w:t>
            </w:r>
          </w:p>
        </w:tc>
        <w:tc>
          <w:tcPr>
            <w:tcW w:w="2835" w:type="dxa"/>
            <w:vAlign w:val="center"/>
          </w:tcPr>
          <w:p>
            <w:pPr>
              <w:pStyle w:val="10"/>
            </w:pPr>
            <w:r>
              <w:t>土地资源的高效配置占规定土地资源比例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拨付时间</w:t>
            </w:r>
          </w:p>
        </w:tc>
        <w:tc>
          <w:tcPr>
            <w:tcW w:w="2835" w:type="dxa"/>
            <w:vAlign w:val="center"/>
          </w:tcPr>
          <w:p>
            <w:pPr>
              <w:pStyle w:val="10"/>
            </w:pPr>
            <w:r>
              <w:t>拨付时间</w:t>
            </w:r>
          </w:p>
        </w:tc>
        <w:tc>
          <w:tcPr>
            <w:tcW w:w="2551" w:type="dxa"/>
            <w:vAlign w:val="center"/>
          </w:tcPr>
          <w:p>
            <w:pPr>
              <w:pStyle w:val="10"/>
            </w:pPr>
            <w:r>
              <w:t>2023年年底</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监察聘请专家耕地破坏鉴定成本</w:t>
            </w:r>
          </w:p>
        </w:tc>
        <w:tc>
          <w:tcPr>
            <w:tcW w:w="2835" w:type="dxa"/>
            <w:vAlign w:val="center"/>
          </w:tcPr>
          <w:p>
            <w:pPr>
              <w:pStyle w:val="10"/>
            </w:pPr>
            <w:r>
              <w:t>监察聘请专家耕地破坏鉴定成本</w:t>
            </w:r>
          </w:p>
        </w:tc>
        <w:tc>
          <w:tcPr>
            <w:tcW w:w="2551" w:type="dxa"/>
            <w:vAlign w:val="center"/>
          </w:tcPr>
          <w:p>
            <w:pPr>
              <w:pStyle w:val="10"/>
            </w:pPr>
            <w:r>
              <w:t>≤40万元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土地利用率</w:t>
            </w:r>
          </w:p>
        </w:tc>
        <w:tc>
          <w:tcPr>
            <w:tcW w:w="2835" w:type="dxa"/>
            <w:vAlign w:val="center"/>
          </w:tcPr>
          <w:p>
            <w:pPr>
              <w:pStyle w:val="10"/>
            </w:pPr>
            <w:r>
              <w:t>土地利用率</w:t>
            </w:r>
          </w:p>
        </w:tc>
        <w:tc>
          <w:tcPr>
            <w:tcW w:w="2551" w:type="dxa"/>
            <w:vAlign w:val="center"/>
          </w:tcPr>
          <w:p>
            <w:pPr>
              <w:pStyle w:val="10"/>
            </w:pPr>
            <w:r>
              <w:t>高</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经济可持续增长率</w:t>
            </w:r>
          </w:p>
        </w:tc>
        <w:tc>
          <w:tcPr>
            <w:tcW w:w="2835" w:type="dxa"/>
            <w:vAlign w:val="center"/>
          </w:tcPr>
          <w:p>
            <w:pPr>
              <w:pStyle w:val="10"/>
            </w:pPr>
            <w:r>
              <w:t>经济可持续增长率</w:t>
            </w:r>
          </w:p>
        </w:tc>
        <w:tc>
          <w:tcPr>
            <w:tcW w:w="2551" w:type="dxa"/>
            <w:vAlign w:val="center"/>
          </w:tcPr>
          <w:p>
            <w:pPr>
              <w:pStyle w:val="10"/>
            </w:pPr>
            <w:r>
              <w:t>≥95%</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公众满意度</w:t>
            </w:r>
          </w:p>
        </w:tc>
        <w:tc>
          <w:tcPr>
            <w:tcW w:w="2835" w:type="dxa"/>
            <w:vAlign w:val="center"/>
          </w:tcPr>
          <w:p>
            <w:pPr>
              <w:pStyle w:val="10"/>
            </w:pPr>
            <w:r>
              <w:t>公众满意度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32、自然资源统一确权登记（沙流河）绩效目标表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1.地籍调查、测绘、数据汇交</w:t>
            </w:r>
          </w:p>
          <w:p>
            <w:pPr>
              <w:pStyle w:val="10"/>
            </w:pPr>
            <w:r>
              <w:t>2.协助登记发证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确权登记数量</w:t>
            </w:r>
          </w:p>
        </w:tc>
        <w:tc>
          <w:tcPr>
            <w:tcW w:w="2835" w:type="dxa"/>
            <w:vAlign w:val="center"/>
          </w:tcPr>
          <w:p>
            <w:pPr>
              <w:pStyle w:val="10"/>
            </w:pPr>
            <w:r>
              <w:t>确权登记数量</w:t>
            </w:r>
          </w:p>
        </w:tc>
        <w:tc>
          <w:tcPr>
            <w:tcW w:w="2551" w:type="dxa"/>
            <w:vAlign w:val="center"/>
          </w:tcPr>
          <w:p>
            <w:pPr>
              <w:pStyle w:val="10"/>
            </w:pPr>
            <w:r>
              <w:t>≥1个</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确权登记完成率</w:t>
            </w:r>
          </w:p>
        </w:tc>
        <w:tc>
          <w:tcPr>
            <w:tcW w:w="2835" w:type="dxa"/>
            <w:vAlign w:val="center"/>
          </w:tcPr>
          <w:p>
            <w:pPr>
              <w:pStyle w:val="10"/>
            </w:pPr>
            <w:r>
              <w:t>确权登记完成率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发证完成时间</w:t>
            </w:r>
          </w:p>
        </w:tc>
        <w:tc>
          <w:tcPr>
            <w:tcW w:w="2835" w:type="dxa"/>
            <w:vAlign w:val="center"/>
          </w:tcPr>
          <w:p>
            <w:pPr>
              <w:pStyle w:val="10"/>
            </w:pPr>
            <w:r>
              <w:t>发证完成时间</w:t>
            </w:r>
          </w:p>
        </w:tc>
        <w:tc>
          <w:tcPr>
            <w:tcW w:w="2551" w:type="dxa"/>
            <w:vAlign w:val="center"/>
          </w:tcPr>
          <w:p>
            <w:pPr>
              <w:pStyle w:val="10"/>
            </w:pPr>
            <w:r>
              <w:t>2023年年底</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确权登记费用</w:t>
            </w:r>
          </w:p>
        </w:tc>
        <w:tc>
          <w:tcPr>
            <w:tcW w:w="2835" w:type="dxa"/>
            <w:vAlign w:val="center"/>
          </w:tcPr>
          <w:p>
            <w:pPr>
              <w:pStyle w:val="10"/>
            </w:pPr>
            <w:r>
              <w:t>确权登记费用</w:t>
            </w:r>
          </w:p>
        </w:tc>
        <w:tc>
          <w:tcPr>
            <w:tcW w:w="2551" w:type="dxa"/>
            <w:vAlign w:val="center"/>
          </w:tcPr>
          <w:p>
            <w:pPr>
              <w:pStyle w:val="10"/>
            </w:pPr>
            <w:r>
              <w:t>≤25万元/个</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提高自然资源利用率</w:t>
            </w:r>
          </w:p>
        </w:tc>
        <w:tc>
          <w:tcPr>
            <w:tcW w:w="2835" w:type="dxa"/>
            <w:vAlign w:val="center"/>
          </w:tcPr>
          <w:p>
            <w:pPr>
              <w:pStyle w:val="10"/>
            </w:pPr>
            <w:r>
              <w:t>提高自然资源利用率</w:t>
            </w:r>
          </w:p>
        </w:tc>
        <w:tc>
          <w:tcPr>
            <w:tcW w:w="2551" w:type="dxa"/>
            <w:vAlign w:val="center"/>
          </w:tcPr>
          <w:p>
            <w:pPr>
              <w:pStyle w:val="10"/>
            </w:pPr>
            <w:r>
              <w:t>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创新工作完成率</w:t>
            </w:r>
          </w:p>
        </w:tc>
        <w:tc>
          <w:tcPr>
            <w:tcW w:w="2835" w:type="dxa"/>
            <w:vAlign w:val="center"/>
          </w:tcPr>
          <w:p>
            <w:pPr>
              <w:pStyle w:val="10"/>
            </w:pPr>
            <w:r>
              <w:t>创新工作完成率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2023年，唐山市自然资源和规划局丰润区分局本级安排政府采购预算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334001唐山市自然资源和规划局丰润区分局本级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唐山市自然资源和规划局丰润区分局本级上年末固定资产金额为</w:t>
      </w:r>
      <w:r>
        <w:rPr>
          <w:rFonts w:hint="eastAsia" w:eastAsia="方正仿宋_GBK"/>
          <w:color w:val="000000"/>
          <w:sz w:val="28"/>
          <w:lang w:val="en-US" w:eastAsia="zh-CN"/>
        </w:rPr>
        <w:t>1496.58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334唐山市自然资源和规划局丰润区分局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tabs>
                <w:tab w:val="left" w:pos="2410"/>
              </w:tabs>
              <w:rPr>
                <w:rFonts w:hint="eastAsia" w:eastAsia="方正书宋_GBK"/>
                <w:lang w:eastAsia="zh-CN"/>
              </w:rPr>
            </w:pPr>
            <w:r>
              <w:rPr>
                <w:rFonts w:hint="eastAsia"/>
                <w:lang w:eastAsia="zh-CN"/>
              </w:rPr>
              <w:tab/>
            </w:r>
            <w:r>
              <w:rPr>
                <w:rFonts w:hint="eastAsia"/>
                <w:lang w:eastAsia="zh-CN"/>
              </w:rPr>
              <w:t>土地、房屋及构筑物</w:t>
            </w:r>
          </w:p>
        </w:tc>
        <w:tc>
          <w:tcPr>
            <w:tcW w:w="2835" w:type="dxa"/>
            <w:vAlign w:val="center"/>
          </w:tcPr>
          <w:p>
            <w:pPr>
              <w:pStyle w:val="11"/>
            </w:pPr>
          </w:p>
        </w:tc>
        <w:tc>
          <w:tcPr>
            <w:tcW w:w="2835" w:type="dxa"/>
            <w:vAlign w:val="center"/>
          </w:tcPr>
          <w:p>
            <w:pPr>
              <w:pStyle w:val="9"/>
              <w:jc w:val="center"/>
              <w:rPr>
                <w:rFonts w:hint="default" w:eastAsia="方正书宋_GBK"/>
                <w:lang w:val="en-US" w:eastAsia="zh-CN"/>
              </w:rPr>
            </w:pPr>
            <w:r>
              <w:rPr>
                <w:rFonts w:hint="eastAsia"/>
                <w:lang w:val="en-US" w:eastAsia="zh-CN"/>
              </w:rPr>
              <w:t>646.19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eastAsia" w:eastAsia="方正书宋_GBK"/>
                <w:lang w:eastAsia="zh-CN"/>
              </w:rPr>
            </w:pPr>
            <w:r>
              <w:rPr>
                <w:rFonts w:hint="eastAsia"/>
                <w:lang w:eastAsia="zh-CN"/>
              </w:rPr>
              <w:t>通用设备</w:t>
            </w:r>
          </w:p>
        </w:tc>
        <w:tc>
          <w:tcPr>
            <w:tcW w:w="2835" w:type="dxa"/>
            <w:vAlign w:val="center"/>
          </w:tcPr>
          <w:p>
            <w:pPr>
              <w:pStyle w:val="11"/>
            </w:pPr>
          </w:p>
        </w:tc>
        <w:tc>
          <w:tcPr>
            <w:tcW w:w="2835" w:type="dxa"/>
            <w:vAlign w:val="center"/>
          </w:tcPr>
          <w:p>
            <w:pPr>
              <w:pStyle w:val="9"/>
              <w:jc w:val="center"/>
              <w:rPr>
                <w:rFonts w:hint="default" w:eastAsia="方正书宋_GBK"/>
                <w:lang w:val="en-US" w:eastAsia="zh-CN"/>
              </w:rPr>
            </w:pPr>
            <w:r>
              <w:rPr>
                <w:rFonts w:hint="eastAsia"/>
                <w:lang w:val="en-US" w:eastAsia="zh-CN"/>
              </w:rPr>
              <w:t>774.35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jc w:val="center"/>
              <w:rPr>
                <w:rFonts w:hint="eastAsia" w:eastAsia="方正书宋_GBK"/>
                <w:lang w:eastAsia="zh-CN"/>
              </w:rPr>
            </w:pPr>
            <w:r>
              <w:rPr>
                <w:rFonts w:hint="eastAsia"/>
                <w:lang w:eastAsia="zh-CN"/>
              </w:rPr>
              <w:t>家具、用具、装具及动植物</w:t>
            </w:r>
          </w:p>
        </w:tc>
        <w:tc>
          <w:tcPr>
            <w:tcW w:w="2835" w:type="dxa"/>
            <w:vAlign w:val="center"/>
          </w:tcPr>
          <w:p>
            <w:pPr>
              <w:pStyle w:val="11"/>
            </w:pPr>
          </w:p>
        </w:tc>
        <w:tc>
          <w:tcPr>
            <w:tcW w:w="2835" w:type="dxa"/>
            <w:vAlign w:val="center"/>
          </w:tcPr>
          <w:p>
            <w:pPr>
              <w:pStyle w:val="9"/>
              <w:jc w:val="center"/>
              <w:rPr>
                <w:rFonts w:hint="default" w:eastAsia="方正书宋_GBK"/>
                <w:lang w:val="en-US" w:eastAsia="zh-CN"/>
              </w:rPr>
            </w:pPr>
            <w:r>
              <w:rPr>
                <w:rFonts w:hint="eastAsia"/>
                <w:lang w:val="en-US" w:eastAsia="zh-CN"/>
              </w:rPr>
              <w:t>76.04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51B8"/>
    <w:multiLevelType w:val="singleLevel"/>
    <w:tmpl w:val="138F51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dkYjVlM2NkODIwNmQ0NDE2N2JhYmRkNjRiYzI0NGMifQ=="/>
  </w:docVars>
  <w:rsids>
    <w:rsidRoot w:val="00D721A0"/>
    <w:rsid w:val="003B769A"/>
    <w:rsid w:val="00503FFF"/>
    <w:rsid w:val="00D721A0"/>
    <w:rsid w:val="06AB097E"/>
    <w:rsid w:val="12011292"/>
    <w:rsid w:val="13242C1B"/>
    <w:rsid w:val="229D5BBD"/>
    <w:rsid w:val="27402404"/>
    <w:rsid w:val="29F92762"/>
    <w:rsid w:val="2B940F71"/>
    <w:rsid w:val="2BED3949"/>
    <w:rsid w:val="2C1518BF"/>
    <w:rsid w:val="31592A40"/>
    <w:rsid w:val="3A2F273A"/>
    <w:rsid w:val="3FD87226"/>
    <w:rsid w:val="44CA1171"/>
    <w:rsid w:val="4A5561E7"/>
    <w:rsid w:val="4B93792D"/>
    <w:rsid w:val="4DD57383"/>
    <w:rsid w:val="521071D5"/>
    <w:rsid w:val="53300BEC"/>
    <w:rsid w:val="6D166EA9"/>
    <w:rsid w:val="71A2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部门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单元格样式23"/>
    <w:basedOn w:val="1"/>
    <w:autoRedefine/>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TOC 2"/>
    <w:basedOn w:val="1"/>
    <w:autoRedefine/>
    <w:qFormat/>
    <w:uiPriority w:val="0"/>
    <w:pPr>
      <w:ind w:left="240"/>
    </w:pPr>
  </w:style>
  <w:style w:type="paragraph" w:customStyle="1" w:styleId="28">
    <w:name w:val="TOC 3"/>
    <w:basedOn w:val="1"/>
    <w:autoRedefine/>
    <w:qFormat/>
    <w:uiPriority w:val="0"/>
    <w:pPr>
      <w:ind w:left="480"/>
    </w:pPr>
  </w:style>
  <w:style w:type="paragraph" w:customStyle="1" w:styleId="29">
    <w:name w:val="TOC 4"/>
    <w:basedOn w:val="1"/>
    <w:autoRedefine/>
    <w:qFormat/>
    <w:uiPriority w:val="0"/>
    <w:pPr>
      <w:ind w:left="720"/>
    </w:pPr>
  </w:style>
  <w:style w:type="paragraph" w:customStyle="1" w:styleId="30">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9" Type="http://schemas.openxmlformats.org/officeDocument/2006/relationships/fontTable" Target="fontTable.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2023-03-09T16:48:38Z</dcterms:created>
  <dcterms:modified xsi:type="dcterms:W3CDTF">2023-03-09T08:48:38Z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2023-03-09T16:48:38Z</dcterms:created>
  <dcterms:modified xsi:type="dcterms:W3CDTF">2023-03-09T08:48:38Z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2023-03-09T16:48:51Z</dcterms:created>
  <dcterms:modified xsi:type="dcterms:W3CDTF">2023-03-09T08:48:51Z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2023-03-09T16:48:58Z</dcterms:created>
  <dcterms:modified xsi:type="dcterms:W3CDTF">2023-03-09T08:48:58Z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2023-03-09T16:48:47Z</dcterms:created>
  <dcterms:modified xsi:type="dcterms:W3CDTF">2023-03-09T08:48:46Z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2023-03-09T16:48:35Z</dcterms:created>
  <dcterms:modified xsi:type="dcterms:W3CDTF">2023-03-09T08:48:35Z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2023-03-09T16:49:02Z</dcterms:created>
  <dcterms:modified xsi:type="dcterms:W3CDTF">2023-03-09T08:49:02Z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2023-03-09T16:48:29Z</dcterms:created>
  <dcterms:modified xsi:type="dcterms:W3CDTF">2023-03-09T08:48:29Z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2023-03-09T16:48:38Z</dcterms:created>
  <dcterms:modified xsi:type="dcterms:W3CDTF">2023-03-09T08:48:38Z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2023-03-09T16:48:58Z</dcterms:created>
  <dcterms:modified xsi:type="dcterms:W3CDTF">2023-03-09T08:48:58Z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2023-03-09T16:48:41Z</dcterms:created>
  <dcterms:modified xsi:type="dcterms:W3CDTF">2023-03-09T08:48:41Z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2023-03-09T16:48:36Z</dcterms:created>
  <dcterms:modified xsi:type="dcterms:W3CDTF">2023-03-09T08:48:36Z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2023-03-09T16:48:35Z</dcterms:created>
  <dcterms:modified xsi:type="dcterms:W3CDTF">2023-03-09T08:48:35Z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2023-03-09T16:48:57Z</dcterms:created>
  <dcterms:modified xsi:type="dcterms:W3CDTF">2023-03-09T08:48:57Z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2023-03-09T16:48:53Z</dcterms:created>
  <dcterms:modified xsi:type="dcterms:W3CDTF">2023-03-09T08:48:53Z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2023-03-09T16:48:42Z</dcterms:created>
  <dcterms:modified xsi:type="dcterms:W3CDTF">2023-03-09T08:48:42Z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2023-03-09T16:48:39Z</dcterms:created>
  <dcterms:modified xsi:type="dcterms:W3CDTF">2023-03-09T08:48:38Z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2023-03-09T16:48:37Z</dcterms:created>
  <dcterms:modified xsi:type="dcterms:W3CDTF">2023-03-09T08:48:37Z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2023-03-09T16:49:02Z</dcterms:created>
  <dcterms:modified xsi:type="dcterms:W3CDTF">2023-03-09T08:49:01Z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2023-03-09T16:48:55Z</dcterms:created>
  <dcterms:modified xsi:type="dcterms:W3CDTF">2023-03-09T08:48:55Z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2023-03-09T16:48:35Z</dcterms:created>
  <dcterms:modified xsi:type="dcterms:W3CDTF">2023-03-09T08:48:35Z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2023-03-09T08:48:40Z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2023-03-09T16:48:56Z</dcterms:created>
  <dcterms:modified xsi:type="dcterms:W3CDTF">2023-03-09T08:48:56Z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2023-03-09T16:48:40Z</dcterms:created>
  <dcterms:modified xsi:type="dcterms:W3CDTF">2023-03-09T08:48:40Z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2023-03-09T16:48:52Z</dcterms:created>
  <dcterms:modified xsi:type="dcterms:W3CDTF">2023-03-09T08:48:52Z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2023-03-09T16:48:54Z</dcterms:created>
  <dcterms:modified xsi:type="dcterms:W3CDTF">2023-03-09T08:48:54Z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2023-03-09T16:48:35Z</dcterms:created>
  <dcterms:modified xsi:type="dcterms:W3CDTF">2023-03-09T08:48:35Z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2023-03-09T16:48:38Z</dcterms:created>
  <dcterms:modified xsi:type="dcterms:W3CDTF">2023-03-09T08:48:38Z</dcterms:modified>
</cp:coreProperties>
</file>

<file path=customXml/itemProps1.xml><?xml version="1.0" encoding="utf-8"?>
<ds:datastoreItem xmlns:ds="http://schemas.openxmlformats.org/officeDocument/2006/customXml" ds:itemID="{9FD339C1-A9F0-4A4C-8316-C8D64D345E5A}">
  <ds:schemaRefs/>
</ds:datastoreItem>
</file>

<file path=customXml/itemProps10.xml><?xml version="1.0" encoding="utf-8"?>
<ds:datastoreItem xmlns:ds="http://schemas.openxmlformats.org/officeDocument/2006/customXml" ds:itemID="{EA7AC29B-9526-474B-A707-04601A7ABBA0}">
  <ds:schemaRefs/>
</ds:datastoreItem>
</file>

<file path=customXml/itemProps100.xml><?xml version="1.0" encoding="utf-8"?>
<ds:datastoreItem xmlns:ds="http://schemas.openxmlformats.org/officeDocument/2006/customXml" ds:itemID="{759EAC20-1796-4DF7-BBE2-3ADC91D75210}">
  <ds:schemaRefs/>
</ds:datastoreItem>
</file>

<file path=customXml/itemProps101.xml><?xml version="1.0" encoding="utf-8"?>
<ds:datastoreItem xmlns:ds="http://schemas.openxmlformats.org/officeDocument/2006/customXml" ds:itemID="{A1439064-834C-4EE8-AA9C-07EEF592C69B}">
  <ds:schemaRefs/>
</ds:datastoreItem>
</file>

<file path=customXml/itemProps102.xml><?xml version="1.0" encoding="utf-8"?>
<ds:datastoreItem xmlns:ds="http://schemas.openxmlformats.org/officeDocument/2006/customXml" ds:itemID="{DA4947AE-4679-4274-B00C-72A68F8AF107}">
  <ds:schemaRefs/>
</ds:datastoreItem>
</file>

<file path=customXml/itemProps103.xml><?xml version="1.0" encoding="utf-8"?>
<ds:datastoreItem xmlns:ds="http://schemas.openxmlformats.org/officeDocument/2006/customXml" ds:itemID="{F8AE2F7B-579D-482F-A121-4B95AA677E88}">
  <ds:schemaRefs/>
</ds:datastoreItem>
</file>

<file path=customXml/itemProps104.xml><?xml version="1.0" encoding="utf-8"?>
<ds:datastoreItem xmlns:ds="http://schemas.openxmlformats.org/officeDocument/2006/customXml" ds:itemID="{58D397DE-E595-4E37-9773-5EE247B45703}">
  <ds:schemaRefs/>
</ds:datastoreItem>
</file>

<file path=customXml/itemProps105.xml><?xml version="1.0" encoding="utf-8"?>
<ds:datastoreItem xmlns:ds="http://schemas.openxmlformats.org/officeDocument/2006/customXml" ds:itemID="{C828FAB5-4AF7-4E0D-9F15-5D69FD28F0CC}">
  <ds:schemaRefs/>
</ds:datastoreItem>
</file>

<file path=customXml/itemProps106.xml><?xml version="1.0" encoding="utf-8"?>
<ds:datastoreItem xmlns:ds="http://schemas.openxmlformats.org/officeDocument/2006/customXml" ds:itemID="{FFC44A87-4ABF-46BE-901F-0E62CEE492BF}">
  <ds:schemaRefs/>
</ds:datastoreItem>
</file>

<file path=customXml/itemProps107.xml><?xml version="1.0" encoding="utf-8"?>
<ds:datastoreItem xmlns:ds="http://schemas.openxmlformats.org/officeDocument/2006/customXml" ds:itemID="{090E51D3-824E-49D0-B5D8-38C9F4C208A3}">
  <ds:schemaRefs/>
</ds:datastoreItem>
</file>

<file path=customXml/itemProps108.xml><?xml version="1.0" encoding="utf-8"?>
<ds:datastoreItem xmlns:ds="http://schemas.openxmlformats.org/officeDocument/2006/customXml" ds:itemID="{7CE6F6CA-9429-4A30-85AD-3F41CABEDABA}">
  <ds:schemaRefs/>
</ds:datastoreItem>
</file>

<file path=customXml/itemProps109.xml><?xml version="1.0" encoding="utf-8"?>
<ds:datastoreItem xmlns:ds="http://schemas.openxmlformats.org/officeDocument/2006/customXml" ds:itemID="{8820DA6D-7A10-457A-B5B0-48240F47659B}">
  <ds:schemaRefs/>
</ds:datastoreItem>
</file>

<file path=customXml/itemProps11.xml><?xml version="1.0" encoding="utf-8"?>
<ds:datastoreItem xmlns:ds="http://schemas.openxmlformats.org/officeDocument/2006/customXml" ds:itemID="{4802CB5D-BA83-4461-953E-29A12A6EAFE9}">
  <ds:schemaRefs/>
</ds:datastoreItem>
</file>

<file path=customXml/itemProps110.xml><?xml version="1.0" encoding="utf-8"?>
<ds:datastoreItem xmlns:ds="http://schemas.openxmlformats.org/officeDocument/2006/customXml" ds:itemID="{CD619890-EB5B-4401-A909-7799891D9807}">
  <ds:schemaRefs/>
</ds:datastoreItem>
</file>

<file path=customXml/itemProps111.xml><?xml version="1.0" encoding="utf-8"?>
<ds:datastoreItem xmlns:ds="http://schemas.openxmlformats.org/officeDocument/2006/customXml" ds:itemID="{7C59CF86-8BE5-46CE-9ADE-5D8FD7824CB1}">
  <ds:schemaRefs/>
</ds:datastoreItem>
</file>

<file path=customXml/itemProps112.xml><?xml version="1.0" encoding="utf-8"?>
<ds:datastoreItem xmlns:ds="http://schemas.openxmlformats.org/officeDocument/2006/customXml" ds:itemID="{8C1DF86C-AA5E-4730-AECB-E9D3D42B45F4}">
  <ds:schemaRefs/>
</ds:datastoreItem>
</file>

<file path=customXml/itemProps113.xml><?xml version="1.0" encoding="utf-8"?>
<ds:datastoreItem xmlns:ds="http://schemas.openxmlformats.org/officeDocument/2006/customXml" ds:itemID="{A0A7FDC0-B9E1-4839-AFEA-6D89DAACC402}">
  <ds:schemaRefs/>
</ds:datastoreItem>
</file>

<file path=customXml/itemProps114.xml><?xml version="1.0" encoding="utf-8"?>
<ds:datastoreItem xmlns:ds="http://schemas.openxmlformats.org/officeDocument/2006/customXml" ds:itemID="{3D449E0C-9F87-4B0E-9C32-F13BA84E40E3}">
  <ds:schemaRefs/>
</ds:datastoreItem>
</file>

<file path=customXml/itemProps115.xml><?xml version="1.0" encoding="utf-8"?>
<ds:datastoreItem xmlns:ds="http://schemas.openxmlformats.org/officeDocument/2006/customXml" ds:itemID="{9A46C257-474E-4DC7-8205-B0A782F44785}">
  <ds:schemaRefs/>
</ds:datastoreItem>
</file>

<file path=customXml/itemProps116.xml><?xml version="1.0" encoding="utf-8"?>
<ds:datastoreItem xmlns:ds="http://schemas.openxmlformats.org/officeDocument/2006/customXml" ds:itemID="{64684586-CB09-4D08-931C-4D3CFC9D90C6}">
  <ds:schemaRefs/>
</ds:datastoreItem>
</file>

<file path=customXml/itemProps117.xml><?xml version="1.0" encoding="utf-8"?>
<ds:datastoreItem xmlns:ds="http://schemas.openxmlformats.org/officeDocument/2006/customXml" ds:itemID="{41542C9E-3F05-4FAB-8D8D-6DD05062A419}">
  <ds:schemaRefs/>
</ds:datastoreItem>
</file>

<file path=customXml/itemProps118.xml><?xml version="1.0" encoding="utf-8"?>
<ds:datastoreItem xmlns:ds="http://schemas.openxmlformats.org/officeDocument/2006/customXml" ds:itemID="{99411C14-0B21-41FF-95EF-2E4446ACAC47}">
  <ds:schemaRefs/>
</ds:datastoreItem>
</file>

<file path=customXml/itemProps119.xml><?xml version="1.0" encoding="utf-8"?>
<ds:datastoreItem xmlns:ds="http://schemas.openxmlformats.org/officeDocument/2006/customXml" ds:itemID="{D2644ED9-3282-4D3E-B1AA-E5C5E9C42268}">
  <ds:schemaRefs/>
</ds:datastoreItem>
</file>

<file path=customXml/itemProps12.xml><?xml version="1.0" encoding="utf-8"?>
<ds:datastoreItem xmlns:ds="http://schemas.openxmlformats.org/officeDocument/2006/customXml" ds:itemID="{F8CFCE2B-69B2-4EAD-A297-31C17CBA0A56}">
  <ds:schemaRefs/>
</ds:datastoreItem>
</file>

<file path=customXml/itemProps120.xml><?xml version="1.0" encoding="utf-8"?>
<ds:datastoreItem xmlns:ds="http://schemas.openxmlformats.org/officeDocument/2006/customXml" ds:itemID="{18E42F64-6A87-46E4-BC3A-2463B4D180E3}">
  <ds:schemaRefs/>
</ds:datastoreItem>
</file>

<file path=customXml/itemProps121.xml><?xml version="1.0" encoding="utf-8"?>
<ds:datastoreItem xmlns:ds="http://schemas.openxmlformats.org/officeDocument/2006/customXml" ds:itemID="{1A090A2E-CE02-4478-B1C9-9642AF9D0ED0}">
  <ds:schemaRefs/>
</ds:datastoreItem>
</file>

<file path=customXml/itemProps122.xml><?xml version="1.0" encoding="utf-8"?>
<ds:datastoreItem xmlns:ds="http://schemas.openxmlformats.org/officeDocument/2006/customXml" ds:itemID="{BA81252A-0036-4026-B7AB-A5CF9180DF3F}">
  <ds:schemaRefs/>
</ds:datastoreItem>
</file>

<file path=customXml/itemProps123.xml><?xml version="1.0" encoding="utf-8"?>
<ds:datastoreItem xmlns:ds="http://schemas.openxmlformats.org/officeDocument/2006/customXml" ds:itemID="{710D6B01-C5A0-4817-9AA5-6AD93B5C8C2B}">
  <ds:schemaRefs/>
</ds:datastoreItem>
</file>

<file path=customXml/itemProps124.xml><?xml version="1.0" encoding="utf-8"?>
<ds:datastoreItem xmlns:ds="http://schemas.openxmlformats.org/officeDocument/2006/customXml" ds:itemID="{5C60A1F2-4A20-4E52-BB05-D8CFE7400FCA}">
  <ds:schemaRefs/>
</ds:datastoreItem>
</file>

<file path=customXml/itemProps125.xml><?xml version="1.0" encoding="utf-8"?>
<ds:datastoreItem xmlns:ds="http://schemas.openxmlformats.org/officeDocument/2006/customXml" ds:itemID="{EC68174F-19E4-4967-8027-BC8E1A5EFB84}">
  <ds:schemaRefs/>
</ds:datastoreItem>
</file>

<file path=customXml/itemProps126.xml><?xml version="1.0" encoding="utf-8"?>
<ds:datastoreItem xmlns:ds="http://schemas.openxmlformats.org/officeDocument/2006/customXml" ds:itemID="{7A3478B9-4B6B-421D-9E5B-99F8265EB34E}">
  <ds:schemaRefs/>
</ds:datastoreItem>
</file>

<file path=customXml/itemProps127.xml><?xml version="1.0" encoding="utf-8"?>
<ds:datastoreItem xmlns:ds="http://schemas.openxmlformats.org/officeDocument/2006/customXml" ds:itemID="{15FC5CE9-C3DC-4561-BE89-4DCECDDE2080}">
  <ds:schemaRefs/>
</ds:datastoreItem>
</file>

<file path=customXml/itemProps128.xml><?xml version="1.0" encoding="utf-8"?>
<ds:datastoreItem xmlns:ds="http://schemas.openxmlformats.org/officeDocument/2006/customXml" ds:itemID="{D3BEBACA-C40A-400C-ABDE-30C6F64627EE}">
  <ds:schemaRefs/>
</ds:datastoreItem>
</file>

<file path=customXml/itemProps129.xml><?xml version="1.0" encoding="utf-8"?>
<ds:datastoreItem xmlns:ds="http://schemas.openxmlformats.org/officeDocument/2006/customXml" ds:itemID="{47B0F3B0-071E-42BC-806A-3E8CF4936A0B}">
  <ds:schemaRefs/>
</ds:datastoreItem>
</file>

<file path=customXml/itemProps13.xml><?xml version="1.0" encoding="utf-8"?>
<ds:datastoreItem xmlns:ds="http://schemas.openxmlformats.org/officeDocument/2006/customXml" ds:itemID="{2E688580-EBBD-4FE1-8227-A8BE8682BEA3}">
  <ds:schemaRefs/>
</ds:datastoreItem>
</file>

<file path=customXml/itemProps130.xml><?xml version="1.0" encoding="utf-8"?>
<ds:datastoreItem xmlns:ds="http://schemas.openxmlformats.org/officeDocument/2006/customXml" ds:itemID="{7B02C084-3FA5-404C-A599-87AFFD347EB4}">
  <ds:schemaRefs/>
</ds:datastoreItem>
</file>

<file path=customXml/itemProps131.xml><?xml version="1.0" encoding="utf-8"?>
<ds:datastoreItem xmlns:ds="http://schemas.openxmlformats.org/officeDocument/2006/customXml" ds:itemID="{8B6D8B5E-EDE9-4DAB-957B-2105E57ECDAD}">
  <ds:schemaRefs/>
</ds:datastoreItem>
</file>

<file path=customXml/itemProps132.xml><?xml version="1.0" encoding="utf-8"?>
<ds:datastoreItem xmlns:ds="http://schemas.openxmlformats.org/officeDocument/2006/customXml" ds:itemID="{2559C7AD-F662-415E-9A1A-9441DCF9067C}">
  <ds:schemaRefs/>
</ds:datastoreItem>
</file>

<file path=customXml/itemProps133.xml><?xml version="1.0" encoding="utf-8"?>
<ds:datastoreItem xmlns:ds="http://schemas.openxmlformats.org/officeDocument/2006/customXml" ds:itemID="{D089E7C6-8647-47C2-ACE4-00E91605ACEE}">
  <ds:schemaRefs/>
</ds:datastoreItem>
</file>

<file path=customXml/itemProps134.xml><?xml version="1.0" encoding="utf-8"?>
<ds:datastoreItem xmlns:ds="http://schemas.openxmlformats.org/officeDocument/2006/customXml" ds:itemID="{AB294A81-9D62-492E-8371-B497AE8F4939}">
  <ds:schemaRefs/>
</ds:datastoreItem>
</file>

<file path=customXml/itemProps135.xml><?xml version="1.0" encoding="utf-8"?>
<ds:datastoreItem xmlns:ds="http://schemas.openxmlformats.org/officeDocument/2006/customXml" ds:itemID="{BAF4350C-7BC6-4251-826E-373FC84FB2E3}">
  <ds:schemaRefs/>
</ds:datastoreItem>
</file>

<file path=customXml/itemProps136.xml><?xml version="1.0" encoding="utf-8"?>
<ds:datastoreItem xmlns:ds="http://schemas.openxmlformats.org/officeDocument/2006/customXml" ds:itemID="{C6833449-1985-461C-AA32-E95B0E27A371}">
  <ds:schemaRefs/>
</ds:datastoreItem>
</file>

<file path=customXml/itemProps137.xml><?xml version="1.0" encoding="utf-8"?>
<ds:datastoreItem xmlns:ds="http://schemas.openxmlformats.org/officeDocument/2006/customXml" ds:itemID="{4EA2E08C-3C7B-462E-A37C-3287F8D085F4}">
  <ds:schemaRefs/>
</ds:datastoreItem>
</file>

<file path=customXml/itemProps138.xml><?xml version="1.0" encoding="utf-8"?>
<ds:datastoreItem xmlns:ds="http://schemas.openxmlformats.org/officeDocument/2006/customXml" ds:itemID="{7556D678-DAF4-4514-8DA5-42D7FC59A989}">
  <ds:schemaRefs/>
</ds:datastoreItem>
</file>

<file path=customXml/itemProps139.xml><?xml version="1.0" encoding="utf-8"?>
<ds:datastoreItem xmlns:ds="http://schemas.openxmlformats.org/officeDocument/2006/customXml" ds:itemID="{DD0D461D-762D-4096-87BB-2C7BC577CADF}">
  <ds:schemaRefs/>
</ds:datastoreItem>
</file>

<file path=customXml/itemProps14.xml><?xml version="1.0" encoding="utf-8"?>
<ds:datastoreItem xmlns:ds="http://schemas.openxmlformats.org/officeDocument/2006/customXml" ds:itemID="{4B0F65DF-E803-407C-A694-38A92A596964}">
  <ds:schemaRefs/>
</ds:datastoreItem>
</file>

<file path=customXml/itemProps140.xml><?xml version="1.0" encoding="utf-8"?>
<ds:datastoreItem xmlns:ds="http://schemas.openxmlformats.org/officeDocument/2006/customXml" ds:itemID="{6D4F1568-C0A9-485C-BC03-4B3EF093D140}">
  <ds:schemaRefs/>
</ds:datastoreItem>
</file>

<file path=customXml/itemProps141.xml><?xml version="1.0" encoding="utf-8"?>
<ds:datastoreItem xmlns:ds="http://schemas.openxmlformats.org/officeDocument/2006/customXml" ds:itemID="{CD67688B-64A0-451C-97A7-9A18BA71DB8A}">
  <ds:schemaRefs/>
</ds:datastoreItem>
</file>

<file path=customXml/itemProps142.xml><?xml version="1.0" encoding="utf-8"?>
<ds:datastoreItem xmlns:ds="http://schemas.openxmlformats.org/officeDocument/2006/customXml" ds:itemID="{2838F3CA-4231-451F-86B3-7E5B3B0584D5}">
  <ds:schemaRefs/>
</ds:datastoreItem>
</file>

<file path=customXml/itemProps15.xml><?xml version="1.0" encoding="utf-8"?>
<ds:datastoreItem xmlns:ds="http://schemas.openxmlformats.org/officeDocument/2006/customXml" ds:itemID="{02443D64-93AF-4634-B087-CDE40EE6BCEC}">
  <ds:schemaRefs/>
</ds:datastoreItem>
</file>

<file path=customXml/itemProps16.xml><?xml version="1.0" encoding="utf-8"?>
<ds:datastoreItem xmlns:ds="http://schemas.openxmlformats.org/officeDocument/2006/customXml" ds:itemID="{246A3DD9-37A3-4060-B43C-53098C0E5D6A}">
  <ds:schemaRefs/>
</ds:datastoreItem>
</file>

<file path=customXml/itemProps17.xml><?xml version="1.0" encoding="utf-8"?>
<ds:datastoreItem xmlns:ds="http://schemas.openxmlformats.org/officeDocument/2006/customXml" ds:itemID="{E30A7653-5C9D-40EA-BE98-E11362D121FC}">
  <ds:schemaRefs/>
</ds:datastoreItem>
</file>

<file path=customXml/itemProps18.xml><?xml version="1.0" encoding="utf-8"?>
<ds:datastoreItem xmlns:ds="http://schemas.openxmlformats.org/officeDocument/2006/customXml" ds:itemID="{BC758D6E-0238-4F99-B162-E3CD3BC996F2}">
  <ds:schemaRefs/>
</ds:datastoreItem>
</file>

<file path=customXml/itemProps19.xml><?xml version="1.0" encoding="utf-8"?>
<ds:datastoreItem xmlns:ds="http://schemas.openxmlformats.org/officeDocument/2006/customXml" ds:itemID="{CA37C3B2-99D2-4365-AA19-C457E603B93D}">
  <ds:schemaRefs/>
</ds:datastoreItem>
</file>

<file path=customXml/itemProps2.xml><?xml version="1.0" encoding="utf-8"?>
<ds:datastoreItem xmlns:ds="http://schemas.openxmlformats.org/officeDocument/2006/customXml" ds:itemID="{0504814D-73C7-460C-A36D-B64FCEF7AD41}">
  <ds:schemaRefs/>
</ds:datastoreItem>
</file>

<file path=customXml/itemProps20.xml><?xml version="1.0" encoding="utf-8"?>
<ds:datastoreItem xmlns:ds="http://schemas.openxmlformats.org/officeDocument/2006/customXml" ds:itemID="{E47FE06F-5E5F-4604-BEA4-E105C02EED7A}">
  <ds:schemaRefs/>
</ds:datastoreItem>
</file>

<file path=customXml/itemProps21.xml><?xml version="1.0" encoding="utf-8"?>
<ds:datastoreItem xmlns:ds="http://schemas.openxmlformats.org/officeDocument/2006/customXml" ds:itemID="{AF6CA78A-61DC-438A-A5F4-09E7746A9248}">
  <ds:schemaRefs/>
</ds:datastoreItem>
</file>

<file path=customXml/itemProps22.xml><?xml version="1.0" encoding="utf-8"?>
<ds:datastoreItem xmlns:ds="http://schemas.openxmlformats.org/officeDocument/2006/customXml" ds:itemID="{6448DD44-1A48-4E46-8C8F-5304F87D428D}">
  <ds:schemaRefs/>
</ds:datastoreItem>
</file>

<file path=customXml/itemProps23.xml><?xml version="1.0" encoding="utf-8"?>
<ds:datastoreItem xmlns:ds="http://schemas.openxmlformats.org/officeDocument/2006/customXml" ds:itemID="{2A6EB7A6-59F6-4384-A525-851B719BCB46}">
  <ds:schemaRefs/>
</ds:datastoreItem>
</file>

<file path=customXml/itemProps24.xml><?xml version="1.0" encoding="utf-8"?>
<ds:datastoreItem xmlns:ds="http://schemas.openxmlformats.org/officeDocument/2006/customXml" ds:itemID="{C4E27E74-18A4-43F6-B268-08422DBCAB61}">
  <ds:schemaRefs/>
</ds:datastoreItem>
</file>

<file path=customXml/itemProps25.xml><?xml version="1.0" encoding="utf-8"?>
<ds:datastoreItem xmlns:ds="http://schemas.openxmlformats.org/officeDocument/2006/customXml" ds:itemID="{85DD6C3F-C2B2-4065-9438-EF5CB3464C14}">
  <ds:schemaRefs/>
</ds:datastoreItem>
</file>

<file path=customXml/itemProps26.xml><?xml version="1.0" encoding="utf-8"?>
<ds:datastoreItem xmlns:ds="http://schemas.openxmlformats.org/officeDocument/2006/customXml" ds:itemID="{9CA3BD6F-5200-4CF9-B687-0360FA7FC3CC}">
  <ds:schemaRefs/>
</ds:datastoreItem>
</file>

<file path=customXml/itemProps27.xml><?xml version="1.0" encoding="utf-8"?>
<ds:datastoreItem xmlns:ds="http://schemas.openxmlformats.org/officeDocument/2006/customXml" ds:itemID="{CCA70520-6318-4D21-9303-F7EDB0601534}">
  <ds:schemaRefs/>
</ds:datastoreItem>
</file>

<file path=customXml/itemProps28.xml><?xml version="1.0" encoding="utf-8"?>
<ds:datastoreItem xmlns:ds="http://schemas.openxmlformats.org/officeDocument/2006/customXml" ds:itemID="{4962E5D1-123B-493F-BBC5-4B7FD7C07E86}">
  <ds:schemaRefs/>
</ds:datastoreItem>
</file>

<file path=customXml/itemProps29.xml><?xml version="1.0" encoding="utf-8"?>
<ds:datastoreItem xmlns:ds="http://schemas.openxmlformats.org/officeDocument/2006/customXml" ds:itemID="{0ACB08BE-BC41-4F3B-8763-16639EE1388B}">
  <ds:schemaRefs/>
</ds:datastoreItem>
</file>

<file path=customXml/itemProps3.xml><?xml version="1.0" encoding="utf-8"?>
<ds:datastoreItem xmlns:ds="http://schemas.openxmlformats.org/officeDocument/2006/customXml" ds:itemID="{68E8E4B5-655F-477D-9098-004436833FB6}">
  <ds:schemaRefs/>
</ds:datastoreItem>
</file>

<file path=customXml/itemProps30.xml><?xml version="1.0" encoding="utf-8"?>
<ds:datastoreItem xmlns:ds="http://schemas.openxmlformats.org/officeDocument/2006/customXml" ds:itemID="{D59A8A3F-379B-47C6-B886-678849E792FD}">
  <ds:schemaRefs/>
</ds:datastoreItem>
</file>

<file path=customXml/itemProps31.xml><?xml version="1.0" encoding="utf-8"?>
<ds:datastoreItem xmlns:ds="http://schemas.openxmlformats.org/officeDocument/2006/customXml" ds:itemID="{CAAE0377-5C98-4D8B-A154-1E27B7CE642B}">
  <ds:schemaRefs/>
</ds:datastoreItem>
</file>

<file path=customXml/itemProps32.xml><?xml version="1.0" encoding="utf-8"?>
<ds:datastoreItem xmlns:ds="http://schemas.openxmlformats.org/officeDocument/2006/customXml" ds:itemID="{92ACF813-A957-4740-90CC-64BE636D5464}">
  <ds:schemaRefs/>
</ds:datastoreItem>
</file>

<file path=customXml/itemProps33.xml><?xml version="1.0" encoding="utf-8"?>
<ds:datastoreItem xmlns:ds="http://schemas.openxmlformats.org/officeDocument/2006/customXml" ds:itemID="{F769BBE7-E01E-493D-98E6-5040FE52E16B}">
  <ds:schemaRefs/>
</ds:datastoreItem>
</file>

<file path=customXml/itemProps34.xml><?xml version="1.0" encoding="utf-8"?>
<ds:datastoreItem xmlns:ds="http://schemas.openxmlformats.org/officeDocument/2006/customXml" ds:itemID="{235255CE-19F7-4869-9FAE-2030962C026B}">
  <ds:schemaRefs/>
</ds:datastoreItem>
</file>

<file path=customXml/itemProps35.xml><?xml version="1.0" encoding="utf-8"?>
<ds:datastoreItem xmlns:ds="http://schemas.openxmlformats.org/officeDocument/2006/customXml" ds:itemID="{3D83D57C-92FB-4E8D-A7BD-1C6A993D118A}">
  <ds:schemaRefs/>
</ds:datastoreItem>
</file>

<file path=customXml/itemProps36.xml><?xml version="1.0" encoding="utf-8"?>
<ds:datastoreItem xmlns:ds="http://schemas.openxmlformats.org/officeDocument/2006/customXml" ds:itemID="{0D7558D5-2EF0-458B-8CB3-648A2EA0B3E7}">
  <ds:schemaRefs/>
</ds:datastoreItem>
</file>

<file path=customXml/itemProps37.xml><?xml version="1.0" encoding="utf-8"?>
<ds:datastoreItem xmlns:ds="http://schemas.openxmlformats.org/officeDocument/2006/customXml" ds:itemID="{D36A36AA-065C-4C3B-8370-F003C03BF850}">
  <ds:schemaRefs/>
</ds:datastoreItem>
</file>

<file path=customXml/itemProps38.xml><?xml version="1.0" encoding="utf-8"?>
<ds:datastoreItem xmlns:ds="http://schemas.openxmlformats.org/officeDocument/2006/customXml" ds:itemID="{BE05BBC6-CAC5-419D-9C74-1D957C2833EF}">
  <ds:schemaRefs/>
</ds:datastoreItem>
</file>

<file path=customXml/itemProps39.xml><?xml version="1.0" encoding="utf-8"?>
<ds:datastoreItem xmlns:ds="http://schemas.openxmlformats.org/officeDocument/2006/customXml" ds:itemID="{31B59EBC-0637-4DF3-AB80-79D5CB0B8EAB}">
  <ds:schemaRefs/>
</ds:datastoreItem>
</file>

<file path=customXml/itemProps4.xml><?xml version="1.0" encoding="utf-8"?>
<ds:datastoreItem xmlns:ds="http://schemas.openxmlformats.org/officeDocument/2006/customXml" ds:itemID="{CA5DE3DF-DC14-4CB9-A72B-2381FB644AC5}">
  <ds:schemaRefs/>
</ds:datastoreItem>
</file>

<file path=customXml/itemProps40.xml><?xml version="1.0" encoding="utf-8"?>
<ds:datastoreItem xmlns:ds="http://schemas.openxmlformats.org/officeDocument/2006/customXml" ds:itemID="{91B4E439-9026-4915-B159-FCF497379519}">
  <ds:schemaRefs/>
</ds:datastoreItem>
</file>

<file path=customXml/itemProps41.xml><?xml version="1.0" encoding="utf-8"?>
<ds:datastoreItem xmlns:ds="http://schemas.openxmlformats.org/officeDocument/2006/customXml" ds:itemID="{5D82EFC5-A156-4BD2-B2B0-557438858217}">
  <ds:schemaRefs/>
</ds:datastoreItem>
</file>

<file path=customXml/itemProps42.xml><?xml version="1.0" encoding="utf-8"?>
<ds:datastoreItem xmlns:ds="http://schemas.openxmlformats.org/officeDocument/2006/customXml" ds:itemID="{842C2E27-7943-4074-BA58-3DBF47A6D708}">
  <ds:schemaRefs/>
</ds:datastoreItem>
</file>

<file path=customXml/itemProps43.xml><?xml version="1.0" encoding="utf-8"?>
<ds:datastoreItem xmlns:ds="http://schemas.openxmlformats.org/officeDocument/2006/customXml" ds:itemID="{58B76F3D-63D0-4326-94C3-DD1C06BC189B}">
  <ds:schemaRefs/>
</ds:datastoreItem>
</file>

<file path=customXml/itemProps44.xml><?xml version="1.0" encoding="utf-8"?>
<ds:datastoreItem xmlns:ds="http://schemas.openxmlformats.org/officeDocument/2006/customXml" ds:itemID="{9445A2B7-6931-4784-865D-10E51A35F098}">
  <ds:schemaRefs/>
</ds:datastoreItem>
</file>

<file path=customXml/itemProps45.xml><?xml version="1.0" encoding="utf-8"?>
<ds:datastoreItem xmlns:ds="http://schemas.openxmlformats.org/officeDocument/2006/customXml" ds:itemID="{2E5461C5-3261-41E5-BCAD-174837740739}">
  <ds:schemaRefs/>
</ds:datastoreItem>
</file>

<file path=customXml/itemProps46.xml><?xml version="1.0" encoding="utf-8"?>
<ds:datastoreItem xmlns:ds="http://schemas.openxmlformats.org/officeDocument/2006/customXml" ds:itemID="{7C937CED-F1C2-487C-923C-BC6A8C1BD3CF}">
  <ds:schemaRefs/>
</ds:datastoreItem>
</file>

<file path=customXml/itemProps47.xml><?xml version="1.0" encoding="utf-8"?>
<ds:datastoreItem xmlns:ds="http://schemas.openxmlformats.org/officeDocument/2006/customXml" ds:itemID="{B37D79B9-C734-4106-81C6-29E2EC871F3B}">
  <ds:schemaRefs/>
</ds:datastoreItem>
</file>

<file path=customXml/itemProps48.xml><?xml version="1.0" encoding="utf-8"?>
<ds:datastoreItem xmlns:ds="http://schemas.openxmlformats.org/officeDocument/2006/customXml" ds:itemID="{D9D71791-2C68-45ED-8DD5-32EDF0231FB5}">
  <ds:schemaRefs/>
</ds:datastoreItem>
</file>

<file path=customXml/itemProps49.xml><?xml version="1.0" encoding="utf-8"?>
<ds:datastoreItem xmlns:ds="http://schemas.openxmlformats.org/officeDocument/2006/customXml" ds:itemID="{225C5D87-632E-4C06-93C5-51943DB46B85}">
  <ds:schemaRefs/>
</ds:datastoreItem>
</file>

<file path=customXml/itemProps5.xml><?xml version="1.0" encoding="utf-8"?>
<ds:datastoreItem xmlns:ds="http://schemas.openxmlformats.org/officeDocument/2006/customXml" ds:itemID="{64BD73FB-4AE1-47EF-9C68-3857A21FA3AA}">
  <ds:schemaRefs/>
</ds:datastoreItem>
</file>

<file path=customXml/itemProps50.xml><?xml version="1.0" encoding="utf-8"?>
<ds:datastoreItem xmlns:ds="http://schemas.openxmlformats.org/officeDocument/2006/customXml" ds:itemID="{3AE60782-C944-4328-981E-D99019CE0F14}">
  <ds:schemaRefs/>
</ds:datastoreItem>
</file>

<file path=customXml/itemProps51.xml><?xml version="1.0" encoding="utf-8"?>
<ds:datastoreItem xmlns:ds="http://schemas.openxmlformats.org/officeDocument/2006/customXml" ds:itemID="{D07D6E4E-FC08-43AD-9A43-5EFC307CDFE0}">
  <ds:schemaRefs/>
</ds:datastoreItem>
</file>

<file path=customXml/itemProps52.xml><?xml version="1.0" encoding="utf-8"?>
<ds:datastoreItem xmlns:ds="http://schemas.openxmlformats.org/officeDocument/2006/customXml" ds:itemID="{C7D1A0D4-2840-4B2E-A51E-B3ED38C67CB5}">
  <ds:schemaRefs/>
</ds:datastoreItem>
</file>

<file path=customXml/itemProps53.xml><?xml version="1.0" encoding="utf-8"?>
<ds:datastoreItem xmlns:ds="http://schemas.openxmlformats.org/officeDocument/2006/customXml" ds:itemID="{B063B732-EC98-456F-A4AE-3CE49CF29F41}">
  <ds:schemaRefs/>
</ds:datastoreItem>
</file>

<file path=customXml/itemProps54.xml><?xml version="1.0" encoding="utf-8"?>
<ds:datastoreItem xmlns:ds="http://schemas.openxmlformats.org/officeDocument/2006/customXml" ds:itemID="{808E85AE-479A-48C6-82BB-52CE68CA190F}">
  <ds:schemaRefs/>
</ds:datastoreItem>
</file>

<file path=customXml/itemProps55.xml><?xml version="1.0" encoding="utf-8"?>
<ds:datastoreItem xmlns:ds="http://schemas.openxmlformats.org/officeDocument/2006/customXml" ds:itemID="{A6118518-418D-4F4A-BBCB-DA50482DB5DE}">
  <ds:schemaRefs/>
</ds:datastoreItem>
</file>

<file path=customXml/itemProps56.xml><?xml version="1.0" encoding="utf-8"?>
<ds:datastoreItem xmlns:ds="http://schemas.openxmlformats.org/officeDocument/2006/customXml" ds:itemID="{728847E9-774D-492A-ACA9-797C878D0FA6}">
  <ds:schemaRefs/>
</ds:datastoreItem>
</file>

<file path=customXml/itemProps57.xml><?xml version="1.0" encoding="utf-8"?>
<ds:datastoreItem xmlns:ds="http://schemas.openxmlformats.org/officeDocument/2006/customXml" ds:itemID="{6A939E64-FCC9-4739-A611-1A18C11BAE11}">
  <ds:schemaRefs/>
</ds:datastoreItem>
</file>

<file path=customXml/itemProps58.xml><?xml version="1.0" encoding="utf-8"?>
<ds:datastoreItem xmlns:ds="http://schemas.openxmlformats.org/officeDocument/2006/customXml" ds:itemID="{CE0245F5-E662-4C1B-BC2D-3AF083D82468}">
  <ds:schemaRefs/>
</ds:datastoreItem>
</file>

<file path=customXml/itemProps59.xml><?xml version="1.0" encoding="utf-8"?>
<ds:datastoreItem xmlns:ds="http://schemas.openxmlformats.org/officeDocument/2006/customXml" ds:itemID="{1E1443C8-F79D-45AD-BF99-6275D92FB1D0}">
  <ds:schemaRefs/>
</ds:datastoreItem>
</file>

<file path=customXml/itemProps6.xml><?xml version="1.0" encoding="utf-8"?>
<ds:datastoreItem xmlns:ds="http://schemas.openxmlformats.org/officeDocument/2006/customXml" ds:itemID="{B31C21C1-7A0B-43B5-9A6E-B90D771E1702}">
  <ds:schemaRefs/>
</ds:datastoreItem>
</file>

<file path=customXml/itemProps60.xml><?xml version="1.0" encoding="utf-8"?>
<ds:datastoreItem xmlns:ds="http://schemas.openxmlformats.org/officeDocument/2006/customXml" ds:itemID="{C40EFD80-4306-45F8-9AE6-8223800BC0AD}">
  <ds:schemaRefs/>
</ds:datastoreItem>
</file>

<file path=customXml/itemProps61.xml><?xml version="1.0" encoding="utf-8"?>
<ds:datastoreItem xmlns:ds="http://schemas.openxmlformats.org/officeDocument/2006/customXml" ds:itemID="{B4718B0F-5117-40FE-AD7C-00F3DBD0FBD6}">
  <ds:schemaRefs/>
</ds:datastoreItem>
</file>

<file path=customXml/itemProps62.xml><?xml version="1.0" encoding="utf-8"?>
<ds:datastoreItem xmlns:ds="http://schemas.openxmlformats.org/officeDocument/2006/customXml" ds:itemID="{E166D7FC-C293-40BF-AF23-AF97CACB1171}">
  <ds:schemaRefs/>
</ds:datastoreItem>
</file>

<file path=customXml/itemProps63.xml><?xml version="1.0" encoding="utf-8"?>
<ds:datastoreItem xmlns:ds="http://schemas.openxmlformats.org/officeDocument/2006/customXml" ds:itemID="{FEAFDF52-83BE-42C1-88CC-4E28417AB28E}">
  <ds:schemaRefs/>
</ds:datastoreItem>
</file>

<file path=customXml/itemProps64.xml><?xml version="1.0" encoding="utf-8"?>
<ds:datastoreItem xmlns:ds="http://schemas.openxmlformats.org/officeDocument/2006/customXml" ds:itemID="{A3C4D6C6-4DB5-4983-90F1-B3F84D066697}">
  <ds:schemaRefs/>
</ds:datastoreItem>
</file>

<file path=customXml/itemProps65.xml><?xml version="1.0" encoding="utf-8"?>
<ds:datastoreItem xmlns:ds="http://schemas.openxmlformats.org/officeDocument/2006/customXml" ds:itemID="{4671D9EC-6BEB-4228-822F-DE624F1DBA5B}">
  <ds:schemaRefs/>
</ds:datastoreItem>
</file>

<file path=customXml/itemProps66.xml><?xml version="1.0" encoding="utf-8"?>
<ds:datastoreItem xmlns:ds="http://schemas.openxmlformats.org/officeDocument/2006/customXml" ds:itemID="{A2692EFE-6E99-4A72-81D6-606EDE1435A8}">
  <ds:schemaRefs/>
</ds:datastoreItem>
</file>

<file path=customXml/itemProps67.xml><?xml version="1.0" encoding="utf-8"?>
<ds:datastoreItem xmlns:ds="http://schemas.openxmlformats.org/officeDocument/2006/customXml" ds:itemID="{A8D36FB0-AA17-48CF-9974-4897CF6911E2}">
  <ds:schemaRefs/>
</ds:datastoreItem>
</file>

<file path=customXml/itemProps68.xml><?xml version="1.0" encoding="utf-8"?>
<ds:datastoreItem xmlns:ds="http://schemas.openxmlformats.org/officeDocument/2006/customXml" ds:itemID="{6A76903B-DB9B-484D-A0EC-03AB7B5E30BB}">
  <ds:schemaRefs/>
</ds:datastoreItem>
</file>

<file path=customXml/itemProps69.xml><?xml version="1.0" encoding="utf-8"?>
<ds:datastoreItem xmlns:ds="http://schemas.openxmlformats.org/officeDocument/2006/customXml" ds:itemID="{D876680A-F413-42A5-8E67-8DDA8746D8B7}">
  <ds:schemaRefs/>
</ds:datastoreItem>
</file>

<file path=customXml/itemProps7.xml><?xml version="1.0" encoding="utf-8"?>
<ds:datastoreItem xmlns:ds="http://schemas.openxmlformats.org/officeDocument/2006/customXml" ds:itemID="{79545E70-0489-41AB-8BB1-795084B6712A}">
  <ds:schemaRefs/>
</ds:datastoreItem>
</file>

<file path=customXml/itemProps70.xml><?xml version="1.0" encoding="utf-8"?>
<ds:datastoreItem xmlns:ds="http://schemas.openxmlformats.org/officeDocument/2006/customXml" ds:itemID="{4E587A8C-63AB-4A43-A6B2-A2050B4748BD}">
  <ds:schemaRefs/>
</ds:datastoreItem>
</file>

<file path=customXml/itemProps71.xml><?xml version="1.0" encoding="utf-8"?>
<ds:datastoreItem xmlns:ds="http://schemas.openxmlformats.org/officeDocument/2006/customXml" ds:itemID="{182210C5-B720-447E-B614-EBE0E1117E43}">
  <ds:schemaRefs/>
</ds:datastoreItem>
</file>

<file path=customXml/itemProps72.xml><?xml version="1.0" encoding="utf-8"?>
<ds:datastoreItem xmlns:ds="http://schemas.openxmlformats.org/officeDocument/2006/customXml" ds:itemID="{DB7ECA05-F5C1-4216-BA6A-49438AAE9C02}">
  <ds:schemaRefs/>
</ds:datastoreItem>
</file>

<file path=customXml/itemProps73.xml><?xml version="1.0" encoding="utf-8"?>
<ds:datastoreItem xmlns:ds="http://schemas.openxmlformats.org/officeDocument/2006/customXml" ds:itemID="{CEDE7BA9-CABA-406E-989F-48DB9386B517}">
  <ds:schemaRefs/>
</ds:datastoreItem>
</file>

<file path=customXml/itemProps74.xml><?xml version="1.0" encoding="utf-8"?>
<ds:datastoreItem xmlns:ds="http://schemas.openxmlformats.org/officeDocument/2006/customXml" ds:itemID="{12536D50-D712-416F-86CF-30E43DBDFFA2}">
  <ds:schemaRefs/>
</ds:datastoreItem>
</file>

<file path=customXml/itemProps75.xml><?xml version="1.0" encoding="utf-8"?>
<ds:datastoreItem xmlns:ds="http://schemas.openxmlformats.org/officeDocument/2006/customXml" ds:itemID="{120DDBAF-DD18-4825-A80F-83635A10CAD5}">
  <ds:schemaRefs/>
</ds:datastoreItem>
</file>

<file path=customXml/itemProps76.xml><?xml version="1.0" encoding="utf-8"?>
<ds:datastoreItem xmlns:ds="http://schemas.openxmlformats.org/officeDocument/2006/customXml" ds:itemID="{A124184D-71D6-4B0D-9A84-E79F0D6AC2FC}">
  <ds:schemaRefs/>
</ds:datastoreItem>
</file>

<file path=customXml/itemProps77.xml><?xml version="1.0" encoding="utf-8"?>
<ds:datastoreItem xmlns:ds="http://schemas.openxmlformats.org/officeDocument/2006/customXml" ds:itemID="{3BFA16F5-32A7-4CB4-978B-60D67E9E61CC}">
  <ds:schemaRefs/>
</ds:datastoreItem>
</file>

<file path=customXml/itemProps78.xml><?xml version="1.0" encoding="utf-8"?>
<ds:datastoreItem xmlns:ds="http://schemas.openxmlformats.org/officeDocument/2006/customXml" ds:itemID="{9B8A395C-B77D-4114-B161-1C6A4642700D}">
  <ds:schemaRefs/>
</ds:datastoreItem>
</file>

<file path=customXml/itemProps79.xml><?xml version="1.0" encoding="utf-8"?>
<ds:datastoreItem xmlns:ds="http://schemas.openxmlformats.org/officeDocument/2006/customXml" ds:itemID="{253669CB-2B57-4349-8206-590E77C97AEB}">
  <ds:schemaRefs/>
</ds:datastoreItem>
</file>

<file path=customXml/itemProps8.xml><?xml version="1.0" encoding="utf-8"?>
<ds:datastoreItem xmlns:ds="http://schemas.openxmlformats.org/officeDocument/2006/customXml" ds:itemID="{A7635BE0-F11B-4055-A174-97B807577921}">
  <ds:schemaRefs/>
</ds:datastoreItem>
</file>

<file path=customXml/itemProps80.xml><?xml version="1.0" encoding="utf-8"?>
<ds:datastoreItem xmlns:ds="http://schemas.openxmlformats.org/officeDocument/2006/customXml" ds:itemID="{D1ECE47C-2A21-4579-89AA-2808F9319845}">
  <ds:schemaRefs/>
</ds:datastoreItem>
</file>

<file path=customXml/itemProps81.xml><?xml version="1.0" encoding="utf-8"?>
<ds:datastoreItem xmlns:ds="http://schemas.openxmlformats.org/officeDocument/2006/customXml" ds:itemID="{3106A1F3-2E4F-4A0D-B3B6-412D8FC6DCD1}">
  <ds:schemaRefs/>
</ds:datastoreItem>
</file>

<file path=customXml/itemProps82.xml><?xml version="1.0" encoding="utf-8"?>
<ds:datastoreItem xmlns:ds="http://schemas.openxmlformats.org/officeDocument/2006/customXml" ds:itemID="{B683D544-DDA9-4BE8-B09A-57C846C3CE37}">
  <ds:schemaRefs/>
</ds:datastoreItem>
</file>

<file path=customXml/itemProps83.xml><?xml version="1.0" encoding="utf-8"?>
<ds:datastoreItem xmlns:ds="http://schemas.openxmlformats.org/officeDocument/2006/customXml" ds:itemID="{1D1F2411-5A2A-4325-B642-3E29C11FAEC0}">
  <ds:schemaRefs/>
</ds:datastoreItem>
</file>

<file path=customXml/itemProps84.xml><?xml version="1.0" encoding="utf-8"?>
<ds:datastoreItem xmlns:ds="http://schemas.openxmlformats.org/officeDocument/2006/customXml" ds:itemID="{D34A8784-F1DB-4E3D-B893-C25EF2386E73}">
  <ds:schemaRefs/>
</ds:datastoreItem>
</file>

<file path=customXml/itemProps85.xml><?xml version="1.0" encoding="utf-8"?>
<ds:datastoreItem xmlns:ds="http://schemas.openxmlformats.org/officeDocument/2006/customXml" ds:itemID="{58FB3A43-172C-4FFB-8DB7-2F2254A685BE}">
  <ds:schemaRefs/>
</ds:datastoreItem>
</file>

<file path=customXml/itemProps86.xml><?xml version="1.0" encoding="utf-8"?>
<ds:datastoreItem xmlns:ds="http://schemas.openxmlformats.org/officeDocument/2006/customXml" ds:itemID="{193D61AB-0D43-4701-8009-87A56279A2AA}">
  <ds:schemaRefs/>
</ds:datastoreItem>
</file>

<file path=customXml/itemProps87.xml><?xml version="1.0" encoding="utf-8"?>
<ds:datastoreItem xmlns:ds="http://schemas.openxmlformats.org/officeDocument/2006/customXml" ds:itemID="{30745EE2-2D6E-43C1-9288-4F55DE02482D}">
  <ds:schemaRefs/>
</ds:datastoreItem>
</file>

<file path=customXml/itemProps88.xml><?xml version="1.0" encoding="utf-8"?>
<ds:datastoreItem xmlns:ds="http://schemas.openxmlformats.org/officeDocument/2006/customXml" ds:itemID="{0B22E957-335A-4EA2-9001-A3A7932D4B35}">
  <ds:schemaRefs/>
</ds:datastoreItem>
</file>

<file path=customXml/itemProps89.xml><?xml version="1.0" encoding="utf-8"?>
<ds:datastoreItem xmlns:ds="http://schemas.openxmlformats.org/officeDocument/2006/customXml" ds:itemID="{71D6BBF6-7EFE-4DCB-BDC7-22F5B77B05B2}">
  <ds:schemaRefs/>
</ds:datastoreItem>
</file>

<file path=customXml/itemProps9.xml><?xml version="1.0" encoding="utf-8"?>
<ds:datastoreItem xmlns:ds="http://schemas.openxmlformats.org/officeDocument/2006/customXml" ds:itemID="{F8F322C1-833E-4462-8F54-A0CEB6DF91AF}">
  <ds:schemaRefs/>
</ds:datastoreItem>
</file>

<file path=customXml/itemProps90.xml><?xml version="1.0" encoding="utf-8"?>
<ds:datastoreItem xmlns:ds="http://schemas.openxmlformats.org/officeDocument/2006/customXml" ds:itemID="{874F272D-AFC2-4E93-9720-7258DE65936B}">
  <ds:schemaRefs/>
</ds:datastoreItem>
</file>

<file path=customXml/itemProps91.xml><?xml version="1.0" encoding="utf-8"?>
<ds:datastoreItem xmlns:ds="http://schemas.openxmlformats.org/officeDocument/2006/customXml" ds:itemID="{D1E2D3C0-596A-4E32-90A4-B473E7B2CA3D}">
  <ds:schemaRefs/>
</ds:datastoreItem>
</file>

<file path=customXml/itemProps92.xml><?xml version="1.0" encoding="utf-8"?>
<ds:datastoreItem xmlns:ds="http://schemas.openxmlformats.org/officeDocument/2006/customXml" ds:itemID="{DD7AB092-67C8-4728-A76F-7EF7CB766413}">
  <ds:schemaRefs/>
</ds:datastoreItem>
</file>

<file path=customXml/itemProps93.xml><?xml version="1.0" encoding="utf-8"?>
<ds:datastoreItem xmlns:ds="http://schemas.openxmlformats.org/officeDocument/2006/customXml" ds:itemID="{CEE874D8-22B6-440A-A4C8-070519D46C37}">
  <ds:schemaRefs/>
</ds:datastoreItem>
</file>

<file path=customXml/itemProps94.xml><?xml version="1.0" encoding="utf-8"?>
<ds:datastoreItem xmlns:ds="http://schemas.openxmlformats.org/officeDocument/2006/customXml" ds:itemID="{32ECD009-60C0-4B94-B6C2-C410D6436A0C}">
  <ds:schemaRefs/>
</ds:datastoreItem>
</file>

<file path=customXml/itemProps95.xml><?xml version="1.0" encoding="utf-8"?>
<ds:datastoreItem xmlns:ds="http://schemas.openxmlformats.org/officeDocument/2006/customXml" ds:itemID="{26542FBE-286B-4F27-8B24-12C262D5ADE4}">
  <ds:schemaRefs/>
</ds:datastoreItem>
</file>

<file path=customXml/itemProps96.xml><?xml version="1.0" encoding="utf-8"?>
<ds:datastoreItem xmlns:ds="http://schemas.openxmlformats.org/officeDocument/2006/customXml" ds:itemID="{1DF541FE-43B0-4EAC-9793-ABB203747C84}">
  <ds:schemaRefs/>
</ds:datastoreItem>
</file>

<file path=customXml/itemProps97.xml><?xml version="1.0" encoding="utf-8"?>
<ds:datastoreItem xmlns:ds="http://schemas.openxmlformats.org/officeDocument/2006/customXml" ds:itemID="{EC10CCA7-C9C9-4EDE-BA24-E2BFA7137E3B}">
  <ds:schemaRefs/>
</ds:datastoreItem>
</file>

<file path=customXml/itemProps98.xml><?xml version="1.0" encoding="utf-8"?>
<ds:datastoreItem xmlns:ds="http://schemas.openxmlformats.org/officeDocument/2006/customXml" ds:itemID="{5A729A58-9DB5-44DA-958A-E9045D30BCFC}">
  <ds:schemaRefs/>
</ds:datastoreItem>
</file>

<file path=customXml/itemProps99.xml><?xml version="1.0" encoding="utf-8"?>
<ds:datastoreItem xmlns:ds="http://schemas.openxmlformats.org/officeDocument/2006/customXml" ds:itemID="{9AF59055-71AA-400F-9878-B6971023A078}">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36739</Words>
  <Characters>41464</Characters>
  <Lines>337</Lines>
  <Paragraphs>95</Paragraphs>
  <TotalTime>22</TotalTime>
  <ScaleCrop>false</ScaleCrop>
  <LinksUpToDate>false</LinksUpToDate>
  <CharactersWithSpaces>41874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2023-03-09T08:53:00Z</dcterms:created>
  <dc:creator>Administrator</dc:creator>
  <cp:lastModifiedBy>Administrator</cp:lastModifiedBy>
  <dcterms:modified xsi:type="dcterms:W3CDTF">2024-03-19T07:04:09Z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A3BA2C37024F4B069CB5CEDD7DCB1506</vt:lpwstr>
  </property>
</Properties>
</file>