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72"/>
        </w:rPr>
        <w:t>唐山市丰润区融媒体中心</w:t>
      </w: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eastAsia="方正楷体_GBK" w:cs="方正楷体_GBK"/>
          <w:b/>
          <w:color w:val="000000"/>
          <w:sz w:val="32"/>
        </w:rPr>
        <w:t>唐山市丰润区融媒体中心编制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  <w:r>
        <w:rPr>
          <w:rFonts w:asci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 xml:space="preserve">TOC \o "2-2" \h \z \u </w:instrText>
      </w:r>
      <w:r>
        <w:fldChar w:fldCharType="separate"/>
      </w:r>
      <w:r>
        <w:fldChar w:fldCharType="begin"/>
      </w:r>
      <w:r>
        <w:instrText>Hyperlink \l "_Toc_2_2_0000000001"</w:instrText>
      </w:r>
      <w:r>
        <w:fldChar w:fldCharType="separate"/>
      </w:r>
      <w:r>
        <w:t>一、总体绩效目标</w:t>
        <w:tab/>
      </w:r>
      <w:r>
        <w:fldChar w:fldCharType="begin"/>
      </w:r>
      <w:r>
        <w:instrText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"_Toc_2_2_0000000002"</w:instrText>
      </w:r>
      <w:r>
        <w:fldChar w:fldCharType="separate"/>
      </w:r>
      <w:r>
        <w:t>二、分项绩效目标</w:t>
        <w:tab/>
      </w:r>
      <w:r>
        <w:fldChar w:fldCharType="begin"/>
      </w:r>
      <w:r>
        <w:instrText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"_Toc_2_2_0000000003"</w:instrText>
      </w:r>
      <w:r>
        <w:fldChar w:fldCharType="separate"/>
      </w:r>
      <w:r>
        <w:t>三、工作保障措施</w:t>
        <w:tab/>
      </w:r>
      <w:r>
        <w:fldChar w:fldCharType="begin"/>
      </w:r>
      <w:r>
        <w:instrText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 xml:space="preserve">TOC \o "4-4" \h \z \u </w:instrText>
      </w:r>
      <w:r>
        <w:fldChar w:fldCharType="separate"/>
      </w:r>
      <w:r>
        <w:fldChar w:fldCharType="begin"/>
      </w:r>
      <w:r>
        <w:instrText>Hyperlink \l "_Toc_4_4_0000000004"</w:instrText>
      </w:r>
      <w:r>
        <w:fldChar w:fldCharType="separate"/>
      </w:r>
      <w:r>
        <w:t>1.]融媒体中心运行维护费绩效目标表</w:t>
        <w:tab/>
      </w:r>
      <w:r>
        <w:fldChar w:fldCharType="begin"/>
      </w:r>
      <w:r>
        <w:instrText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"_Toc_4_4_0000000005"</w:instrText>
      </w:r>
      <w:r>
        <w:fldChar w:fldCharType="separate"/>
      </w:r>
      <w:r>
        <w:t>2.更换牌匾及门口修缮（21年借款）绩效目标表</w:t>
        <w:tab/>
      </w:r>
      <w:r>
        <w:fldChar w:fldCharType="begin"/>
      </w:r>
      <w:r>
        <w:instrText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"_Toc_4_4_0000000006"</w:instrText>
      </w:r>
      <w:r>
        <w:fldChar w:fldCharType="separate"/>
      </w:r>
      <w:r>
        <w:t>3.联通公司MSTP专线费绩效目标表</w:t>
        <w:tab/>
      </w:r>
      <w:r>
        <w:fldChar w:fldCharType="begin"/>
      </w:r>
      <w:r>
        <w:instrText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"_Toc_4_4_0000000007"</w:instrText>
      </w:r>
      <w:r>
        <w:fldChar w:fldCharType="separate"/>
      </w:r>
      <w:r>
        <w:t>4.融媒体中心西办公楼防水及门面改造绩效目标表</w:t>
        <w:tab/>
      </w:r>
      <w:r>
        <w:fldChar w:fldCharType="begin"/>
      </w:r>
      <w:r>
        <w:instrText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"_Toc_4_4_0000000008"</w:instrText>
      </w:r>
      <w:r>
        <w:fldChar w:fldCharType="separate"/>
      </w:r>
      <w:r>
        <w:t>5.用创收收入偿还历史债务绩效目标表</w:t>
        <w:tab/>
      </w:r>
      <w:r>
        <w:fldChar w:fldCharType="begin"/>
      </w:r>
      <w:r>
        <w:instrText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"_Toc_4_4_0000000009"</w:instrText>
      </w:r>
      <w:r>
        <w:fldChar w:fldCharType="separate"/>
      </w:r>
      <w:r>
        <w:t>6.自筹人员经费（预留）绩效目标表</w:t>
        <w:tab/>
      </w:r>
      <w:r>
        <w:fldChar w:fldCharType="begin"/>
      </w:r>
      <w:r>
        <w:instrText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w:type="default" r:id="rId2"/>
          <w:footerReference w:type="even" r:id="rId3"/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  <w:r>
        <w:br w:type="page"/>
        <w:br/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5"/>
      </w:pPr>
      <w:r>
        <w:t>宣传党的路线、方针、政策和区委、区政府的工作部署，坚持正确舆论导向，发挥主流媒体作用；办好各类广播电视节目；开展各类宣传工作；配合上级台完成我区的采访报道工作并提供各类节目；承担区委、区政府宣传片的创作生产、专题片等的创作生产。做好各类广播电视节目制作、宣传、采访报道、传输发射实验以及影视剧、专题片等创作生产。建立广播电视安全播出保障体系，加强台站、安全播出管理。组织实施重大公益工程和公益活动。加强技术管理、技术升级改造及设备设施维护，开展新技术应用。向移动互联网跨越发展，打造智能生活服务类客户端，促进媒体融合。研发新节目，打造品牌活动；媒体识别度和影响力进一步提升，收听收看群体扩大；广告创收任务完成。通过技术升级，实现区级台内容资源互通互享，提高节目制力和传播能力；拓展新媒体传播途径，开拓新型业务。</w:t>
      </w:r>
    </w:p>
    <w:p>
      <w:pPr>
        <w:pStyle w:val="15"/>
      </w:pPr>
    </w:p>
    <w:p>
      <w:pPr>
        <w:pStyle w:val="15"/>
      </w:pPr>
    </w:p>
    <w:p>
      <w:pPr>
        <w:pStyle w:val="15"/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6"/>
      </w:pPr>
      <w:r>
        <w:t>1、新闻出版广播影视产业建设</w:t>
      </w:r>
    </w:p>
    <w:p>
      <w:pPr>
        <w:pStyle w:val="16"/>
      </w:pPr>
      <w:r>
        <w:t>绩效目标：统筹规划并组织实施新闻出版广播影视产业发展,推进广电网与电信网、互联网三网融合；指导、协调产业项目开展，推动IPTV播控平台功能完善工作，监督、指导相关单位在全区全面推开IPTV业务。</w:t>
      </w:r>
    </w:p>
    <w:p>
      <w:pPr>
        <w:pStyle w:val="16"/>
      </w:pPr>
      <w:r>
        <w:t>绩效指标：指导、协调产业项目开展，推动IPTV播控平台功能的完善工作，IPTV播控平台功能完善工作大于等于90%</w:t>
      </w:r>
    </w:p>
    <w:p>
      <w:pPr>
        <w:pStyle w:val="16"/>
      </w:pPr>
      <w:r>
        <w:t>2、广播影视节目制作能力建设</w:t>
      </w:r>
    </w:p>
    <w:p>
      <w:pPr>
        <w:pStyle w:val="16"/>
      </w:pPr>
      <w:r>
        <w:t>绩效目标：加强技术管理、技术升级改造及设备设施维护，开展新技术应用。向移动互联网跨越发展，打造智能生活服务类客户端，促进媒体融合。通过技术升级，实现区级台内容资源互通互享，提高节目制力和传播能力；拓展新媒体传播途径，开拓新型业务。</w:t>
      </w:r>
    </w:p>
    <w:p>
      <w:pPr>
        <w:pStyle w:val="16"/>
      </w:pPr>
      <w:r>
        <w:t>绩效指标：加强技术管理、技术升级改造及设施设备维护，开展新技术应用，向移动或联网跨越发展，打造智能生活服务类客户端，促进媒体融合，使节目制力和传播能力大于等于90%。</w:t>
      </w:r>
    </w:p>
    <w:p>
      <w:pPr>
        <w:pStyle w:val="16"/>
      </w:pPr>
      <w:r>
        <w:t>3、坚持正确的舆论导向，精准定位</w:t>
      </w:r>
    </w:p>
    <w:p>
      <w:pPr>
        <w:pStyle w:val="16"/>
      </w:pPr>
      <w:r>
        <w:t>绩效目标：紧紧围绕中央、省、市、的决策部署和区委、区政府中心工作，开展有计划有重点、有深度的宣传报道，办好各类电视节目。</w:t>
      </w:r>
    </w:p>
    <w:p>
      <w:pPr>
        <w:pStyle w:val="16"/>
      </w:pPr>
      <w:r>
        <w:t>绩效指标：开展各类宣传工作，更好地塑树全区对内对外形象，打造我区健康发展的舆论强势。对外宣传大于等于95%。</w:t>
      </w:r>
    </w:p>
    <w:p>
      <w:pPr>
        <w:pStyle w:val="16"/>
      </w:pPr>
      <w:r>
        <w:t>4、以创新为主旨，拓展工作思路</w:t>
      </w:r>
    </w:p>
    <w:p>
      <w:pPr>
        <w:pStyle w:val="16"/>
      </w:pPr>
      <w:r>
        <w:t>绩效目标：运营好“智慧丰润”手机APP，各项功能和内容，纳入各局委办、乡镇资讯，形成一体化宣传模式；增加视频内容和信息量，学会用网络语言表达新闻信息。</w:t>
      </w:r>
    </w:p>
    <w:p>
      <w:pPr>
        <w:pStyle w:val="16"/>
      </w:pPr>
      <w:r>
        <w:t>绩效指标：扩大智慧丰润影响力，使智慧丰润的下载量大于等于80%。</w:t>
      </w:r>
    </w:p>
    <w:p>
      <w:pPr>
        <w:pStyle w:val="16"/>
      </w:pPr>
      <w:r>
        <w:t>5、依托“平安城市广播系统”，实现区委、区政府声音的精准化、无缝隙覆盖</w:t>
      </w:r>
    </w:p>
    <w:p>
      <w:pPr>
        <w:pStyle w:val="16"/>
      </w:pPr>
      <w:r>
        <w:t>绩效目标：在光滑道、幸福道、曹雪芹大街.....等城区主干道上，依托路灯杆安装室外音柱；每天早中晚三个时段，播出丰润新闻、区委区政府的通知通告、转播中央人民广播电台《全国新闻联播》、道德模范展示、好人好事发布等全区各项重点工作宣传；在遇到重大突发事件时，依托该系统，能及时澄清谣言，引导民众科学应对，准确地传播正面声音。</w:t>
      </w:r>
    </w:p>
    <w:p>
      <w:pPr>
        <w:pStyle w:val="16"/>
      </w:pPr>
      <w:r>
        <w:t>绩效指标：实现对播出节目的制作和总体控制，广播系统无缝隙覆盖率大于等于90%。</w:t>
      </w: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7"/>
      </w:pPr>
      <w:r>
        <w:t>1、夯实基础工作，完善内部管理，汇聚工作合力。严格执行《关于加强机关工作纪律的管理办法》、《财务支出管理制度》等工作制度，台领导带队，每周定期地对全台各个岗位、各个层面进行检查；结合部门特点，制定责任编辑、摄像、技术、后勤等各岗位工作职责，严格管理。</w:t>
      </w:r>
    </w:p>
    <w:p>
      <w:pPr>
        <w:pStyle w:val="17"/>
      </w:pPr>
      <w:r>
        <w:t>用制度管人，建立学习制度，以《学习强国》为网上平台，以部门例会为网下平台，每周开展理论和业务学习，特别是新闻、专题、文艺和新媒体等业务部门通过主任讲、大家评的形式，提升理论业务水平。</w:t>
      </w:r>
    </w:p>
    <w:p>
      <w:pPr>
        <w:pStyle w:val="17"/>
      </w:pPr>
      <w:r>
        <w:t>坚持以科学发展关为指导，以部门预算管理为主线，成立绩效监查工作小组，定期或不定期的对工作开展绩效跟踪，检查。</w:t>
      </w:r>
    </w:p>
    <w:p>
      <w:pPr>
        <w:pStyle w:val="17"/>
      </w:pPr>
      <w:r>
        <w:t>深化、细化“一岗双责”要求，从严控制“三公”经费支出，把党风廉政建设列入台党总支重要议事日程，与融媒体业务工作研究、同部署、同落实、同检查、同考核、同推进。</w:t>
      </w:r>
    </w:p>
    <w:p>
      <w:pPr>
        <w:pStyle w:val="17"/>
      </w:pPr>
      <w:r>
        <w:t xml:space="preserve">建立相应的协调机构，全面梳理业务流程，分析业务流程，分析风险隐患，完善评估机制，制定应对策略。 </w:t>
      </w:r>
    </w:p>
    <w:p>
      <w:pPr>
        <w:pStyle w:val="17"/>
      </w:pPr>
      <w:r>
        <w:t>完善制度建设。制定完善预算绩效管理制度、资金管理办法、工作保障制度等，为全年预算绩效目标的实现奠定制度基础。</w:t>
      </w:r>
    </w:p>
    <w:p>
      <w:pPr>
        <w:pStyle w:val="17"/>
      </w:pPr>
      <w:r>
        <w:t>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7"/>
      </w:pPr>
      <w:r>
        <w:t>加强绩效运行监控。按要求开展绩效运行监控，发现问题及时采取措施，确保绩效目标如期保质实现。</w:t>
      </w:r>
    </w:p>
    <w:p>
      <w:pPr>
        <w:pStyle w:val="17"/>
      </w:pPr>
      <w:r>
        <w:t>做好绩效自评。按要求开展上年度部门预算绩效自评和重点评价工作，对评价中发现的问题及时整改，调整优化支出结构，提高财政资金使用效益。</w:t>
      </w:r>
    </w:p>
    <w:p>
      <w:pPr>
        <w:pStyle w:val="17"/>
      </w:pPr>
      <w:r>
        <w:t>规范财务资产管理，完善财务管理制度，严格审批程序，加强固定资产登记、使用和报废处置管理，做到支出合理，物尽其用。</w:t>
      </w:r>
    </w:p>
    <w:p>
      <w:pPr>
        <w:pStyle w:val="17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7"/>
      </w:pPr>
      <w:r>
        <w:t>加强宣传培训调研。加强人员培训，提高本部门职工业务素质；加强调研，提出优化财政资金配置、提高资金使用效益的意见</w:t>
      </w:r>
      <w:bookmarkStart w:id="3" w:name="_GoBack"/>
      <w:bookmarkEnd w:id="3"/>
      <w:r>
        <w:t>；加大宣传力度，强化预算绩效管理意识，促进预算绩效管理水平进一步提升。</w:t>
      </w: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4"/>
      <w:r>
        <w:rPr>
          <w:rFonts w:ascii="方正仿宋_GBK" w:eastAsia="方正仿宋_GBK" w:cs="方正仿宋_GBK"/>
          <w:color w:val="000000"/>
          <w:sz w:val="28"/>
        </w:rPr>
        <w:t>1.]融媒体中心运行维护费绩效目标表</w:t>
      </w:r>
      <w:bookmarkEnd w:id="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9"/>
            </w:pPr>
            <w:r>
              <w:t>425001唐山市丰润区融媒体中心本级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8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13020822P00908810002X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]融媒体中心运行维护费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30.00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30.00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融媒体中心运行维护费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30%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60%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1.保障融媒体中心的正常运行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一级指标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二级指标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三级指标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绩效指标描述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≥1个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运行正常运转率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运行正常运转率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按时完成项目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按时完成项目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2022年底前完成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实际发生成本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实际发生成本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≤2.5万元/月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增强服务保障能力。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增强服务保障能力。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≥90%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5"/>
      <w:r>
        <w:rPr>
          <w:rFonts w:ascii="方正仿宋_GBK" w:eastAsia="方正仿宋_GBK" w:cs="方正仿宋_GBK"/>
          <w:color w:val="000000"/>
          <w:sz w:val="28"/>
        </w:rPr>
        <w:t>2.更换牌匾及门口修缮（21年借款）绩效目标表</w:t>
      </w:r>
      <w:bookmarkEnd w:id="5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9"/>
            </w:pPr>
            <w:r>
              <w:t>425001唐山市丰润区融媒体中心本级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8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13020822P00864910002J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更换牌匾及门口修缮（21年借款）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9.32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9.32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唐山市丰润区融媒体中心更换牌匾及门口修缮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100%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1.保障机关工作的正常运行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一级指标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二级指标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三级指标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绩效指标描述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≥1个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工作按时完成率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工作按时完成率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项目预算控制数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项目预算控制数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≤93209.07元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项目持续发挥作用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项目持续发挥作用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≥10年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群众满意度（%）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群众满意度（%）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≥80%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6"/>
      <w:r>
        <w:rPr>
          <w:rFonts w:ascii="方正仿宋_GBK" w:eastAsia="方正仿宋_GBK" w:cs="方正仿宋_GBK"/>
          <w:color w:val="000000"/>
          <w:sz w:val="28"/>
        </w:rPr>
        <w:t>3.联通公司MSTP专线费绩效目标表</w:t>
      </w:r>
      <w:bookmarkEnd w:id="6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9"/>
            </w:pPr>
            <w:r>
              <w:t>425001唐山市丰润区融媒体中心本级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8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13020822P00908310002H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联通公司MSTP专线费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2.40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2.40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联通公司MSTP专线费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30%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60%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90%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1.保障机关工作的正常运行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一级指标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二级指标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三级指标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绩效指标描述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≥1个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覆盖率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覆盖率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完成时间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完成时间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2022年底前完成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实际发生成本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实际发生成本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≤0.2万元/月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项目持续发挥作用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项目持续发挥作用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≥90%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7"/>
      <w:r>
        <w:rPr>
          <w:rFonts w:ascii="方正仿宋_GBK" w:eastAsia="方正仿宋_GBK" w:cs="方正仿宋_GBK"/>
          <w:color w:val="000000"/>
          <w:sz w:val="28"/>
        </w:rPr>
        <w:t>4.融媒体中心西办公楼防水及门面改造绩效目标表</w:t>
      </w:r>
      <w:bookmarkEnd w:id="7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9"/>
            </w:pPr>
            <w:r>
              <w:t>425001唐山市丰润区融媒体中心本级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8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13020822P00909210001F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融媒体中心西办公楼防水及门面改造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15.00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15.00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融媒体中心西办公楼防水及门面改造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50%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1.改善办公条件,保障机关工作正常运行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一级指标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二级指标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三级指标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绩效指标描述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≥1个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项目验收合格率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项目验收合格率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工程完成时间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工程完成时间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2022年底前完成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完成工作所需成本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完成工作所需成本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≤1.25万元/月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持续发挥作用期限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持续发挥作用期限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≥10年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≥90%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08"/>
      <w:r>
        <w:rPr>
          <w:rFonts w:ascii="方正仿宋_GBK" w:eastAsia="方正仿宋_GBK" w:cs="方正仿宋_GBK"/>
          <w:color w:val="000000"/>
          <w:sz w:val="28"/>
        </w:rPr>
        <w:t>5.用创收收入偿还历史债务绩效目标表</w:t>
      </w:r>
      <w:bookmarkEnd w:id="8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9"/>
            </w:pPr>
            <w:r>
              <w:t>425001唐山市丰润区融媒体中心本级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8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13020822P00947710001C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用创收收入偿还历史债务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23.75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23.75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用创收收入偿还历史债务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50%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1.用创收收入偿还历史债务，保障机关正常运行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一级指标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二级指标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三级指标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绩效指标描述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≥1个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完成时间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完成时间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2022年底前完成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实际发生成本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实际发生成本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≤1.98万元/月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增强影响力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增强影响力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≥90%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09"/>
      <w:r>
        <w:rPr>
          <w:rFonts w:ascii="方正仿宋_GBK" w:eastAsia="方正仿宋_GBK" w:cs="方正仿宋_GBK"/>
          <w:color w:val="000000"/>
          <w:sz w:val="28"/>
        </w:rPr>
        <w:t>6.自筹人员经费（预留）绩效目标表</w:t>
      </w:r>
      <w:bookmarkEnd w:id="9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9"/>
            </w:pPr>
            <w:r>
              <w:t>425001唐山市丰润区融媒体中心本级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8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13020822P009335100020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自筹人员经费（预留）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26.96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26.96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用于自筹人员经费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50%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100%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1.保障自筹人员的工资及保险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一级指标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二级指标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三级指标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绩效指标描述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完成项目数量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≥1个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发放准确率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发放准确率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按时支出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按时支出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2022年6月底前完成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资金成本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资金成本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≤4.5万元/月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预算安排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增强影响力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增强影响力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≥90%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r>
      <w:fldChar w:fldCharType="begin"/>
    </w:r>
    <w:r>
      <w:instrText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evenAndOddHeaders/>
  <w:drawingGridHorizontalSpacing w:val="120"/>
  <w:drawingGridVerticalSpacing w:val="163"/>
  <w:displayHorizontalDrawingGridEvery w:val="0"/>
  <w:displayVerticalDrawingGridEvery w:val="1"/>
  <w:compat>
    <w:spaceForUL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Times New Roman" w:cs="Times New Roman" w:hAnsi="Times New Roman"/>
      <w:sz w:val="24"/>
      <w:szCs w:val="24"/>
      <w:lang w:val="en-US" w:eastAsia="uk-UA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插入文本样式-插入总体目标文件"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职责分类绩效目标文件"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插入文本样式-插入实现年度发展规划目标的保障措施文件"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">
    <w:name w:val="单元格样式4"/>
    <w:basedOn w:val="0"/>
    <w:pPr>
      <w:jc w:val="right"/>
    </w:pPr>
    <w:rPr>
      <w:rFonts w:ascii="方正书宋_GBK" w:eastAsia="方正书宋_GBK" w:cs="方正书宋_GBK"/>
      <w:sz w:val="21"/>
    </w:rPr>
  </w:style>
  <w:style w:type="paragraph" w:customStyle="1" w:styleId="19">
    <w:name w:val="单元格样式5"/>
    <w:basedOn w:val="0"/>
    <w:rPr>
      <w:rFonts w:ascii="方正书宋_GBK" w:eastAsia="方正书宋_GBK" w:cs="方正书宋_GBK"/>
      <w:b/>
      <w:sz w:val="21"/>
    </w:rPr>
  </w:style>
  <w:style w:type="paragraph" w:customStyle="1" w:styleId="20">
    <w:name w:val="单元格样式2"/>
    <w:basedOn w:val="0"/>
    <w:rPr>
      <w:rFonts w:ascii="方正书宋_GBK" w:eastAsia="方正书宋_GBK" w:cs="方正书宋_GBK"/>
      <w:sz w:val="21"/>
    </w:rPr>
  </w:style>
  <w:style w:type="paragraph" w:customStyle="1" w:styleId="21">
    <w:name w:val="单元格样式1"/>
    <w:basedOn w:val="0"/>
    <w:pPr>
      <w:jc w:val="center"/>
    </w:pPr>
    <w:rPr>
      <w:rFonts w:ascii="方正书宋_GBK" w:eastAsia="方正书宋_GBK" w:cs="方正书宋_GBK"/>
      <w:b/>
      <w:sz w:val="21"/>
    </w:rPr>
  </w:style>
  <w:style w:type="paragraph" w:customStyle="1" w:styleId="22">
    <w:name w:val="单元格样式3"/>
    <w:basedOn w:val="0"/>
    <w:pPr>
      <w:jc w:val="center"/>
    </w:pPr>
    <w:rPr>
      <w:rFonts w:ascii="方正书宋_GBK" w:eastAsia="方正书宋_GBK" w:cs="方正书宋_GBK"/>
      <w:sz w:val="21"/>
    </w:rPr>
  </w:style>
  <w:style w:type="paragraph" w:customStyle="1" w:styleId="23">
    <w:name w:val="TOC 2"/>
    <w:basedOn w:val="0"/>
    <w:pPr>
      <w:ind w:left="240"/>
    </w:pPr>
  </w:style>
  <w:style w:type="paragraph" w:customStyle="1" w:styleId="24">
    <w:name w:val="TOC 4"/>
    <w:basedOn w:val="0"/>
    <w:pPr>
      <w:ind w:left="720"/>
    </w:pPr>
  </w:style>
  <w:style w:type="paragraph" w:customStyle="1" w:styleId="25">
    <w:name w:val="TOC 1"/>
    <w:basedOn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AE880C73-327C-4C56-B399-F0DA59D23D3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15</Pages>
  <Words>4240</Words>
  <Characters>4649</Characters>
  <Lines>614</Lines>
  <Paragraphs>427</Paragraphs>
  <CharactersWithSpaces>4680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Administrator</cp:lastModifiedBy>
  <cp:revision>2</cp:revision>
  <dcterms:created xsi:type="dcterms:W3CDTF">2022-03-03T06:17:00Z</dcterms:created>
  <dcterms:modified xsi:type="dcterms:W3CDTF">2024-03-19T07:01:54Z</dcterms:modified>
</cp:coreProperties>
</file>