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工商业联合会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2023年部门预算信息公开情况说明</w:t>
      </w:r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</w:t>
      </w:r>
      <w:r>
        <w:rPr>
          <w:rFonts w:hint="eastAsia" w:eastAsia="方正仿宋_GBK" w:cs="Times New Roman"/>
          <w:color w:val="000000"/>
          <w:sz w:val="28"/>
        </w:rPr>
        <w:t>《中华人民共和国预算法》</w:t>
      </w:r>
      <w:bookmarkStart w:id="4" w:name="_GoBack"/>
      <w:bookmarkEnd w:id="4"/>
      <w:r>
        <w:rPr>
          <w:rFonts w:eastAsia="方正仿宋_GBK" w:cs="Times New Roman"/>
          <w:color w:val="000000"/>
          <w:sz w:val="28"/>
        </w:rPr>
        <w:t>、《地方预决算公开操作规程》和《关于进一步推进预算公开工作的实施意见》规定，现将唐山市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工商业联合会</w:t>
      </w:r>
      <w:r>
        <w:rPr>
          <w:rFonts w:eastAsia="方正仿宋_GBK" w:cs="Times New Roman"/>
          <w:color w:val="000000"/>
          <w:sz w:val="28"/>
        </w:rPr>
        <w:t>2023年部门预算公开如下：</w:t>
      </w:r>
    </w:p>
    <w:p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一、部门职责及机构设置情况</w:t>
      </w:r>
      <w:bookmarkEnd w:id="0"/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部门职责：</w:t>
      </w:r>
    </w:p>
    <w:p>
      <w:pPr>
        <w:spacing w:line="500" w:lineRule="exact"/>
        <w:ind w:firstLine="560"/>
        <w:rPr>
          <w:rFonts w:eastAsia="方正仿宋_GBK" w:cs="Times New Roman"/>
          <w:color w:val="000000"/>
          <w:sz w:val="28"/>
        </w:rPr>
      </w:pPr>
      <w:r>
        <w:rPr>
          <w:rFonts w:hint="eastAsia" w:eastAsia="方正仿宋_GBK" w:cs="Times New Roman"/>
          <w:color w:val="000000"/>
          <w:sz w:val="28"/>
        </w:rPr>
        <w:t>根据《中国工商业联合会章程》规定，工商联地方组织的主要职能与任务是：发扬自我教育的优良传统，宣传贯彻党和国家的方针政策，加强和改进思想政治工作，提倡爱国、敬业、守法、提高会员素质，培养积极分子队伍；调查研究，</w:t>
      </w:r>
      <w:r>
        <w:rPr>
          <w:rFonts w:eastAsia="方正仿宋_GBK" w:cs="Times New Roman"/>
          <w:color w:val="000000"/>
          <w:sz w:val="28"/>
        </w:rPr>
        <w:t>参政议政，参与</w:t>
      </w:r>
      <w:r>
        <w:rPr>
          <w:rFonts w:hint="eastAsia" w:eastAsia="方正仿宋_GBK" w:cs="Times New Roman"/>
          <w:color w:val="000000"/>
          <w:sz w:val="28"/>
        </w:rPr>
        <w:t>全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</w:rPr>
        <w:t>政治、经济生活中重大问题和政治协商，发挥民主监督作用；引导会员积极参加</w:t>
      </w:r>
      <w:r>
        <w:rPr>
          <w:rFonts w:eastAsia="方正仿宋_GBK" w:cs="Times New Roman"/>
          <w:color w:val="000000"/>
          <w:sz w:val="28"/>
        </w:rPr>
        <w:t>经济建设</w:t>
      </w:r>
      <w:r>
        <w:rPr>
          <w:rFonts w:hint="eastAsia" w:eastAsia="方正仿宋_GBK" w:cs="Times New Roman"/>
          <w:color w:val="000000"/>
          <w:sz w:val="28"/>
        </w:rPr>
        <w:t>，弘扬中华民族传统美德，“致富思源、富而思进”，投身光彩事业，走向共同富裕的道路；代表和维护会员的合法权益，</w:t>
      </w:r>
      <w:r>
        <w:rPr>
          <w:rFonts w:eastAsia="方正仿宋_GBK" w:cs="Times New Roman"/>
          <w:color w:val="000000"/>
          <w:sz w:val="28"/>
        </w:rPr>
        <w:t>反映会员的意</w:t>
      </w:r>
      <w:r>
        <w:rPr>
          <w:rFonts w:hint="eastAsia" w:eastAsia="方正仿宋_GBK" w:cs="Times New Roman"/>
          <w:color w:val="000000"/>
          <w:sz w:val="28"/>
        </w:rPr>
        <w:t>见，要求和建议，做好非公有制经济代表人士的政治安排的推荐工作；为会员提供信息和科技、管理、法律、会计、审计、融资、咨询、等项服务，开展工商专业培训；组织会员举办和参加各种经贸活动；发挥民间商会对外交往的优势，增进与港、澳、台地区和世界各国工商社团及工商经济界人士的联系和友谊，促进经济、技术和贸易合作的发展，协助引进资金、技术、人才，组织会员开展民间经贸交流活动。</w:t>
      </w:r>
    </w:p>
    <w:p>
      <w:pPr>
        <w:ind w:firstLine="640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ind w:firstLine="640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部门机构设置情况</w:t>
      </w:r>
    </w:p>
    <w:tbl>
      <w:tblPr>
        <w:tblStyle w:val="2"/>
        <w:tblW w:w="116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2"/>
        <w:gridCol w:w="1590"/>
        <w:gridCol w:w="1834"/>
        <w:gridCol w:w="33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4892" w:type="dxa"/>
            <w:vAlign w:val="center"/>
          </w:tcPr>
          <w:p>
            <w:pPr>
              <w:pStyle w:val="5"/>
            </w:pPr>
            <w:r>
              <w:t>单位名称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</w:pPr>
            <w:r>
              <w:t>单位性质</w:t>
            </w:r>
          </w:p>
        </w:tc>
        <w:tc>
          <w:tcPr>
            <w:tcW w:w="1834" w:type="dxa"/>
            <w:vAlign w:val="center"/>
          </w:tcPr>
          <w:p>
            <w:pPr>
              <w:pStyle w:val="5"/>
            </w:pPr>
            <w:r>
              <w:t>单位规格</w:t>
            </w:r>
          </w:p>
        </w:tc>
        <w:tc>
          <w:tcPr>
            <w:tcW w:w="3302" w:type="dxa"/>
            <w:vAlign w:val="center"/>
          </w:tcPr>
          <w:p>
            <w:pPr>
              <w:pStyle w:val="5"/>
            </w:pPr>
            <w: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892" w:type="dxa"/>
            <w:vAlign w:val="center"/>
          </w:tcPr>
          <w:p>
            <w:pPr>
              <w:pStyle w:val="6"/>
            </w:pPr>
            <w:r>
              <w:t>唐山市</w:t>
            </w:r>
            <w:r>
              <w:rPr>
                <w:rFonts w:hint="eastAsia"/>
                <w:lang w:eastAsia="zh-CN"/>
              </w:rPr>
              <w:t>丰润</w:t>
            </w:r>
            <w:r>
              <w:t>区</w:t>
            </w:r>
            <w:r>
              <w:rPr>
                <w:rFonts w:hint="eastAsia"/>
                <w:lang w:val="en-US" w:eastAsia="zh-CN"/>
              </w:rPr>
              <w:t>工商业联合会</w:t>
            </w:r>
            <w:r>
              <w:t>本级</w:t>
            </w:r>
          </w:p>
        </w:tc>
        <w:tc>
          <w:tcPr>
            <w:tcW w:w="1590" w:type="dxa"/>
            <w:vAlign w:val="center"/>
          </w:tcPr>
          <w:p>
            <w:pPr>
              <w:pStyle w:val="7"/>
            </w:pPr>
            <w:r>
              <w:t>行政</w:t>
            </w:r>
          </w:p>
        </w:tc>
        <w:tc>
          <w:tcPr>
            <w:tcW w:w="1834" w:type="dxa"/>
            <w:vAlign w:val="center"/>
          </w:tcPr>
          <w:p>
            <w:pPr>
              <w:pStyle w:val="7"/>
            </w:pPr>
            <w:r>
              <w:t>正科级</w:t>
            </w:r>
          </w:p>
        </w:tc>
        <w:tc>
          <w:tcPr>
            <w:tcW w:w="3302" w:type="dxa"/>
            <w:vAlign w:val="center"/>
          </w:tcPr>
          <w:p>
            <w:pPr>
              <w:pStyle w:val="7"/>
            </w:pPr>
            <w:r>
              <w:t>财政拨款</w:t>
            </w:r>
          </w:p>
        </w:tc>
      </w:tr>
    </w:tbl>
    <w:p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二、部门预算安排的总体情况</w:t>
      </w:r>
      <w:bookmarkEnd w:id="1"/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按照预算管理有关规定，目前我省部门预算的编制实行综合预算管理，即全部收入和支出都反映在预算中。唐山市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工商业联合会</w:t>
      </w:r>
      <w:r>
        <w:rPr>
          <w:rFonts w:eastAsia="方正仿宋_GBK" w:cs="Times New Roman"/>
          <w:color w:val="000000"/>
          <w:sz w:val="28"/>
        </w:rPr>
        <w:t>机关及所属事业单位的收支包含在部门预算中。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年单位预算收入169.29万元，其中一般公共预算收入169.29万元，政府性基金收入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年单位预算支出169.29万元，其中基本支出169.29万元，包含人员经费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155.79</w:t>
      </w:r>
      <w:r>
        <w:rPr>
          <w:rFonts w:hint="eastAsia" w:eastAsia="方正仿宋_GBK" w:cs="Times New Roman"/>
          <w:sz w:val="28"/>
        </w:rPr>
        <w:t>元、正常公用经费</w:t>
      </w:r>
      <w:r>
        <w:rPr>
          <w:rFonts w:hint="eastAsia" w:eastAsia="方正仿宋_GBK" w:cs="Times New Roman"/>
          <w:sz w:val="28"/>
          <w:lang w:val="en-US" w:eastAsia="zh-CN"/>
        </w:rPr>
        <w:t>11.5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2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highlight w:val="none"/>
          <w:lang w:eastAsia="zh-CN"/>
        </w:rPr>
      </w:pPr>
      <w:r>
        <w:rPr>
          <w:rFonts w:hint="eastAsia" w:eastAsia="方正仿宋_GBK" w:cs="Times New Roman"/>
          <w:sz w:val="28"/>
          <w:highlight w:val="none"/>
        </w:rPr>
        <w:t xml:space="preserve"> </w:t>
      </w:r>
      <w:r>
        <w:rPr>
          <w:rFonts w:hint="eastAsia" w:eastAsia="方正仿宋_GBK" w:cs="Times New Roman"/>
          <w:color w:val="auto"/>
          <w:sz w:val="28"/>
          <w:highlight w:val="none"/>
        </w:rPr>
        <w:t>202</w:t>
      </w:r>
      <w:r>
        <w:rPr>
          <w:rFonts w:hint="eastAsia" w:eastAsia="方正仿宋_GBK" w:cs="Times New Roman"/>
          <w:color w:val="auto"/>
          <w:sz w:val="28"/>
          <w:highlight w:val="none"/>
          <w:lang w:eastAsia="zh-CN"/>
        </w:rPr>
        <w:t>3</w:t>
      </w:r>
      <w:r>
        <w:rPr>
          <w:rFonts w:hint="eastAsia" w:eastAsia="方正仿宋_GBK" w:cs="Times New Roman"/>
          <w:color w:val="auto"/>
          <w:sz w:val="28"/>
          <w:highlight w:val="none"/>
        </w:rPr>
        <w:t>年单位预算较2021年增加</w:t>
      </w:r>
      <w:r>
        <w:rPr>
          <w:rFonts w:hint="eastAsia" w:eastAsia="方正仿宋_GBK" w:cs="Times New Roman"/>
          <w:color w:val="auto"/>
          <w:sz w:val="28"/>
          <w:highlight w:val="none"/>
          <w:lang w:val="en-US" w:eastAsia="zh-CN"/>
        </w:rPr>
        <w:t>37.53</w:t>
      </w:r>
      <w:r>
        <w:rPr>
          <w:rFonts w:hint="eastAsia" w:eastAsia="方正仿宋_GBK" w:cs="Times New Roman"/>
          <w:color w:val="auto"/>
          <w:sz w:val="28"/>
          <w:highlight w:val="none"/>
        </w:rPr>
        <w:t>万元，其中人员经费增加</w:t>
      </w:r>
      <w:r>
        <w:rPr>
          <w:rFonts w:hint="eastAsia" w:eastAsia="方正仿宋_GBK" w:cs="Times New Roman"/>
          <w:color w:val="auto"/>
          <w:sz w:val="28"/>
          <w:highlight w:val="none"/>
          <w:lang w:val="en-US" w:eastAsia="zh-CN"/>
        </w:rPr>
        <w:t>39.99</w:t>
      </w:r>
      <w:r>
        <w:rPr>
          <w:rFonts w:hint="eastAsia" w:eastAsia="方正仿宋_GBK" w:cs="Times New Roman"/>
          <w:color w:val="auto"/>
          <w:sz w:val="28"/>
          <w:highlight w:val="none"/>
        </w:rPr>
        <w:t>万元（增加原因为在职人员增加及工资调整）、正常公用经费</w:t>
      </w:r>
      <w:r>
        <w:rPr>
          <w:rFonts w:hint="eastAsia" w:eastAsia="方正仿宋_GBK" w:cs="Times New Roman"/>
          <w:color w:val="auto"/>
          <w:sz w:val="28"/>
          <w:highlight w:val="none"/>
          <w:lang w:eastAsia="zh-CN"/>
        </w:rPr>
        <w:t>增加</w:t>
      </w:r>
      <w:r>
        <w:rPr>
          <w:rFonts w:hint="eastAsia" w:eastAsia="方正仿宋_GBK" w:cs="Times New Roman"/>
          <w:color w:val="auto"/>
          <w:sz w:val="28"/>
          <w:highlight w:val="none"/>
          <w:lang w:val="en-US" w:eastAsia="zh-CN"/>
        </w:rPr>
        <w:t>1.54万元</w:t>
      </w:r>
      <w:r>
        <w:rPr>
          <w:rFonts w:hint="eastAsia" w:eastAsia="方正仿宋_GBK" w:cs="Times New Roman"/>
          <w:color w:val="auto"/>
          <w:sz w:val="28"/>
          <w:highlight w:val="none"/>
          <w:lang w:eastAsia="zh-CN"/>
        </w:rPr>
        <w:t>；</w:t>
      </w:r>
      <w:r>
        <w:rPr>
          <w:rFonts w:hint="eastAsia" w:eastAsia="方正仿宋_GBK" w:cs="Times New Roman"/>
          <w:color w:val="auto"/>
          <w:sz w:val="28"/>
          <w:highlight w:val="none"/>
        </w:rPr>
        <w:t>项目支出</w:t>
      </w:r>
      <w:r>
        <w:rPr>
          <w:rFonts w:hint="eastAsia" w:eastAsia="方正仿宋_GBK" w:cs="Times New Roman"/>
          <w:color w:val="auto"/>
          <w:sz w:val="28"/>
          <w:highlight w:val="none"/>
          <w:lang w:eastAsia="zh-CN"/>
        </w:rPr>
        <w:t>减少</w:t>
      </w:r>
      <w:r>
        <w:rPr>
          <w:rFonts w:hint="eastAsia" w:eastAsia="方正仿宋_GBK" w:cs="Times New Roman"/>
          <w:color w:val="auto"/>
          <w:sz w:val="28"/>
          <w:highlight w:val="none"/>
          <w:lang w:val="en-US" w:eastAsia="zh-CN"/>
        </w:rPr>
        <w:t>4</w:t>
      </w:r>
      <w:r>
        <w:rPr>
          <w:rFonts w:hint="eastAsia" w:eastAsia="方正仿宋_GBK" w:cs="Times New Roman"/>
          <w:color w:val="auto"/>
          <w:sz w:val="28"/>
          <w:highlight w:val="none"/>
        </w:rPr>
        <w:t>万元（</w:t>
      </w:r>
      <w:r>
        <w:rPr>
          <w:rFonts w:hint="eastAsia" w:eastAsia="方正仿宋_GBK" w:cs="Times New Roman"/>
          <w:color w:val="auto"/>
          <w:sz w:val="28"/>
          <w:highlight w:val="none"/>
          <w:lang w:eastAsia="zh-CN"/>
        </w:rPr>
        <w:t>因职工人员增加及调整基数，</w:t>
      </w:r>
      <w:r>
        <w:rPr>
          <w:rFonts w:hint="eastAsia" w:eastAsia="方正仿宋_GBK" w:cs="Times New Roman"/>
          <w:color w:val="auto"/>
          <w:sz w:val="28"/>
          <w:highlight w:val="none"/>
        </w:rPr>
        <w:t>公积金</w:t>
      </w:r>
      <w:r>
        <w:rPr>
          <w:rFonts w:hint="eastAsia" w:eastAsia="方正仿宋_GBK" w:cs="Times New Roman"/>
          <w:color w:val="auto"/>
          <w:sz w:val="28"/>
          <w:highlight w:val="none"/>
          <w:lang w:eastAsia="zh-CN"/>
        </w:rPr>
        <w:t>比去年增加</w:t>
      </w:r>
      <w:r>
        <w:rPr>
          <w:rFonts w:hint="eastAsia" w:eastAsia="方正仿宋_GBK" w:cs="Times New Roman"/>
          <w:color w:val="auto"/>
          <w:sz w:val="28"/>
          <w:highlight w:val="none"/>
        </w:rPr>
        <w:t>）。</w:t>
      </w:r>
      <w:bookmarkStart w:id="2" w:name="_Toc_3_3_0000000012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三、机关运行经费安排情况</w:t>
      </w:r>
      <w:bookmarkEnd w:id="2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年机关运行经费共计安排</w:t>
      </w:r>
      <w:r>
        <w:rPr>
          <w:rFonts w:hint="eastAsia" w:eastAsia="方正仿宋_GBK" w:cs="Times New Roman"/>
          <w:sz w:val="28"/>
          <w:lang w:val="en-US" w:eastAsia="zh-CN"/>
        </w:rPr>
        <w:t>11.5</w:t>
      </w:r>
      <w:r>
        <w:rPr>
          <w:rFonts w:hint="eastAsia" w:eastAsia="方正仿宋_GBK"/>
          <w:sz w:val="28"/>
        </w:rPr>
        <w:t>万元，主要包括用于保证机关正常运转的办公费、邮电费、差旅费、福利费、水电费、办公取暖费、日常维修费、物业管理费、公务车运行维护费等支出。</w:t>
      </w:r>
      <w:bookmarkStart w:id="3" w:name="_Toc_3_3_0000000013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年我部门“三公”经费预算安排</w:t>
      </w:r>
      <w:r>
        <w:rPr>
          <w:rFonts w:hint="eastAsia" w:eastAsia="方正仿宋_GBK"/>
          <w:sz w:val="28"/>
          <w:lang w:eastAsia="zh-CN"/>
        </w:rPr>
        <w:t>0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 (一)公务用车购置及运行费。共计安排0万元，与2022年预算相比无变化。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②公务运行维护经费安排0万元，与上年持平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TE2MzBlNTk4YWUyOTA4YTI3NTlkNjIzOTlhZGMifQ=="/>
  </w:docVars>
  <w:rsids>
    <w:rsidRoot w:val="657176D4"/>
    <w:rsid w:val="1AC1780A"/>
    <w:rsid w:val="34123432"/>
    <w:rsid w:val="593C3374"/>
    <w:rsid w:val="657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1047</Characters>
  <Lines>0</Lines>
  <Paragraphs>0</Paragraphs>
  <TotalTime>3</TotalTime>
  <ScaleCrop>false</ScaleCrop>
  <LinksUpToDate>false</LinksUpToDate>
  <CharactersWithSpaces>1051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Administrator</cp:lastModifiedBy>
  <dcterms:modified xsi:type="dcterms:W3CDTF">2024-03-19T03:45:18Z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3E3A4B464F544A95AD2B2739FCB9C6D9</vt:lpwstr>
  </property>
</Properties>
</file>