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宋体" w:hAnsi="Times New Roman" w:hint="eastAsia"/>
          <w:sz w:val="72"/>
          <w:lang w:eastAsia="zh-CN"/>
        </w:rPr>
      </w:pPr>
      <w:r>
        <w:rPr>
          <w:rFonts w:ascii="Times New Roman" w:hAnsi="Times New Roman" w:hint="eastAsia"/>
          <w:sz w:val="72"/>
          <w:lang w:eastAsia="zh-CN"/>
        </w:rPr>
        <w:t>丰润区融媒体中心</w:t>
      </w:r>
    </w:p>
    <w:p>
      <w:pPr>
        <w:jc w:val="center"/>
        <w:rPr>
          <w:rFonts w:ascii="Times New Roman" w:hAnsi="Times New Roman" w:hint="eastAsia"/>
          <w:sz w:val="72"/>
        </w:rPr>
      </w:pPr>
      <w:r>
        <w:rPr>
          <w:rFonts w:ascii="方正小标宋_GBK" w:eastAsia="方正小标宋_GBK" w:hint="eastAsia"/>
          <w:sz w:val="72"/>
        </w:rPr>
        <w:t>2021年部门预算绩效文本</w:t>
      </w:r>
    </w:p>
    <w:p>
      <w:pPr>
        <w:jc w:val="center"/>
        <w:rPr>
          <w:rFonts w:ascii="Times New Roman" w:hAnsi="Times New Roman" w:hint="eastAsia"/>
          <w:sz w:val="52"/>
        </w:rPr>
      </w:pPr>
      <w:r>
        <w:rPr>
          <w:rFonts w:ascii="方正小标宋_GBK" w:eastAsia="方正小标宋_GBK" w:hint="eastAsia"/>
          <w:sz w:val="52"/>
        </w:rPr>
        <w:t>（批复）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宋体"/>
        </w:rPr>
        <w:t xml:space="preserve"> </w:t>
      </w:r>
    </w:p>
    <w:p>
      <w:pPr>
        <w:jc w:val="center"/>
        <w:rPr>
          <w:rFonts w:ascii="Times New Roman" w:hAnsi="Times New Roman" w:hint="eastAsia"/>
          <w:b/>
          <w:sz w:val="32"/>
        </w:rPr>
      </w:pPr>
      <w:r>
        <w:rPr>
          <w:rFonts w:ascii="方正楷体_GBK" w:eastAsia="方正楷体_GBK" w:hint="eastAsia"/>
          <w:b/>
          <w:sz w:val="32"/>
          <w:lang w:eastAsia="zh-CN"/>
        </w:rPr>
        <w:t>丰润区融媒体中心</w:t>
      </w:r>
      <w:r>
        <w:rPr>
          <w:rFonts w:ascii="方正楷体_GBK" w:eastAsia="方正楷体_GBK" w:hint="eastAsia"/>
          <w:b/>
          <w:sz w:val="32"/>
        </w:rPr>
        <w:t>编制</w:t>
      </w:r>
    </w:p>
    <w:p>
      <w:pPr>
        <w:jc w:val="center"/>
        <w:rPr>
          <w:rFonts w:ascii="Times New Roman" w:hAnsi="Times New Roman" w:hint="eastAsia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唐山市丰润区财政局审核</w:t>
      </w:r>
    </w:p>
    <w:p>
      <w:pPr>
        <w:widowControl/>
        <w:jc w:val="left"/>
      </w:pPr>
      <w:r>
        <w:br w:type="page"/>
      </w:r>
    </w:p>
    <w:p>
      <w:pPr>
        <w:jc w:val="center"/>
        <w:outlineLvl w:val="0"/>
        <w:rPr>
          <w:rFonts w:ascii="Times New Roman" w:hAnsi="Times New Roman" w:hint="eastAsia"/>
          <w:sz w:val="36"/>
        </w:rPr>
      </w:pPr>
      <w:r>
        <w:rPr>
          <w:rFonts w:ascii="方正小标宋_GBK" w:eastAsia="方正小标宋_GBK" w:hint="eastAsia"/>
          <w:sz w:val="36"/>
        </w:rPr>
        <w:t>目    录</w:t>
      </w:r>
    </w:p>
    <w:p>
      <w:pPr>
        <w:jc w:val="center"/>
        <w:rPr>
          <w:rFonts w:ascii="Times New Roman" w:hAnsi="Times New Roman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ascii="Times New Roman" w:hAnsi="Times New Roman" w:hint="eastAsia"/>
          <w:sz w:val="30"/>
        </w:rPr>
      </w:pPr>
      <w:r>
        <w:rPr>
          <w:rFonts w:ascii="方正小标宋_GBK" w:eastAsia="方正小标宋_GBK" w:hint="eastAsia"/>
          <w:sz w:val="30"/>
        </w:rPr>
        <w:t>第一部分 部门整体绩效目标</w:t>
      </w:r>
    </w:p>
    <w:p>
      <w:pPr>
        <w:pStyle w:val="18"/>
        <w:tabs>
          <w:tab w:val="right" w:leader="dot" w:pos="9289"/>
        </w:tabs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/>
          <w:sz w:val="28"/>
        </w:rPr>
        <w:fldChar w:fldCharType="begin"/>
      </w:r>
      <w:r>
        <w:rPr>
          <w:rFonts w:ascii="Times New Roman" w:eastAsia="方正仿宋_GBK" w:hAnsi="Times New Roman"/>
          <w:sz w:val="28"/>
        </w:rPr>
        <w:instrText xml:space="preserve"> TOC \o "2-2" \h \z \u \t "-1" </w:instrText>
      </w:r>
      <w:r>
        <w:rPr>
          <w:rFonts w:ascii="Times New Roman" w:eastAsia="方正仿宋_GBK" w:hAnsi="Times New Roman"/>
          <w:sz w:val="28"/>
        </w:rPr>
        <w:fldChar w:fldCharType="separate"/>
      </w:r>
      <w:r>
        <w:rPr>
          <w:rFonts w:ascii="Times New Roman" w:eastAsia="方正仿宋_GBK" w:hAnsi="Times New Roman"/>
          <w:sz w:val="28"/>
        </w:rPr>
        <w:fldChar w:fldCharType="begin"/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Fonts w:ascii="Times New Roman" w:eastAsia="方正仿宋_GBK" w:hAnsi="Times New Roman"/>
          <w:sz w:val="28"/>
        </w:rPr>
        <w:instrText>HYPERLINK \l "_Toc65511972"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separate"/>
      </w:r>
      <w:r>
        <w:rPr>
          <w:rFonts w:ascii="Times New Roman" w:eastAsia="方正仿宋_GBK" w:hAnsi="Times New Roman" w:hint="eastAsia"/>
          <w:sz w:val="28"/>
          <w:u w:val="none"/>
        </w:rPr>
        <w:t>一、总体绩效目标</w:t>
      </w:r>
      <w:r>
        <w:rPr>
          <w:rFonts w:ascii="Times New Roman" w:eastAsia="方正仿宋_GBK" w:hAnsi="Times New Roman"/>
          <w:sz w:val="28"/>
        </w:rPr>
        <w:tab/>
      </w:r>
      <w:r>
        <w:rPr>
          <w:rFonts w:ascii="Times New Roman" w:eastAsia="方正仿宋_GBK" w:hAnsi="Times New Roman"/>
          <w:sz w:val="28"/>
        </w:rPr>
        <w:fldChar w:fldCharType="begin"/>
      </w:r>
      <w:r>
        <w:rPr>
          <w:rFonts w:ascii="Times New Roman" w:eastAsia="方正仿宋_GBK" w:hAnsi="Times New Roman"/>
          <w:sz w:val="28"/>
        </w:rPr>
        <w:instrText xml:space="preserve"> PAGEREF _Toc65511972 \h </w:instrText>
      </w:r>
      <w:r>
        <w:rPr>
          <w:rFonts w:ascii="Times New Roman" w:eastAsia="方正仿宋_GBK" w:hAnsi="Times New Roman"/>
          <w:sz w:val="28"/>
        </w:rPr>
        <w:fldChar w:fldCharType="separate"/>
      </w:r>
      <w:r>
        <w:rPr>
          <w:rFonts w:ascii="Times New Roman" w:eastAsia="方正仿宋_GBK" w:hAnsi="Times New Roman"/>
          <w:sz w:val="28"/>
        </w:rPr>
        <w:t>1</w:t>
      </w:r>
      <w:r>
        <w:rPr>
          <w:rFonts w:ascii="Times New Roman" w:eastAsia="方正仿宋_GBK" w:hAnsi="Times New Roman"/>
          <w:sz w:val="28"/>
        </w:rPr>
        <w:fldChar w:fldCharType="end"/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end"/>
      </w:r>
    </w:p>
    <w:p>
      <w:pPr>
        <w:pStyle w:val="18"/>
        <w:tabs>
          <w:tab w:val="right" w:leader="dot" w:pos="9289"/>
        </w:tabs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/>
          <w:sz w:val="28"/>
        </w:rPr>
        <w:fldChar w:fldCharType="begin"/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Fonts w:ascii="Times New Roman" w:eastAsia="方正仿宋_GBK" w:hAnsi="Times New Roman"/>
          <w:sz w:val="28"/>
        </w:rPr>
        <w:instrText>HYPERLINK \l "_Toc65511973"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separate"/>
      </w:r>
      <w:r>
        <w:rPr>
          <w:rFonts w:ascii="Times New Roman" w:eastAsia="方正仿宋_GBK" w:hAnsi="Times New Roman" w:hint="eastAsia"/>
          <w:sz w:val="28"/>
          <w:u w:val="none"/>
        </w:rPr>
        <w:t>二、分项绩效目标</w:t>
      </w:r>
      <w:r>
        <w:rPr>
          <w:rFonts w:ascii="Times New Roman" w:eastAsia="方正仿宋_GBK" w:hAnsi="Times New Roman"/>
          <w:sz w:val="28"/>
        </w:rPr>
        <w:tab/>
      </w:r>
      <w:r>
        <w:rPr>
          <w:rFonts w:ascii="Times New Roman" w:eastAsia="方正仿宋_GBK" w:hAnsi="Times New Roman"/>
          <w:sz w:val="28"/>
        </w:rPr>
        <w:fldChar w:fldCharType="begin"/>
      </w:r>
      <w:r>
        <w:rPr>
          <w:rFonts w:ascii="Times New Roman" w:eastAsia="方正仿宋_GBK" w:hAnsi="Times New Roman"/>
          <w:sz w:val="28"/>
        </w:rPr>
        <w:instrText xml:space="preserve"> PAGEREF _Toc65511973 \h </w:instrText>
      </w:r>
      <w:r>
        <w:rPr>
          <w:rFonts w:ascii="Times New Roman" w:eastAsia="方正仿宋_GBK" w:hAnsi="Times New Roman"/>
          <w:sz w:val="28"/>
        </w:rPr>
        <w:fldChar w:fldCharType="separate"/>
      </w:r>
      <w:r>
        <w:rPr>
          <w:rFonts w:ascii="Times New Roman" w:eastAsia="方正仿宋_GBK" w:hAnsi="Times New Roman"/>
          <w:sz w:val="28"/>
        </w:rPr>
        <w:t>2</w:t>
      </w:r>
      <w:r>
        <w:rPr>
          <w:rFonts w:ascii="Times New Roman" w:eastAsia="方正仿宋_GBK" w:hAnsi="Times New Roman"/>
          <w:sz w:val="28"/>
        </w:rPr>
        <w:fldChar w:fldCharType="end"/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end"/>
      </w:r>
    </w:p>
    <w:p>
      <w:pPr>
        <w:pStyle w:val="18"/>
        <w:tabs>
          <w:tab w:val="right" w:leader="dot" w:pos="9289"/>
        </w:tabs>
        <w:rPr>
          <w:rFonts w:ascii="Times New Roman" w:eastAsia="方正仿宋_GBK" w:hAnsi="Times New Roman"/>
          <w:sz w:val="28"/>
        </w:rPr>
      </w:pPr>
      <w:r>
        <w:rPr>
          <w:rFonts w:ascii="Times New Roman" w:eastAsia="方正仿宋_GBK" w:hAnsi="Times New Roman"/>
          <w:sz w:val="28"/>
        </w:rPr>
        <w:fldChar w:fldCharType="begin"/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Fonts w:ascii="Times New Roman" w:eastAsia="方正仿宋_GBK" w:hAnsi="Times New Roman"/>
          <w:sz w:val="28"/>
        </w:rPr>
        <w:instrText>HYPERLINK \l "_Toc65511974"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instrText xml:space="preserve"> </w:instrText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separate"/>
      </w:r>
      <w:r>
        <w:rPr>
          <w:rFonts w:ascii="Times New Roman" w:eastAsia="方正仿宋_GBK" w:hAnsi="Times New Roman" w:hint="eastAsia"/>
          <w:sz w:val="28"/>
          <w:u w:val="none"/>
        </w:rPr>
        <w:t>三、工作保障措施</w:t>
      </w:r>
      <w:r>
        <w:rPr>
          <w:rFonts w:ascii="Times New Roman" w:eastAsia="方正仿宋_GBK" w:hAnsi="Times New Roman"/>
          <w:sz w:val="28"/>
        </w:rPr>
        <w:tab/>
      </w:r>
      <w:r>
        <w:rPr>
          <w:rFonts w:ascii="Times New Roman" w:eastAsia="方正仿宋_GBK" w:hAnsi="Times New Roman"/>
          <w:sz w:val="28"/>
        </w:rPr>
        <w:fldChar w:fldCharType="begin"/>
      </w:r>
      <w:r>
        <w:rPr>
          <w:rFonts w:ascii="Times New Roman" w:eastAsia="方正仿宋_GBK" w:hAnsi="Times New Roman"/>
          <w:sz w:val="28"/>
        </w:rPr>
        <w:instrText xml:space="preserve"> PAGEREF _Toc65511974 \h </w:instrText>
      </w:r>
      <w:r>
        <w:rPr>
          <w:rFonts w:ascii="Times New Roman" w:eastAsia="方正仿宋_GBK" w:hAnsi="Times New Roman"/>
          <w:sz w:val="28"/>
        </w:rPr>
        <w:fldChar w:fldCharType="separate"/>
      </w:r>
      <w:r>
        <w:rPr>
          <w:rFonts w:ascii="Times New Roman" w:eastAsia="方正仿宋_GBK" w:hAnsi="Times New Roman"/>
          <w:sz w:val="28"/>
        </w:rPr>
        <w:t>4</w:t>
      </w:r>
      <w:r>
        <w:rPr>
          <w:rFonts w:ascii="Times New Roman" w:eastAsia="方正仿宋_GBK" w:hAnsi="Times New Roman"/>
          <w:sz w:val="28"/>
        </w:rPr>
        <w:fldChar w:fldCharType="end"/>
      </w:r>
      <w:r>
        <w:rPr>
          <w:rStyle w:val="20"/>
          <w:rFonts w:ascii="Times New Roman" w:eastAsia="方正仿宋_GBK" w:hAnsi="Times New Roman"/>
          <w:sz w:val="28"/>
          <w:u w:val="none"/>
        </w:rPr>
        <w:fldChar w:fldCharType="end"/>
      </w:r>
    </w:p>
    <w:p>
      <w:pPr>
        <w:ind w:leftChars="200" w:left="420"/>
        <w:jc w:val="center"/>
        <w:rPr>
          <w:rFonts w:ascii="Times New Roman" w:hAnsi="Times New Roman"/>
        </w:rPr>
      </w:pPr>
      <w:r>
        <w:rPr>
          <w:rFonts w:ascii="Times New Roman" w:eastAsia="方正仿宋_GBK" w:hAnsi="Times New Roman"/>
          <w:sz w:val="28"/>
        </w:rPr>
        <w:fldChar w:fldCharType="end"/>
      </w:r>
    </w:p>
    <w:p>
      <w:pPr>
        <w:jc w:val="center"/>
        <w:rPr>
          <w:b w:val="0"/>
          <w:bCs w:val="0"/>
          <w:sz w:val="32"/>
          <w:szCs w:val="32"/>
        </w:rPr>
        <w:sectPr>
          <w:headerReference w:type="default" r:id="rId2"/>
          <w:footerReference w:type="even" r:id="rId3"/>
          <w:pgSz w:w="11907" w:h="16839"/>
          <w:pgMar w:top="1587" w:right="1020" w:bottom="1361" w:left="1020" w:header="851" w:footer="992" w:gutter="0"/>
          <w:docGrid w:type="lines" w:linePitch="312" w:charSpace="0"/>
        </w:sectPr>
      </w:pPr>
      <w:r>
        <w:rPr>
          <w:rFonts w:ascii="方正小标宋_GBK" w:eastAsia="方正小标宋_GBK" w:hint="eastAsia"/>
          <w:sz w:val="30"/>
          <w:lang w:val="en-US" w:eastAsia="zh-CN"/>
        </w:rPr>
        <w:t xml:space="preserve">        </w:t>
      </w:r>
      <w:r>
        <w:rPr>
          <w:rFonts w:ascii="方正小标宋_GBK" w:eastAsia="方正小标宋_GBK" w:hint="eastAsia"/>
          <w:sz w:val="30"/>
        </w:rPr>
        <w:t xml:space="preserve">第二部分 </w:t>
      </w:r>
      <w:r>
        <w:rPr>
          <w:rFonts w:ascii="方正小标宋_GBK" w:eastAsia="方正小标宋_GBK" w:hint="eastAsia"/>
          <w:sz w:val="30"/>
          <w:lang w:val="en-US" w:eastAsia="zh-CN"/>
        </w:rPr>
        <w:t xml:space="preserve"> </w:t>
      </w:r>
      <w:r>
        <w:rPr>
          <w:rFonts w:ascii="宋体" w:eastAsia="宋体" w:cs="宋体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部门整体支出绩效指标情况</w:t>
      </w:r>
    </w:p>
    <w:p>
      <w:pPr>
        <w:pStyle w:val="2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ind w:left="0" w:firstLine="0"/>
        <w:jc w:val="left"/>
        <w:rPr>
          <w:rFonts w:ascii="宋体" w:eastAsia="宋体" w:hint="eastAsia"/>
          <w:b/>
          <w:bCs/>
          <w:sz w:val="36"/>
          <w:szCs w:val="36"/>
          <w:lang w:eastAsia="zh-CN"/>
        </w:rPr>
      </w:pPr>
      <w:r>
        <w:rPr>
          <w:rFonts w:ascii="宋体" w:hint="eastAsia"/>
          <w:b/>
          <w:bCs/>
          <w:sz w:val="36"/>
          <w:szCs w:val="36"/>
          <w:lang w:eastAsia="zh-CN"/>
        </w:rPr>
        <w:t>总体绩效目标</w:t>
      </w:r>
    </w:p>
    <w:p>
      <w:pPr>
        <w:pStyle w:val="2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ind w:left="0" w:firstLineChars="200" w:firstLine="640"/>
        <w:jc w:val="lef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宣传党的路线、方针、政策和区委、区政府的工作部署，坚持正确舆论导向，发挥主流媒体作用；办好各类广播电视节目；开展各类宣传工作；配合上级台完成我区的采访报道工作并提供各类节目；承担区委、区政府宣传片的创作生产、专题片等的创作生产。做好各类广播电视节目制作、宣传、采访报道、传输发射实验以及影视剧、专题片等创作生产。建立广播电视安全播出保障体系，加强台站、安全播出管理。组织实施重大公益工程和公益活动。加强技术管理、技术升级改造及设备设施维护，开展新技术应用。向移动互联网跨越发展，打造智能生活服务类客户端，促进媒体融合。研发新节目，打造品牌活动；媒体识别度和影响力进一步提升，收听收看群体扩大；广告创收任务完成。通过技术升级，实现区级台内容资源互通互享，提高节目制力和传播能力；拓展新媒体传播途径，开拓新型业务。</w:t>
      </w:r>
    </w:p>
    <w:p>
      <w:pPr>
        <w:pStyle w:val="2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ind w:left="0" w:firstLineChars="200" w:firstLine="640"/>
        <w:jc w:val="left"/>
        <w:rPr>
          <w:rFonts w:ascii="宋体" w:eastAsia="宋体"/>
          <w:sz w:val="32"/>
          <w:szCs w:val="32"/>
        </w:rPr>
      </w:pPr>
    </w:p>
    <w:p>
      <w:pPr>
        <w:pStyle w:val="2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ind w:left="0" w:firstLine="0"/>
        <w:jc w:val="left"/>
        <w:rPr>
          <w:rFonts w:ascii="宋体" w:hint="eastAsia"/>
          <w:b/>
          <w:bCs/>
          <w:sz w:val="36"/>
          <w:szCs w:val="36"/>
          <w:lang w:eastAsia="zh-CN"/>
        </w:rPr>
      </w:pPr>
      <w:r>
        <w:rPr>
          <w:rFonts w:ascii="宋体" w:hint="eastAsia"/>
          <w:b/>
          <w:bCs/>
          <w:sz w:val="36"/>
          <w:szCs w:val="36"/>
          <w:lang w:eastAsia="zh-CN"/>
        </w:rPr>
        <w:t>分项绩效目标</w:t>
      </w:r>
    </w:p>
    <w:p>
      <w:pPr>
        <w:pStyle w:val="2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ind w:left="0" w:firstLine="0"/>
        <w:jc w:val="left"/>
        <w:rPr>
          <w:rFonts w:ascii="宋体" w:hint="eastAsia"/>
          <w:b/>
          <w:bCs/>
          <w:sz w:val="32"/>
          <w:szCs w:val="32"/>
          <w:lang w:eastAsia="zh-CN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sz w:val="32"/>
          <w:szCs w:val="32"/>
        </w:rPr>
        <w:t>1、</w:t>
      </w:r>
      <w:r>
        <w:rPr>
          <w:rFonts w:ascii="宋体" w:eastAsia="宋体"/>
          <w:b/>
          <w:sz w:val="32"/>
          <w:szCs w:val="32"/>
        </w:rPr>
        <w:t>新闻出版广播影视产业建设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b/>
          <w:sz w:val="32"/>
          <w:szCs w:val="32"/>
        </w:rPr>
        <w:t xml:space="preserve">  </w:t>
      </w:r>
      <w:r>
        <w:rPr>
          <w:rFonts w:ascii="宋体" w:eastAsia="宋体"/>
          <w:sz w:val="32"/>
          <w:szCs w:val="32"/>
        </w:rPr>
        <w:t>绩效目标：统筹规划并组织实施新闻出版广播影视产业发展,推进广电网与电信网、互联网三网融合；指导、协调产业项目开展，推动IPTV播控平台功能完善工作，监督、指导相关单位在全区全面推开IPTV业务。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绩效指标：指导、协调产业项目开展，推动IPTV播控平台功能的完善工作，IPTV播控平台功能完善工作大于等于90%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2、</w:t>
      </w:r>
      <w:r>
        <w:rPr>
          <w:rFonts w:ascii="宋体" w:eastAsia="宋体"/>
          <w:b/>
          <w:sz w:val="32"/>
          <w:szCs w:val="32"/>
        </w:rPr>
        <w:t>广播影视节目制作能力建设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b/>
          <w:sz w:val="32"/>
          <w:szCs w:val="32"/>
        </w:rPr>
        <w:t xml:space="preserve">  </w:t>
      </w:r>
      <w:r>
        <w:rPr>
          <w:rFonts w:ascii="宋体" w:eastAsia="宋体"/>
          <w:sz w:val="32"/>
          <w:szCs w:val="32"/>
        </w:rPr>
        <w:t xml:space="preserve"> 绩效目标：加强技术管理、技术升级改造及设备设施维护，开展新技术应用。向移动互联网跨越发展，打造智能生活服务类客户端，促进媒体融合。通过技术升级，实现区级台内容资源互通互享，提高节目制力和传播能力；拓展新媒体传播途径，开拓新型业务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绩效指标：加强技术管理、技术升级改造及设施设备维护，开展新技术应用，向移动或联网跨越发展，打造智能生活服务类客户端，促进媒体融合，使节目制力和传播能力大于等于90%。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3、</w:t>
      </w:r>
      <w:r>
        <w:rPr>
          <w:rFonts w:ascii="宋体" w:eastAsia="宋体"/>
          <w:b/>
          <w:sz w:val="32"/>
          <w:szCs w:val="32"/>
        </w:rPr>
        <w:t>坚持正确的舆论导向，精准定位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b/>
          <w:sz w:val="32"/>
          <w:szCs w:val="32"/>
        </w:rPr>
        <w:t xml:space="preserve">   </w:t>
      </w:r>
      <w:r>
        <w:rPr>
          <w:rFonts w:ascii="宋体" w:eastAsia="宋体"/>
          <w:sz w:val="32"/>
          <w:szCs w:val="32"/>
        </w:rPr>
        <w:t>绩效目标：紧紧围绕中央、省、市、的决策部署和区委、区政府中心工作，开展有计划有重点、有深度的宣传报道，办好各类电视节目。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 绩效指标：开展各类宣传工作，更好地塑树全区对内对外形象，打造我区健康发展的舆论强势。对外宣传大于等于95%。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sz w:val="32"/>
          <w:szCs w:val="32"/>
        </w:rPr>
        <w:t>4、</w:t>
      </w:r>
      <w:r>
        <w:rPr>
          <w:rFonts w:ascii="宋体" w:eastAsia="宋体"/>
          <w:b/>
          <w:sz w:val="32"/>
          <w:szCs w:val="32"/>
        </w:rPr>
        <w:t>以创新为主旨，拓展工作思路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绩效目标：运营好“智慧丰润”手机APP，各项功能和内容，纳入各局委办、乡镇资讯，形成一体化宣传模式；增加视频内容和信息量，学会用网络语言表达新闻信息。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绩效指标：扩大智慧丰润影响力，使智慧丰润的下载量大于等于80%。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sz w:val="32"/>
          <w:szCs w:val="32"/>
        </w:rPr>
        <w:t>5、</w:t>
      </w:r>
      <w:r>
        <w:rPr>
          <w:rFonts w:ascii="宋体" w:eastAsia="宋体"/>
          <w:b/>
          <w:sz w:val="32"/>
          <w:szCs w:val="32"/>
        </w:rPr>
        <w:t>依托“平安城市广播系统”，实现区委、区政府声音的精准化、无缝隙覆盖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   绩效目标：在光滑道、幸福道、曹雪芹大街.....等城区主干道上，依托路灯杆安装室外音柱；每天早中晚三个时段，播出丰润新闻、区委区政府的通知通告、转播中央人民广播电台《全国新闻联播》、道德模范展示、好人好事发布等全区各项重点工作宣传；在遇到重大突发事件时，依托该系统，能及时澄清谣言，引导民众科学应对，准确地传播正面声音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绩效指标：实现对播出节目的制作和总体控制，广播系统无缝隙覆盖率大于等于90%。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hint="eastAsia"/>
          <w:b/>
          <w:bCs/>
          <w:sz w:val="36"/>
          <w:szCs w:val="36"/>
          <w:lang w:eastAsia="zh-CN"/>
        </w:rPr>
      </w:pPr>
      <w:r>
        <w:rPr>
          <w:rFonts w:ascii="宋体" w:hint="eastAsia"/>
          <w:b/>
          <w:bCs/>
          <w:sz w:val="36"/>
          <w:szCs w:val="36"/>
          <w:lang w:eastAsia="zh-CN"/>
        </w:rPr>
        <w:t>工作保障措施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0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/>
          <w:b/>
          <w:sz w:val="32"/>
          <w:szCs w:val="32"/>
        </w:rPr>
        <w:t>1、</w:t>
      </w:r>
      <w:r>
        <w:rPr>
          <w:rFonts w:ascii="宋体" w:eastAsia="宋体"/>
          <w:sz w:val="32"/>
          <w:szCs w:val="32"/>
        </w:rPr>
        <w:t>夯实基础工作，完善内部管理，汇聚工作合力。严格执行《关于加强机关工作纪律的管理办法》、《财务支出管理制度》等工作制度，台领导带队，每周定期地对全台各个岗位、各个层面进行检查；结合部门特点，制定责任编辑、摄像、技术、后勤等各岗位工作职责，严格管理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用制度管人，</w:t>
      </w:r>
      <w:r>
        <w:rPr>
          <w:rFonts w:ascii="宋体" w:eastAsia="宋体"/>
          <w:color w:val="333333"/>
          <w:sz w:val="32"/>
          <w:szCs w:val="32"/>
        </w:rPr>
        <w:t>建立学习制度，以《学习强国》为网上平台，以部门例会为网下平台，每周开展理论和业务学习，特别是新闻、专题、文艺和新媒体等业务部门通过主任讲、大家评的形式，提升理论业务水平。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0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坚持以科学发展关为指导，以部门预算管理为主线，成立绩效监查工作小组，定期或不定期的对工作开展绩效跟踪，检查。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00" w:lineRule="exact"/>
        <w:jc w:val="lef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深化、细化“一岗双责”要求，从严控制“三公”经费支出，把党风廉政建设列入台党总支重要议事日程，与融媒体业务工作研究、同部署、同落实、同检查、同考核、同推进。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00" w:lineRule="exact"/>
        <w:jc w:val="lef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 xml:space="preserve">建立相应的协调机构，全面梳理业务流程，分析业务流程，分析风险隐患，完善评估机制，制定应对策略。 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完善制度建设。制定完善预算绩效管理制度、资金管理办法、工作保障制度等，为全年预算绩效目标的实现奠定制度基础。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加强绩效运行监控。按要求开展绩效运行监控，发现问题及时采取措施，确保绩效目标如期保质实现。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做好绩效自评。按要求开展上年度部门预算绩效自评和重点评价工作，对评价中发现的问题及时整改，调整优化支出结构，提高财政资金使用效益。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规范财务资产管理，完善财务管理制度，严格审批程序，加强固定资产登记、使用和报废处置管理，做到支出合理，物尽其用。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t>加强宣传培训调研。加强人员培训，提高本部门职工业务素质；加强调研，提出优化财政资金配置、提高资金使用效益的意见</w:t>
      </w:r>
      <w:bookmarkStart w:id="0" w:name="_GoBack"/>
      <w:bookmarkEnd w:id="0"/>
      <w:r>
        <w:rPr>
          <w:rFonts w:ascii="宋体" w:eastAsia="宋体"/>
          <w:sz w:val="32"/>
          <w:szCs w:val="32"/>
        </w:rPr>
        <w:t>；加大宣传力度，强化预算绩效管理意识，促进预算绩效管理水平进一步提升。</w:t>
      </w:r>
    </w:p>
    <w:p>
      <w:pPr>
        <w:tabs>
          <w:tab w:val="left" w:pos="360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rPr>
          <w:rFonts w:ascii="宋体" w:eastAsia="宋体" w:hint="eastAsia"/>
          <w:lang w:eastAsia="zh-CN"/>
        </w:rPr>
      </w:pPr>
    </w:p>
    <w:p>
      <w:pPr>
        <w:tabs>
          <w:tab w:val="left" w:pos="360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80" w:lineRule="exact"/>
        <w:ind w:left="360"/>
        <w:rPr>
          <w:rFonts w:ascii="宋体" w:eastAsia="宋体"/>
        </w:rPr>
      </w:pP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</w:tabs>
        <w:spacing w:line="500" w:lineRule="exact"/>
        <w:jc w:val="left"/>
        <w:rPr>
          <w:rFonts w:ascii="宋体" w:eastAsia="宋体"/>
        </w:rPr>
        <w:sectPr>
          <w:footerReference w:type="default" r:id="rId4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tbl>
      <w:tblPr>
        <w:jc w:val="left"/>
        <w:tblInd w:w="93" w:type="dxa"/>
        <w:tblW w:w="1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836"/>
        <w:gridCol w:w="1891"/>
        <w:gridCol w:w="2349"/>
        <w:gridCol w:w="1656"/>
        <w:gridCol w:w="936"/>
        <w:gridCol w:w="946"/>
        <w:gridCol w:w="2207"/>
        <w:gridCol w:w="1891"/>
      </w:tblGrid>
      <w:tr>
        <w:trPr>
          <w:trHeight w:val="600"/>
        </w:trPr>
        <w:tc>
          <w:tcPr>
            <w:tcW w:w="15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3DC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43"/>
                <w:szCs w:val="43"/>
                <w:u w:val="none"/>
                <w:bdr w:val="none" w:sz="0" w:space="0" w:color="auto"/>
                <w:lang w:val="en-US" w:eastAsia="zh-CN"/>
              </w:rPr>
              <w:t>部门整体支出绩效指标情况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2.00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一级指标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二级指标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三级指标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绩效指标描述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评（扣）分标准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指标值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指标值确定依据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3.00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符号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单位（文字描述）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4.00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产出指标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数量指标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预算人数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使用预算的人员数量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人数是否准确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=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212.00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人员编制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5.00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质量指标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优良率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各项业务工作顺利开展，机关正常运转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是否达到规定值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文字描述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优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工作要求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6.00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时效指标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按时间进度完成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按时间进度完成各项工作目标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是否逾期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文字描述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2021年12月底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年度安排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7.00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成本指标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发放成本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按标准安排每月各类经费支出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是否超过预定值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≤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167.45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万元/月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测算标准</w:t>
            </w:r>
          </w:p>
        </w:tc>
      </w:tr>
      <w:tr>
        <w:trPr>
          <w:trHeight w:val="85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8.00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效益指标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社会效益指标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社会影响力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发挥融媒体中心的优势，做好区委区政府的宣传工作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是否达到设定状态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文字描述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优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工作标准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9.00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10.00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11.00</w:t>
            </w:r>
          </w:p>
        </w:tc>
        <w:tc>
          <w:tcPr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满意度指标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服务对象满意度指标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满意度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单位人员满意度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是否达到设定状态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≥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95.00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调查问卷</w:t>
            </w: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12.00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375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13.00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</w:tabs>
        <w:spacing w:line="500" w:lineRule="exact"/>
        <w:ind w:left="840"/>
        <w:jc w:val="left"/>
        <w:rPr>
          <w:rFonts w:ascii="宋体" w:eastAsia="宋体"/>
        </w:rPr>
        <w:sectPr>
          <w:pgSz w:w="16838" w:h="11906" w:orient="landscape"/>
          <w:pgMar w:top="1800" w:right="1440" w:bottom="1800" w:left="1440" w:header="851" w:footer="992" w:gutter="0"/>
          <w:docGrid w:type="lines" w:linePitch="312" w:charSpace="0"/>
        </w:sectPr>
      </w:pPr>
    </w:p>
    <w:p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</w:tabs>
        <w:spacing w:line="500" w:lineRule="exact"/>
        <w:jc w:val="left"/>
        <w:rPr>
          <w:rFonts w:ascii="宋体" w:eastAsia="宋体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altName w:val="宋体"/>
    <w:panose1 w:val="00000000000000000000"/>
    <w:charset w:val="86"/>
    <w:family w:val="roman"/>
    <w:pitch w:val="variable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variable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1"/>
    <w:multiLevelType w:val="singleLevel"/>
    <w:tmpl w:val="00000001"/>
    <w:lvl w:ilvl="0">
      <w:start w:val="2"/>
      <w:numFmt w:val="decimal"/>
      <w:lvlRestart w:val="0"/>
      <w:lvlText w:val="%1、"/>
      <w:lvlJc w:val="left"/>
      <w:pPr>
        <w:ind w:left="360" w:hanging="360"/>
      </w:pPr>
      <w:rPr>
        <w:rFonts w:ascii="宋体" w:hAnsi="宋体" w:eastAsia="宋体"/>
        <w:b w:val="0"/>
        <w:i w:val="0"/>
        <w:strike w:val="0"/>
        <w:dstrike w:val="0"/>
        <w:color w:val="auto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4"/>
    <w:basedOn w:val="0"/>
    <w:next w:val="0"/>
    <w:pPr>
      <w:ind w:leftChars="600" w:left="600"/>
    </w:pPr>
  </w:style>
  <w:style w:type="paragraph" w:styleId="18">
    <w:name w:val="toc 2"/>
    <w:basedOn w:val="0"/>
    <w:next w:val="0"/>
    <w:pPr>
      <w:ind w:leftChars="200" w:left="200"/>
    </w:p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  <w:style w:type="paragraph" w:customStyle="1" w:styleId="21">
    <w:name w:val="列出段落"/>
    <w:basedOn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77111021-48FA-452C-967C-0501156E790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8</Pages>
  <Words>2544</Words>
  <Characters>2636</Characters>
  <Lines>248</Lines>
  <Paragraphs>113</Paragraphs>
  <CharactersWithSpaces>2706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2021-03-11T06:00:00Z</dcterms:created>
  <dcterms:modified xsi:type="dcterms:W3CDTF">2024-03-19T03:19:44Z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2052-11.1.0.10356</vt:lpwstr>
  </property>
  <property fmtid="{D5CDD505-2E9C-101B-9397-08002B2CF9AE}" pid="3" name="ICV">
    <vt:lpwstr>FE04FA81FE6444159ED4B85C0602308C</vt:lpwstr>
  </property>
</Properties>
</file>