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104"/>
      <w:r>
        <w:rPr>
          <w:rFonts w:ascii="方正小标宋_GBK" w:hAnsi="方正小标宋_GBK" w:eastAsia="方正小标宋_GBK" w:cs="方正小标宋_GBK"/>
          <w:b w:val="0"/>
          <w:color w:val="000000"/>
          <w:sz w:val="44"/>
        </w:rPr>
        <w:t>八十六、唐山市丰润区王官营镇中心校幼儿园收支预算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87.64</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87.64</w:t>
            </w:r>
          </w:p>
        </w:tc>
        <w:tc>
          <w:tcPr>
            <w:tcW w:w="4535" w:type="dxa"/>
            <w:vAlign w:val="center"/>
          </w:tcPr>
          <w:p>
            <w:pPr>
              <w:pStyle w:val="11"/>
            </w:pPr>
            <w:r>
              <w:t>本年支出合计</w:t>
            </w:r>
          </w:p>
        </w:tc>
        <w:tc>
          <w:tcPr>
            <w:tcW w:w="2126" w:type="dxa"/>
            <w:vAlign w:val="center"/>
          </w:tcPr>
          <w:p>
            <w:pPr>
              <w:pStyle w:val="12"/>
            </w:pPr>
            <w:r>
              <w:t>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87.64</w:t>
            </w:r>
          </w:p>
        </w:tc>
        <w:tc>
          <w:tcPr>
            <w:tcW w:w="4535" w:type="dxa"/>
            <w:vAlign w:val="center"/>
          </w:tcPr>
          <w:p>
            <w:pPr>
              <w:pStyle w:val="11"/>
            </w:pPr>
            <w:r>
              <w:t>支出总计</w:t>
            </w:r>
          </w:p>
        </w:tc>
        <w:tc>
          <w:tcPr>
            <w:tcW w:w="2126" w:type="dxa"/>
            <w:vAlign w:val="center"/>
          </w:tcPr>
          <w:p>
            <w:pPr>
              <w:pStyle w:val="12"/>
            </w:pPr>
            <w:r>
              <w:t>87.64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87.64</w:t>
            </w:r>
          </w:p>
        </w:tc>
        <w:tc>
          <w:tcPr>
            <w:tcW w:w="1134" w:type="dxa"/>
            <w:vAlign w:val="center"/>
          </w:tcPr>
          <w:p>
            <w:pPr>
              <w:pStyle w:val="12"/>
            </w:pPr>
            <w:r>
              <w:t>87.64</w:t>
            </w:r>
          </w:p>
        </w:tc>
        <w:tc>
          <w:tcPr>
            <w:tcW w:w="1134" w:type="dxa"/>
            <w:vAlign w:val="center"/>
          </w:tcPr>
          <w:p>
            <w:pPr>
              <w:pStyle w:val="12"/>
            </w:pPr>
            <w:r>
              <w:t>87.64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20502</w:t>
            </w:r>
          </w:p>
        </w:tc>
        <w:tc>
          <w:tcPr>
            <w:tcW w:w="1559" w:type="dxa"/>
            <w:vAlign w:val="center"/>
          </w:tcPr>
          <w:p>
            <w:pPr>
              <w:pStyle w:val="9"/>
            </w:pPr>
            <w:r>
              <w:t>普通教育</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2050201</w:t>
            </w:r>
          </w:p>
        </w:tc>
        <w:tc>
          <w:tcPr>
            <w:tcW w:w="1559" w:type="dxa"/>
            <w:vAlign w:val="center"/>
          </w:tcPr>
          <w:p>
            <w:pPr>
              <w:pStyle w:val="9"/>
            </w:pPr>
            <w:r>
              <w:t>学前教育</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r>
              <w:t>87.64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87.64</w:t>
            </w:r>
          </w:p>
        </w:tc>
        <w:tc>
          <w:tcPr>
            <w:tcW w:w="1361" w:type="dxa"/>
            <w:vAlign w:val="center"/>
          </w:tcPr>
          <w:p>
            <w:pPr>
              <w:pStyle w:val="12"/>
            </w:pPr>
            <w:r>
              <w:t>77.05</w:t>
            </w:r>
          </w:p>
        </w:tc>
        <w:tc>
          <w:tcPr>
            <w:tcW w:w="1361" w:type="dxa"/>
            <w:vAlign w:val="center"/>
          </w:tcPr>
          <w:p>
            <w:pPr>
              <w:pStyle w:val="12"/>
            </w:pPr>
            <w:r>
              <w:t>10.59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87.64</w:t>
            </w:r>
          </w:p>
        </w:tc>
        <w:tc>
          <w:tcPr>
            <w:tcW w:w="1361" w:type="dxa"/>
            <w:vAlign w:val="center"/>
          </w:tcPr>
          <w:p>
            <w:pPr>
              <w:pStyle w:val="10"/>
            </w:pPr>
            <w:r>
              <w:t>77.05</w:t>
            </w:r>
          </w:p>
        </w:tc>
        <w:tc>
          <w:tcPr>
            <w:tcW w:w="1361" w:type="dxa"/>
            <w:vAlign w:val="center"/>
          </w:tcPr>
          <w:p>
            <w:pPr>
              <w:pStyle w:val="10"/>
            </w:pPr>
            <w:r>
              <w:t>10.59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20502</w:t>
            </w:r>
          </w:p>
        </w:tc>
        <w:tc>
          <w:tcPr>
            <w:tcW w:w="4535" w:type="dxa"/>
            <w:vAlign w:val="center"/>
          </w:tcPr>
          <w:p>
            <w:pPr>
              <w:pStyle w:val="9"/>
            </w:pPr>
            <w:r>
              <w:t>普通教育</w:t>
            </w:r>
          </w:p>
        </w:tc>
        <w:tc>
          <w:tcPr>
            <w:tcW w:w="1361" w:type="dxa"/>
            <w:vAlign w:val="center"/>
          </w:tcPr>
          <w:p>
            <w:pPr>
              <w:pStyle w:val="10"/>
            </w:pPr>
            <w:r>
              <w:t>87.64</w:t>
            </w:r>
          </w:p>
        </w:tc>
        <w:tc>
          <w:tcPr>
            <w:tcW w:w="1361" w:type="dxa"/>
            <w:vAlign w:val="center"/>
          </w:tcPr>
          <w:p>
            <w:pPr>
              <w:pStyle w:val="10"/>
            </w:pPr>
            <w:r>
              <w:t>77.05</w:t>
            </w:r>
          </w:p>
        </w:tc>
        <w:tc>
          <w:tcPr>
            <w:tcW w:w="1361" w:type="dxa"/>
            <w:vAlign w:val="center"/>
          </w:tcPr>
          <w:p>
            <w:pPr>
              <w:pStyle w:val="10"/>
            </w:pPr>
            <w:r>
              <w:t>10.59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2050201</w:t>
            </w:r>
          </w:p>
        </w:tc>
        <w:tc>
          <w:tcPr>
            <w:tcW w:w="4535" w:type="dxa"/>
            <w:vAlign w:val="center"/>
          </w:tcPr>
          <w:p>
            <w:pPr>
              <w:pStyle w:val="9"/>
            </w:pPr>
            <w:r>
              <w:t>学前教育</w:t>
            </w:r>
          </w:p>
        </w:tc>
        <w:tc>
          <w:tcPr>
            <w:tcW w:w="1361" w:type="dxa"/>
            <w:vAlign w:val="center"/>
          </w:tcPr>
          <w:p>
            <w:pPr>
              <w:pStyle w:val="10"/>
            </w:pPr>
            <w:r>
              <w:t>87.64</w:t>
            </w:r>
          </w:p>
        </w:tc>
        <w:tc>
          <w:tcPr>
            <w:tcW w:w="1361" w:type="dxa"/>
            <w:vAlign w:val="center"/>
          </w:tcPr>
          <w:p>
            <w:pPr>
              <w:pStyle w:val="10"/>
            </w:pPr>
            <w:r>
              <w:t>77.05</w:t>
            </w:r>
          </w:p>
        </w:tc>
        <w:tc>
          <w:tcPr>
            <w:tcW w:w="1361" w:type="dxa"/>
            <w:vAlign w:val="center"/>
          </w:tcPr>
          <w:p>
            <w:pPr>
              <w:pStyle w:val="10"/>
            </w:pPr>
            <w:r>
              <w:t>10.59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87.64</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87.64</w:t>
            </w:r>
          </w:p>
        </w:tc>
        <w:tc>
          <w:tcPr>
            <w:tcW w:w="1474" w:type="dxa"/>
            <w:vAlign w:val="center"/>
          </w:tcPr>
          <w:p>
            <w:pPr>
              <w:pStyle w:val="10"/>
            </w:pPr>
            <w:r>
              <w:t>87.64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87.64</w:t>
            </w:r>
          </w:p>
        </w:tc>
        <w:tc>
          <w:tcPr>
            <w:tcW w:w="3402" w:type="dxa"/>
            <w:vAlign w:val="center"/>
          </w:tcPr>
          <w:p>
            <w:pPr>
              <w:pStyle w:val="11"/>
            </w:pPr>
            <w:r>
              <w:t>本年支出合计</w:t>
            </w:r>
          </w:p>
        </w:tc>
        <w:tc>
          <w:tcPr>
            <w:tcW w:w="1474" w:type="dxa"/>
            <w:vAlign w:val="center"/>
          </w:tcPr>
          <w:p>
            <w:pPr>
              <w:pStyle w:val="12"/>
            </w:pPr>
            <w:r>
              <w:t>87.64</w:t>
            </w:r>
          </w:p>
        </w:tc>
        <w:tc>
          <w:tcPr>
            <w:tcW w:w="1474" w:type="dxa"/>
            <w:vAlign w:val="center"/>
          </w:tcPr>
          <w:p>
            <w:pPr>
              <w:pStyle w:val="12"/>
            </w:pPr>
            <w:r>
              <w:t>87.64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87.64</w:t>
            </w:r>
          </w:p>
        </w:tc>
        <w:tc>
          <w:tcPr>
            <w:tcW w:w="3402" w:type="dxa"/>
            <w:vAlign w:val="center"/>
          </w:tcPr>
          <w:p>
            <w:pPr>
              <w:pStyle w:val="11"/>
            </w:pPr>
            <w:r>
              <w:t>支出总计</w:t>
            </w:r>
          </w:p>
        </w:tc>
        <w:tc>
          <w:tcPr>
            <w:tcW w:w="1474" w:type="dxa"/>
            <w:vAlign w:val="center"/>
          </w:tcPr>
          <w:p>
            <w:pPr>
              <w:pStyle w:val="12"/>
            </w:pPr>
            <w:r>
              <w:t>87.64</w:t>
            </w:r>
          </w:p>
        </w:tc>
        <w:tc>
          <w:tcPr>
            <w:tcW w:w="1474" w:type="dxa"/>
            <w:vAlign w:val="center"/>
          </w:tcPr>
          <w:p>
            <w:pPr>
              <w:pStyle w:val="12"/>
            </w:pPr>
            <w:r>
              <w:t>87.64</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87.64</w:t>
            </w:r>
          </w:p>
        </w:tc>
        <w:tc>
          <w:tcPr>
            <w:tcW w:w="2551" w:type="dxa"/>
            <w:vAlign w:val="center"/>
          </w:tcPr>
          <w:p>
            <w:pPr>
              <w:pStyle w:val="12"/>
            </w:pPr>
            <w:r>
              <w:t>77.05</w:t>
            </w:r>
          </w:p>
        </w:tc>
        <w:tc>
          <w:tcPr>
            <w:tcW w:w="2551" w:type="dxa"/>
            <w:vAlign w:val="center"/>
          </w:tcPr>
          <w:p>
            <w:pPr>
              <w:pStyle w:val="12"/>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87.64</w:t>
            </w:r>
          </w:p>
        </w:tc>
        <w:tc>
          <w:tcPr>
            <w:tcW w:w="2551" w:type="dxa"/>
            <w:vAlign w:val="center"/>
          </w:tcPr>
          <w:p>
            <w:pPr>
              <w:pStyle w:val="10"/>
            </w:pPr>
            <w:r>
              <w:t>77.05</w:t>
            </w:r>
          </w:p>
        </w:tc>
        <w:tc>
          <w:tcPr>
            <w:tcW w:w="2551" w:type="dxa"/>
            <w:vAlign w:val="center"/>
          </w:tcPr>
          <w:p>
            <w:pPr>
              <w:pStyle w:val="10"/>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20502</w:t>
            </w:r>
          </w:p>
        </w:tc>
        <w:tc>
          <w:tcPr>
            <w:tcW w:w="4535" w:type="dxa"/>
            <w:vAlign w:val="center"/>
          </w:tcPr>
          <w:p>
            <w:pPr>
              <w:pStyle w:val="9"/>
            </w:pPr>
            <w:r>
              <w:t>普通教育</w:t>
            </w:r>
          </w:p>
        </w:tc>
        <w:tc>
          <w:tcPr>
            <w:tcW w:w="2551" w:type="dxa"/>
            <w:vAlign w:val="center"/>
          </w:tcPr>
          <w:p>
            <w:pPr>
              <w:pStyle w:val="10"/>
            </w:pPr>
            <w:r>
              <w:t>87.64</w:t>
            </w:r>
          </w:p>
        </w:tc>
        <w:tc>
          <w:tcPr>
            <w:tcW w:w="2551" w:type="dxa"/>
            <w:vAlign w:val="center"/>
          </w:tcPr>
          <w:p>
            <w:pPr>
              <w:pStyle w:val="10"/>
            </w:pPr>
            <w:r>
              <w:t>77.05</w:t>
            </w:r>
          </w:p>
        </w:tc>
        <w:tc>
          <w:tcPr>
            <w:tcW w:w="2551" w:type="dxa"/>
            <w:vAlign w:val="center"/>
          </w:tcPr>
          <w:p>
            <w:pPr>
              <w:pStyle w:val="10"/>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2050201</w:t>
            </w:r>
          </w:p>
        </w:tc>
        <w:tc>
          <w:tcPr>
            <w:tcW w:w="4535" w:type="dxa"/>
            <w:vAlign w:val="center"/>
          </w:tcPr>
          <w:p>
            <w:pPr>
              <w:pStyle w:val="9"/>
            </w:pPr>
            <w:r>
              <w:t>学前教育</w:t>
            </w:r>
          </w:p>
        </w:tc>
        <w:tc>
          <w:tcPr>
            <w:tcW w:w="2551" w:type="dxa"/>
            <w:vAlign w:val="center"/>
          </w:tcPr>
          <w:p>
            <w:pPr>
              <w:pStyle w:val="10"/>
            </w:pPr>
            <w:r>
              <w:t>87.64</w:t>
            </w:r>
          </w:p>
        </w:tc>
        <w:tc>
          <w:tcPr>
            <w:tcW w:w="2551" w:type="dxa"/>
            <w:vAlign w:val="center"/>
          </w:tcPr>
          <w:p>
            <w:pPr>
              <w:pStyle w:val="10"/>
            </w:pPr>
            <w:r>
              <w:t>77.05</w:t>
            </w:r>
          </w:p>
        </w:tc>
        <w:tc>
          <w:tcPr>
            <w:tcW w:w="2551" w:type="dxa"/>
            <w:vAlign w:val="center"/>
          </w:tcPr>
          <w:p>
            <w:pPr>
              <w:pStyle w:val="10"/>
            </w:pPr>
            <w:r>
              <w:t>10.59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77.05</w:t>
            </w:r>
          </w:p>
        </w:tc>
        <w:tc>
          <w:tcPr>
            <w:tcW w:w="2551" w:type="dxa"/>
            <w:vAlign w:val="center"/>
          </w:tcPr>
          <w:p>
            <w:pPr>
              <w:pStyle w:val="12"/>
            </w:pPr>
          </w:p>
        </w:tc>
        <w:tc>
          <w:tcPr>
            <w:tcW w:w="2551" w:type="dxa"/>
            <w:vAlign w:val="center"/>
          </w:tcPr>
          <w:p>
            <w:pPr>
              <w:pStyle w:val="12"/>
            </w:pPr>
            <w:r>
              <w:t>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77.05</w:t>
            </w:r>
          </w:p>
        </w:tc>
        <w:tc>
          <w:tcPr>
            <w:tcW w:w="2551" w:type="dxa"/>
            <w:vAlign w:val="center"/>
          </w:tcPr>
          <w:p>
            <w:pPr>
              <w:pStyle w:val="10"/>
            </w:pPr>
          </w:p>
        </w:tc>
        <w:tc>
          <w:tcPr>
            <w:tcW w:w="2551" w:type="dxa"/>
            <w:vAlign w:val="center"/>
          </w:tcPr>
          <w:p>
            <w:pPr>
              <w:pStyle w:val="10"/>
            </w:pPr>
            <w:r>
              <w:t>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11.85</w:t>
            </w:r>
          </w:p>
        </w:tc>
        <w:tc>
          <w:tcPr>
            <w:tcW w:w="2551" w:type="dxa"/>
            <w:vAlign w:val="center"/>
          </w:tcPr>
          <w:p>
            <w:pPr>
              <w:pStyle w:val="10"/>
            </w:pPr>
          </w:p>
        </w:tc>
        <w:tc>
          <w:tcPr>
            <w:tcW w:w="2551" w:type="dxa"/>
            <w:vAlign w:val="center"/>
          </w:tcPr>
          <w:p>
            <w:pPr>
              <w:pStyle w:val="10"/>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0.70</w:t>
            </w:r>
          </w:p>
        </w:tc>
        <w:tc>
          <w:tcPr>
            <w:tcW w:w="2551" w:type="dxa"/>
            <w:vAlign w:val="center"/>
          </w:tcPr>
          <w:p>
            <w:pPr>
              <w:pStyle w:val="10"/>
            </w:pPr>
          </w:p>
        </w:tc>
        <w:tc>
          <w:tcPr>
            <w:tcW w:w="2551" w:type="dxa"/>
            <w:vAlign w:val="center"/>
          </w:tcPr>
          <w:p>
            <w:pPr>
              <w:pStyle w:val="1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0.57</w:t>
            </w:r>
          </w:p>
        </w:tc>
        <w:tc>
          <w:tcPr>
            <w:tcW w:w="2551" w:type="dxa"/>
            <w:vAlign w:val="center"/>
          </w:tcPr>
          <w:p>
            <w:pPr>
              <w:pStyle w:val="10"/>
            </w:pPr>
          </w:p>
        </w:tc>
        <w:tc>
          <w:tcPr>
            <w:tcW w:w="2551" w:type="dxa"/>
            <w:vAlign w:val="center"/>
          </w:tcPr>
          <w:p>
            <w:pPr>
              <w:pStyle w:val="1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1.70</w:t>
            </w:r>
          </w:p>
        </w:tc>
        <w:tc>
          <w:tcPr>
            <w:tcW w:w="2551" w:type="dxa"/>
            <w:vAlign w:val="center"/>
          </w:tcPr>
          <w:p>
            <w:pPr>
              <w:pStyle w:val="10"/>
            </w:pPr>
          </w:p>
        </w:tc>
        <w:tc>
          <w:tcPr>
            <w:tcW w:w="2551" w:type="dxa"/>
            <w:vAlign w:val="center"/>
          </w:tcPr>
          <w:p>
            <w:pPr>
              <w:pStyle w:val="10"/>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1.79</w:t>
            </w:r>
          </w:p>
        </w:tc>
        <w:tc>
          <w:tcPr>
            <w:tcW w:w="2551" w:type="dxa"/>
            <w:vAlign w:val="center"/>
          </w:tcPr>
          <w:p>
            <w:pPr>
              <w:pStyle w:val="10"/>
            </w:pPr>
          </w:p>
        </w:tc>
        <w:tc>
          <w:tcPr>
            <w:tcW w:w="2551" w:type="dxa"/>
            <w:vAlign w:val="center"/>
          </w:tcPr>
          <w:p>
            <w:pPr>
              <w:pStyle w:val="10"/>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30218</w:t>
            </w:r>
          </w:p>
        </w:tc>
        <w:tc>
          <w:tcPr>
            <w:tcW w:w="4535" w:type="dxa"/>
            <w:vAlign w:val="center"/>
          </w:tcPr>
          <w:p>
            <w:pPr>
              <w:pStyle w:val="9"/>
            </w:pPr>
            <w:r>
              <w:t>专用材料费</w:t>
            </w:r>
          </w:p>
        </w:tc>
        <w:tc>
          <w:tcPr>
            <w:tcW w:w="2551" w:type="dxa"/>
            <w:vAlign w:val="center"/>
          </w:tcPr>
          <w:p>
            <w:pPr>
              <w:pStyle w:val="10"/>
            </w:pPr>
            <w:r>
              <w:t>6.23</w:t>
            </w:r>
          </w:p>
        </w:tc>
        <w:tc>
          <w:tcPr>
            <w:tcW w:w="2551" w:type="dxa"/>
            <w:vAlign w:val="center"/>
          </w:tcPr>
          <w:p>
            <w:pPr>
              <w:pStyle w:val="10"/>
            </w:pPr>
          </w:p>
        </w:tc>
        <w:tc>
          <w:tcPr>
            <w:tcW w:w="2551" w:type="dxa"/>
            <w:vAlign w:val="center"/>
          </w:tcPr>
          <w:p>
            <w:pPr>
              <w:pStyle w:val="10"/>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53.99</w:t>
            </w:r>
          </w:p>
        </w:tc>
        <w:tc>
          <w:tcPr>
            <w:tcW w:w="2551" w:type="dxa"/>
            <w:vAlign w:val="center"/>
          </w:tcPr>
          <w:p>
            <w:pPr>
              <w:pStyle w:val="10"/>
            </w:pPr>
          </w:p>
        </w:tc>
        <w:tc>
          <w:tcPr>
            <w:tcW w:w="2551" w:type="dxa"/>
            <w:vAlign w:val="center"/>
          </w:tcPr>
          <w:p>
            <w:pPr>
              <w:pStyle w:val="10"/>
            </w:pPr>
            <w:r>
              <w:t>53.99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0.22</w:t>
            </w:r>
          </w:p>
        </w:tc>
        <w:tc>
          <w:tcPr>
            <w:tcW w:w="2551" w:type="dxa"/>
            <w:vAlign w:val="center"/>
          </w:tcPr>
          <w:p>
            <w:pPr>
              <w:pStyle w:val="10"/>
            </w:pPr>
          </w:p>
        </w:tc>
        <w:tc>
          <w:tcPr>
            <w:tcW w:w="2551" w:type="dxa"/>
            <w:vAlign w:val="center"/>
          </w:tcPr>
          <w:p>
            <w:pPr>
              <w:pStyle w:val="10"/>
            </w:pPr>
            <w:r>
              <w:t>0.22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10</w:t>
            </w:r>
          </w:p>
        </w:tc>
        <w:tc>
          <w:tcPr>
            <w:tcW w:w="3798" w:type="dxa"/>
            <w:vAlign w:val="center"/>
          </w:tcPr>
          <w:p>
            <w:pPr>
              <w:pStyle w:val="9"/>
            </w:pPr>
            <w:r>
              <w:t>四、会议费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11</w:t>
            </w:r>
          </w:p>
        </w:tc>
        <w:tc>
          <w:tcPr>
            <w:tcW w:w="3798" w:type="dxa"/>
            <w:vAlign w:val="center"/>
          </w:tcPr>
          <w:p>
            <w:pPr>
              <w:pStyle w:val="9"/>
            </w:pPr>
            <w:r>
              <w:t>五、培训费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唐山市丰润区王官营镇中心校幼儿园2023年单位预算信息公开情况说明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、《地方预决算公开操作规程》和《关于进一步推进预算公开工作的实施意见》规定，现将唐山市丰润区王官营镇中心校幼儿园2023年单位预算公开如下：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楷体_GBK"/>
          <w:highlight w:val="none"/>
          <w:lang w:eastAsia="zh-CN"/>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highlight w:val="none"/>
          <w:lang w:eastAsia="zh-CN"/>
        </w:rPr>
        <w:t>贯</w:t>
      </w:r>
      <w:r>
        <w:rPr>
          <w:rFonts w:hint="eastAsia" w:ascii="方正楷体_GBK" w:hAnsi="方正楷体_GBK" w:eastAsia="方正楷体_GBK" w:cs="方正楷体_GBK"/>
          <w:b/>
          <w:color w:val="000000"/>
          <w:sz w:val="32"/>
          <w:highlight w:val="none"/>
        </w:rPr>
        <w:t>彻执行党的方针、政策和国家教育法律、法规。统筹管理本单位教育经费，提高小学教育的自身整体素质和教师的业务水平</w:t>
      </w:r>
      <w:r>
        <w:rPr>
          <w:rFonts w:hint="eastAsia" w:ascii="方正楷体_GBK" w:hAnsi="方正楷体_GBK" w:eastAsia="方正楷体_GBK" w:cs="方正楷体_GBK"/>
          <w:b/>
          <w:color w:val="000000"/>
          <w:sz w:val="32"/>
          <w:highlight w:val="none"/>
          <w:lang w:eastAsia="zh-CN"/>
        </w:rPr>
        <w:t>。</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唐山市丰润区王官营镇中心校幼儿园</w:t>
            </w:r>
          </w:p>
        </w:tc>
        <w:tc>
          <w:tcPr>
            <w:tcW w:w="1843" w:type="dxa"/>
            <w:vAlign w:val="center"/>
          </w:tcPr>
          <w:p>
            <w:pPr>
              <w:pStyle w:val="8"/>
            </w:pPr>
            <w:r>
              <w:t>事业</w:t>
            </w:r>
          </w:p>
        </w:tc>
        <w:tc>
          <w:tcPr>
            <w:tcW w:w="2126" w:type="dxa"/>
            <w:vAlign w:val="center"/>
          </w:tcPr>
          <w:p>
            <w:pPr>
              <w:pStyle w:val="8"/>
            </w:pPr>
            <w:r>
              <w:t>股级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rPr>
          <w:rFonts w:hint="eastAsia" w:eastAsia="方正仿宋_GBK"/>
          <w:sz w:val="28"/>
          <w:szCs w:val="28"/>
          <w:highlight w:val="none"/>
          <w:lang w:eastAsia="zh-CN"/>
        </w:rPr>
      </w:pPr>
      <w:r>
        <w:rPr>
          <w:rFonts w:hint="eastAsia" w:ascii="宋体" w:hAnsi="宋体" w:eastAsia="宋体" w:cs="宋体"/>
          <w:sz w:val="28"/>
          <w:szCs w:val="28"/>
          <w:highlight w:val="none"/>
        </w:rPr>
        <w:t>办公费</w:t>
      </w:r>
      <w:r>
        <w:rPr>
          <w:rFonts w:hint="eastAsia" w:ascii="宋体" w:hAnsi="宋体" w:eastAsia="宋体" w:cs="宋体"/>
          <w:b/>
          <w:bCs/>
          <w:sz w:val="28"/>
          <w:szCs w:val="28"/>
          <w:highlight w:val="none"/>
          <w:lang w:val="en-US" w:eastAsia="zh-CN"/>
        </w:rPr>
        <w:t>11.85万元，</w:t>
      </w:r>
      <w:r>
        <w:rPr>
          <w:rFonts w:hint="eastAsia" w:ascii="宋体" w:hAnsi="宋体" w:eastAsia="宋体" w:cs="宋体"/>
          <w:sz w:val="28"/>
          <w:szCs w:val="28"/>
          <w:highlight w:val="none"/>
        </w:rPr>
        <w:t>水电费</w:t>
      </w:r>
      <w:r>
        <w:rPr>
          <w:rFonts w:hint="eastAsia" w:ascii="宋体" w:hAnsi="宋体" w:eastAsia="宋体" w:cs="宋体"/>
          <w:b/>
          <w:bCs/>
          <w:sz w:val="28"/>
          <w:szCs w:val="28"/>
          <w:highlight w:val="none"/>
          <w:lang w:val="en-US" w:eastAsia="zh-CN"/>
        </w:rPr>
        <w:t>0.7万元，</w:t>
      </w:r>
      <w:r>
        <w:rPr>
          <w:rFonts w:hint="eastAsia" w:ascii="宋体" w:hAnsi="宋体" w:eastAsia="宋体" w:cs="宋体"/>
          <w:color w:val="000000"/>
          <w:sz w:val="28"/>
          <w:szCs w:val="28"/>
        </w:rPr>
        <w:t>办公取暖费</w:t>
      </w:r>
      <w:r>
        <w:rPr>
          <w:rFonts w:hint="eastAsia" w:ascii="宋体" w:hAnsi="宋体" w:eastAsia="宋体" w:cs="宋体"/>
          <w:color w:val="000000"/>
          <w:sz w:val="28"/>
          <w:szCs w:val="28"/>
          <w:lang w:eastAsia="zh-CN"/>
        </w:rPr>
        <w:t>（含取暖电费）</w:t>
      </w:r>
      <w:r>
        <w:rPr>
          <w:rFonts w:hint="eastAsia" w:ascii="宋体" w:hAnsi="宋体" w:eastAsia="宋体" w:cs="宋体"/>
          <w:b/>
          <w:bCs/>
          <w:sz w:val="28"/>
          <w:szCs w:val="28"/>
          <w:highlight w:val="none"/>
          <w:lang w:val="en-US" w:eastAsia="zh-CN"/>
        </w:rPr>
        <w:t>0.57万元，</w:t>
      </w:r>
      <w:r>
        <w:rPr>
          <w:rFonts w:hint="eastAsia" w:ascii="宋体" w:hAnsi="宋体" w:eastAsia="宋体" w:cs="宋体"/>
          <w:color w:val="000000"/>
          <w:sz w:val="28"/>
          <w:szCs w:val="28"/>
          <w:highlight w:val="none"/>
        </w:rPr>
        <w:t>维修（护）费</w:t>
      </w:r>
      <w:r>
        <w:rPr>
          <w:rFonts w:hint="eastAsia" w:ascii="宋体" w:hAnsi="宋体" w:eastAsia="宋体" w:cs="宋体"/>
          <w:b/>
          <w:bCs/>
          <w:sz w:val="28"/>
          <w:szCs w:val="28"/>
          <w:highlight w:val="none"/>
          <w:lang w:val="en-US" w:eastAsia="zh-CN"/>
        </w:rPr>
        <w:t>1.7万元，</w:t>
      </w:r>
      <w:r>
        <w:rPr>
          <w:rFonts w:hint="eastAsia" w:ascii="宋体" w:hAnsi="宋体" w:eastAsia="宋体" w:cs="宋体"/>
          <w:color w:val="000000"/>
          <w:sz w:val="28"/>
          <w:szCs w:val="28"/>
          <w:highlight w:val="none"/>
        </w:rPr>
        <w:t>培训费</w:t>
      </w:r>
      <w:r>
        <w:rPr>
          <w:rFonts w:hint="eastAsia" w:ascii="宋体" w:hAnsi="宋体" w:eastAsia="宋体" w:cs="宋体"/>
          <w:b/>
          <w:bCs/>
          <w:sz w:val="28"/>
          <w:szCs w:val="28"/>
          <w:highlight w:val="none"/>
          <w:lang w:val="en-US" w:eastAsia="zh-CN"/>
        </w:rPr>
        <w:t>1.79万元，</w:t>
      </w:r>
      <w:r>
        <w:rPr>
          <w:rFonts w:hint="eastAsia" w:ascii="宋体" w:hAnsi="宋体" w:eastAsia="宋体" w:cs="宋体"/>
          <w:color w:val="000000"/>
          <w:sz w:val="28"/>
          <w:szCs w:val="28"/>
          <w:highlight w:val="none"/>
        </w:rPr>
        <w:t>专用材料费</w:t>
      </w:r>
      <w:r>
        <w:rPr>
          <w:rFonts w:hint="eastAsia" w:ascii="宋体" w:hAnsi="宋体" w:eastAsia="宋体" w:cs="宋体"/>
          <w:b/>
          <w:bCs/>
          <w:sz w:val="28"/>
          <w:szCs w:val="28"/>
          <w:highlight w:val="none"/>
          <w:lang w:val="en-US" w:eastAsia="zh-CN"/>
        </w:rPr>
        <w:t>6.23万元，</w:t>
      </w:r>
      <w:r>
        <w:rPr>
          <w:rFonts w:hint="eastAsia" w:ascii="宋体" w:hAnsi="宋体" w:eastAsia="宋体" w:cs="宋体"/>
          <w:color w:val="000000"/>
          <w:sz w:val="28"/>
          <w:szCs w:val="28"/>
          <w:highlight w:val="none"/>
        </w:rPr>
        <w:t>劳务费</w:t>
      </w:r>
      <w:r>
        <w:rPr>
          <w:rFonts w:hint="eastAsia" w:ascii="宋体" w:hAnsi="宋体" w:eastAsia="宋体" w:cs="宋体"/>
          <w:b/>
          <w:bCs/>
          <w:sz w:val="28"/>
          <w:szCs w:val="28"/>
          <w:highlight w:val="none"/>
          <w:lang w:val="en-US" w:eastAsia="zh-CN"/>
        </w:rPr>
        <w:t>53.99万元，</w:t>
      </w:r>
      <w:r>
        <w:rPr>
          <w:rFonts w:hint="eastAsia" w:ascii="宋体" w:hAnsi="宋体" w:eastAsia="宋体" w:cs="宋体"/>
          <w:bCs/>
          <w:sz w:val="28"/>
          <w:szCs w:val="28"/>
          <w:highlight w:val="none"/>
          <w:lang w:val="en-US" w:eastAsia="zh-CN"/>
        </w:rPr>
        <w:t>其他商品服务支出</w:t>
      </w:r>
      <w:r>
        <w:rPr>
          <w:rFonts w:hint="eastAsia" w:ascii="宋体" w:hAnsi="宋体" w:eastAsia="宋体" w:cs="宋体"/>
          <w:b/>
          <w:bCs w:val="0"/>
          <w:sz w:val="28"/>
          <w:szCs w:val="28"/>
          <w:highlight w:val="none"/>
          <w:lang w:val="en-US" w:eastAsia="zh-CN"/>
        </w:rPr>
        <w:t>0.22万元,</w:t>
      </w:r>
      <w:r>
        <w:rPr>
          <w:rFonts w:hint="eastAsia"/>
          <w:sz w:val="28"/>
          <w:szCs w:val="28"/>
          <w:highlight w:val="none"/>
        </w:rPr>
        <w:t>以上合计</w:t>
      </w:r>
      <w:r>
        <w:rPr>
          <w:rFonts w:hint="eastAsia"/>
          <w:sz w:val="28"/>
          <w:szCs w:val="28"/>
          <w:highlight w:val="none"/>
          <w:lang w:val="en-US" w:eastAsia="zh-CN"/>
        </w:rPr>
        <w:t>77.05</w:t>
      </w:r>
      <w:r>
        <w:rPr>
          <w:rFonts w:hint="eastAsia"/>
          <w:sz w:val="28"/>
          <w:szCs w:val="28"/>
          <w:highlight w:val="none"/>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rPr>
          <w:rFonts w:hint="eastAsia"/>
        </w:rPr>
        <w:t>本单位无“三公”经费预算与支出。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1、2023年公办幼儿园（本级）特定目标-校内资助绩效目标表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1.按照学生资助工作要求，做好资助及宣传支持工作。</w:t>
            </w:r>
          </w:p>
          <w:p>
            <w:pPr>
              <w:pStyle w:val="9"/>
            </w:pPr>
            <w:r>
              <w:t>2.用于减免收费、提供特殊困难补助等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学生人数</w:t>
            </w:r>
          </w:p>
        </w:tc>
        <w:tc>
          <w:tcPr>
            <w:tcW w:w="2835" w:type="dxa"/>
            <w:vAlign w:val="center"/>
          </w:tcPr>
          <w:p>
            <w:pPr>
              <w:pStyle w:val="9"/>
            </w:pPr>
            <w:r>
              <w:t>受资助人数</w:t>
            </w:r>
          </w:p>
        </w:tc>
        <w:tc>
          <w:tcPr>
            <w:tcW w:w="2551" w:type="dxa"/>
            <w:vAlign w:val="center"/>
          </w:tcPr>
          <w:p>
            <w:pPr>
              <w:pStyle w:val="9"/>
            </w:pPr>
            <w:r>
              <w:t>≥1人</w:t>
            </w:r>
          </w:p>
        </w:tc>
        <w:tc>
          <w:tcPr>
            <w:tcW w:w="2268" w:type="dxa"/>
            <w:vAlign w:val="center"/>
          </w:tcPr>
          <w:p>
            <w:pPr>
              <w:pStyle w:val="9"/>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资助完成率</w:t>
            </w:r>
          </w:p>
        </w:tc>
        <w:tc>
          <w:tcPr>
            <w:tcW w:w="2835" w:type="dxa"/>
            <w:vAlign w:val="center"/>
          </w:tcPr>
          <w:p>
            <w:pPr>
              <w:pStyle w:val="9"/>
            </w:pPr>
            <w:r>
              <w:t>提取资助资金占应提取资助资金比例</w:t>
            </w:r>
          </w:p>
        </w:tc>
        <w:tc>
          <w:tcPr>
            <w:tcW w:w="2551" w:type="dxa"/>
            <w:vAlign w:val="center"/>
          </w:tcPr>
          <w:p>
            <w:pPr>
              <w:pStyle w:val="9"/>
            </w:pPr>
            <w:r>
              <w:t>≥95%</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年度服务保障时限</w:t>
            </w:r>
          </w:p>
        </w:tc>
        <w:tc>
          <w:tcPr>
            <w:tcW w:w="2835" w:type="dxa"/>
            <w:vAlign w:val="center"/>
          </w:tcPr>
          <w:p>
            <w:pPr>
              <w:pStyle w:val="9"/>
            </w:pPr>
            <w:r>
              <w:t>年度项目实施年限</w:t>
            </w:r>
          </w:p>
        </w:tc>
        <w:tc>
          <w:tcPr>
            <w:tcW w:w="2551" w:type="dxa"/>
            <w:vAlign w:val="center"/>
          </w:tcPr>
          <w:p>
            <w:pPr>
              <w:pStyle w:val="9"/>
            </w:pPr>
            <w:r>
              <w:t>≥1年</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校内资助项目年度费用</w:t>
            </w:r>
          </w:p>
        </w:tc>
        <w:tc>
          <w:tcPr>
            <w:tcW w:w="2835" w:type="dxa"/>
            <w:vAlign w:val="center"/>
          </w:tcPr>
          <w:p>
            <w:pPr>
              <w:pStyle w:val="9"/>
            </w:pPr>
            <w:r>
              <w:t>每年用于校内资助项目费用，收费的3%提取。（生均）</w:t>
            </w:r>
          </w:p>
        </w:tc>
        <w:tc>
          <w:tcPr>
            <w:tcW w:w="2551" w:type="dxa"/>
            <w:vAlign w:val="center"/>
          </w:tcPr>
          <w:p>
            <w:pPr>
              <w:pStyle w:val="9"/>
            </w:pPr>
            <w:r>
              <w:t>≤14600元</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保证学校资助工作，提升社会满意度</w:t>
            </w:r>
          </w:p>
        </w:tc>
        <w:tc>
          <w:tcPr>
            <w:tcW w:w="2835" w:type="dxa"/>
            <w:vAlign w:val="center"/>
          </w:tcPr>
          <w:p>
            <w:pPr>
              <w:pStyle w:val="9"/>
            </w:pPr>
            <w:r>
              <w:t>随着学校特定服务项目的开展下，社会满意度得到提升。</w:t>
            </w:r>
          </w:p>
        </w:tc>
        <w:tc>
          <w:tcPr>
            <w:tcW w:w="2551" w:type="dxa"/>
            <w:vAlign w:val="center"/>
          </w:tcPr>
          <w:p>
            <w:pPr>
              <w:pStyle w:val="9"/>
            </w:pPr>
            <w:r>
              <w:t xml:space="preserve"> 优</w:t>
            </w:r>
          </w:p>
        </w:tc>
        <w:tc>
          <w:tcPr>
            <w:tcW w:w="2268" w:type="dxa"/>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社会平稳和谐</w:t>
            </w:r>
          </w:p>
        </w:tc>
        <w:tc>
          <w:tcPr>
            <w:tcW w:w="2835" w:type="dxa"/>
            <w:vAlign w:val="center"/>
          </w:tcPr>
          <w:p>
            <w:pPr>
              <w:pStyle w:val="9"/>
            </w:pPr>
            <w:r>
              <w:t>保障单位平稳运行</w:t>
            </w:r>
          </w:p>
        </w:tc>
        <w:tc>
          <w:tcPr>
            <w:tcW w:w="2551" w:type="dxa"/>
            <w:vAlign w:val="center"/>
          </w:tcPr>
          <w:p>
            <w:pPr>
              <w:pStyle w:val="9"/>
            </w:pPr>
            <w:r>
              <w:t>≥95%</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受资助学生满意度</w:t>
            </w:r>
          </w:p>
        </w:tc>
        <w:tc>
          <w:tcPr>
            <w:tcW w:w="2551" w:type="dxa"/>
            <w:vAlign w:val="center"/>
          </w:tcPr>
          <w:p>
            <w:pPr>
              <w:pStyle w:val="9"/>
            </w:pPr>
            <w:r>
              <w:t>≥95%</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2、2023年公办幼儿园公用经费（本级）特定目标-设备购置绩效目标表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1.保证城乡幼儿园正常运转，在教学活动和后勤服务等方面的开支费用，改善城乡学校状况，优化办学环境，推进城乡学前教育均衡发展，加快教育强区建设进程，不断提高全区教育教学水平。</w:t>
            </w:r>
          </w:p>
          <w:p>
            <w:pPr>
              <w:pStyle w:val="9"/>
            </w:pPr>
            <w:r>
              <w:t>2.继续教育保障长效机制。</w:t>
            </w:r>
          </w:p>
          <w:p>
            <w:pPr>
              <w:pStyle w:val="9"/>
            </w:pPr>
            <w:r>
              <w:t>3.足额拨付学前教育经费，确保单位正常运转，单位业务工作正常开展。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设备购置项目个数、数量</w:t>
            </w:r>
          </w:p>
        </w:tc>
        <w:tc>
          <w:tcPr>
            <w:tcW w:w="2835" w:type="dxa"/>
            <w:vAlign w:val="center"/>
          </w:tcPr>
          <w:p>
            <w:pPr>
              <w:pStyle w:val="9"/>
            </w:pPr>
            <w:r>
              <w:t>设备购置项目个数、数量</w:t>
            </w:r>
          </w:p>
        </w:tc>
        <w:tc>
          <w:tcPr>
            <w:tcW w:w="2551" w:type="dxa"/>
            <w:vAlign w:val="center"/>
          </w:tcPr>
          <w:p>
            <w:pPr>
              <w:pStyle w:val="9"/>
            </w:pPr>
            <w:r>
              <w:t>≥1个/台/套/批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符合国家标准</w:t>
            </w:r>
          </w:p>
        </w:tc>
        <w:tc>
          <w:tcPr>
            <w:tcW w:w="2835" w:type="dxa"/>
            <w:vAlign w:val="center"/>
          </w:tcPr>
          <w:p>
            <w:pPr>
              <w:pStyle w:val="9"/>
            </w:pPr>
            <w:r>
              <w:t>符合国家标准，达到采购指数指标要求</w:t>
            </w:r>
          </w:p>
        </w:tc>
        <w:tc>
          <w:tcPr>
            <w:tcW w:w="2551" w:type="dxa"/>
            <w:vAlign w:val="center"/>
          </w:tcPr>
          <w:p>
            <w:pPr>
              <w:pStyle w:val="9"/>
            </w:pPr>
            <w:r>
              <w:t>≥95%</w:t>
            </w:r>
          </w:p>
        </w:tc>
        <w:tc>
          <w:tcPr>
            <w:tcW w:w="2268" w:type="dxa"/>
            <w:vAlign w:val="center"/>
          </w:tcPr>
          <w:p>
            <w:pPr>
              <w:pStyle w:val="9"/>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项目截止时间</w:t>
            </w:r>
          </w:p>
        </w:tc>
        <w:tc>
          <w:tcPr>
            <w:tcW w:w="2835" w:type="dxa"/>
            <w:vAlign w:val="center"/>
          </w:tcPr>
          <w:p>
            <w:pPr>
              <w:pStyle w:val="9"/>
            </w:pPr>
            <w:r>
              <w:t>项目截止时间</w:t>
            </w:r>
          </w:p>
        </w:tc>
        <w:tc>
          <w:tcPr>
            <w:tcW w:w="2551" w:type="dxa"/>
            <w:vAlign w:val="center"/>
          </w:tcPr>
          <w:p>
            <w:pPr>
              <w:pStyle w:val="9"/>
            </w:pPr>
            <w:r>
              <w:t>2023年12月31日</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经费投入</w:t>
            </w:r>
          </w:p>
        </w:tc>
        <w:tc>
          <w:tcPr>
            <w:tcW w:w="2835" w:type="dxa"/>
            <w:vAlign w:val="center"/>
          </w:tcPr>
          <w:p>
            <w:pPr>
              <w:pStyle w:val="9"/>
            </w:pPr>
            <w:r>
              <w:t>采购预算投入金额（单价，或单位成本）</w:t>
            </w:r>
          </w:p>
        </w:tc>
        <w:tc>
          <w:tcPr>
            <w:tcW w:w="2551" w:type="dxa"/>
            <w:vAlign w:val="center"/>
          </w:tcPr>
          <w:p>
            <w:pPr>
              <w:pStyle w:val="9"/>
            </w:pPr>
            <w:r>
              <w:t>≤3000（元/平方米/个/台/套/批）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受益学生人数</w:t>
            </w:r>
          </w:p>
        </w:tc>
        <w:tc>
          <w:tcPr>
            <w:tcW w:w="2835" w:type="dxa"/>
            <w:vAlign w:val="center"/>
          </w:tcPr>
          <w:p>
            <w:pPr>
              <w:pStyle w:val="9"/>
            </w:pPr>
            <w:r>
              <w:t>受益学生人数</w:t>
            </w:r>
          </w:p>
        </w:tc>
        <w:tc>
          <w:tcPr>
            <w:tcW w:w="2551" w:type="dxa"/>
            <w:vAlign w:val="center"/>
          </w:tcPr>
          <w:p>
            <w:pPr>
              <w:pStyle w:val="9"/>
            </w:pPr>
            <w:r>
              <w:t>≥359人</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设计使用年限</w:t>
            </w:r>
          </w:p>
        </w:tc>
        <w:tc>
          <w:tcPr>
            <w:tcW w:w="2835" w:type="dxa"/>
            <w:vAlign w:val="center"/>
          </w:tcPr>
          <w:p>
            <w:pPr>
              <w:pStyle w:val="9"/>
            </w:pPr>
            <w:r>
              <w:t>设计使用年限</w:t>
            </w:r>
          </w:p>
        </w:tc>
        <w:tc>
          <w:tcPr>
            <w:tcW w:w="2551" w:type="dxa"/>
            <w:vAlign w:val="center"/>
          </w:tcPr>
          <w:p>
            <w:pPr>
              <w:pStyle w:val="9"/>
            </w:pPr>
            <w:r>
              <w:t>≥5年</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受益学生家长满意度（%）</w:t>
            </w:r>
          </w:p>
        </w:tc>
        <w:tc>
          <w:tcPr>
            <w:tcW w:w="2835" w:type="dxa"/>
            <w:vAlign w:val="center"/>
          </w:tcPr>
          <w:p>
            <w:pPr>
              <w:pStyle w:val="9"/>
            </w:pPr>
            <w:r>
              <w:t>学生及家长对学校教育教学的满意度</w:t>
            </w:r>
          </w:p>
        </w:tc>
        <w:tc>
          <w:tcPr>
            <w:tcW w:w="2551" w:type="dxa"/>
            <w:vAlign w:val="center"/>
          </w:tcPr>
          <w:p>
            <w:pPr>
              <w:pStyle w:val="9"/>
            </w:pPr>
            <w:r>
              <w:t>≥96%</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受益学生满意度（%）</w:t>
            </w:r>
          </w:p>
        </w:tc>
        <w:tc>
          <w:tcPr>
            <w:tcW w:w="2835" w:type="dxa"/>
            <w:vAlign w:val="center"/>
          </w:tcPr>
          <w:p>
            <w:pPr>
              <w:pStyle w:val="9"/>
            </w:pPr>
            <w:r>
              <w:t>教师对学校整体教育教学环境的满意度</w:t>
            </w:r>
          </w:p>
        </w:tc>
        <w:tc>
          <w:tcPr>
            <w:tcW w:w="2551" w:type="dxa"/>
            <w:vAlign w:val="center"/>
          </w:tcPr>
          <w:p>
            <w:pPr>
              <w:pStyle w:val="9"/>
            </w:pPr>
            <w:r>
              <w:t>≥96%</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3、2023年公办幼儿园公用经费（本级）特定目标-园舍维修绩效目标表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1.保证城乡幼儿园正常运转，在教学活动和后勤服务等方面的开支费用，改善城乡学校状况，优化办学环境，推进 城乡学前教育均衡发展，加快教育强区建设进程，不断提高全区教育教学水平。</w:t>
            </w:r>
          </w:p>
          <w:p>
            <w:pPr>
              <w:pStyle w:val="9"/>
            </w:pPr>
            <w:r>
              <w:t>2.继续教育保障长效机制；</w:t>
            </w:r>
          </w:p>
          <w:p>
            <w:pPr>
              <w:pStyle w:val="9"/>
            </w:pPr>
            <w:r>
              <w:t>3.足额拨付幼儿园教育经费，确保单位正常运转，单位业务工作正常开展。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维修校舍面积</w:t>
            </w:r>
          </w:p>
        </w:tc>
        <w:tc>
          <w:tcPr>
            <w:tcW w:w="2835" w:type="dxa"/>
            <w:vAlign w:val="center"/>
          </w:tcPr>
          <w:p>
            <w:pPr>
              <w:pStyle w:val="9"/>
            </w:pPr>
            <w:r>
              <w:t>维修、维护校舍的面积</w:t>
            </w:r>
          </w:p>
        </w:tc>
        <w:tc>
          <w:tcPr>
            <w:tcW w:w="2551" w:type="dxa"/>
            <w:vAlign w:val="center"/>
          </w:tcPr>
          <w:p>
            <w:pPr>
              <w:pStyle w:val="9"/>
            </w:pPr>
            <w:r>
              <w:t>≥493平方米</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维修的校舍建设项目验收合格率</w:t>
            </w:r>
          </w:p>
        </w:tc>
        <w:tc>
          <w:tcPr>
            <w:tcW w:w="2835" w:type="dxa"/>
            <w:vAlign w:val="center"/>
          </w:tcPr>
          <w:p>
            <w:pPr>
              <w:pStyle w:val="9"/>
            </w:pPr>
            <w:r>
              <w:t>维修的校舍建设项目验收合格率</w:t>
            </w:r>
          </w:p>
        </w:tc>
        <w:tc>
          <w:tcPr>
            <w:tcW w:w="2551" w:type="dxa"/>
            <w:vAlign w:val="center"/>
          </w:tcPr>
          <w:p>
            <w:pPr>
              <w:pStyle w:val="9"/>
            </w:pPr>
            <w:r>
              <w:t>≥95%</w:t>
            </w:r>
          </w:p>
        </w:tc>
        <w:tc>
          <w:tcPr>
            <w:tcW w:w="2268" w:type="dxa"/>
            <w:vAlign w:val="center"/>
          </w:tcPr>
          <w:p>
            <w:pPr>
              <w:pStyle w:val="9"/>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项目截止时间</w:t>
            </w:r>
          </w:p>
        </w:tc>
        <w:tc>
          <w:tcPr>
            <w:tcW w:w="2835" w:type="dxa"/>
            <w:vAlign w:val="center"/>
          </w:tcPr>
          <w:p>
            <w:pPr>
              <w:pStyle w:val="9"/>
            </w:pPr>
            <w:r>
              <w:t>项目截止时间</w:t>
            </w:r>
          </w:p>
        </w:tc>
        <w:tc>
          <w:tcPr>
            <w:tcW w:w="2551" w:type="dxa"/>
            <w:vAlign w:val="center"/>
          </w:tcPr>
          <w:p>
            <w:pPr>
              <w:pStyle w:val="9"/>
            </w:pPr>
            <w:r>
              <w:t>2023年12月31日</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经费投入</w:t>
            </w:r>
          </w:p>
        </w:tc>
        <w:tc>
          <w:tcPr>
            <w:tcW w:w="2835" w:type="dxa"/>
            <w:vAlign w:val="center"/>
          </w:tcPr>
          <w:p>
            <w:pPr>
              <w:pStyle w:val="9"/>
            </w:pPr>
            <w:r>
              <w:t>每平方米价格</w:t>
            </w:r>
          </w:p>
        </w:tc>
        <w:tc>
          <w:tcPr>
            <w:tcW w:w="2551" w:type="dxa"/>
            <w:vAlign w:val="center"/>
          </w:tcPr>
          <w:p>
            <w:pPr>
              <w:pStyle w:val="9"/>
            </w:pPr>
            <w:r>
              <w:t>≤100（元/平方米）</w:t>
            </w:r>
          </w:p>
        </w:tc>
        <w:tc>
          <w:tcPr>
            <w:tcW w:w="2268" w:type="dxa"/>
            <w:vAlign w:val="center"/>
          </w:tcPr>
          <w:p>
            <w:pPr>
              <w:pStyle w:val="9"/>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受益学生人数</w:t>
            </w:r>
          </w:p>
        </w:tc>
        <w:tc>
          <w:tcPr>
            <w:tcW w:w="2835" w:type="dxa"/>
            <w:vAlign w:val="center"/>
          </w:tcPr>
          <w:p>
            <w:pPr>
              <w:pStyle w:val="9"/>
            </w:pPr>
            <w:r>
              <w:t>受益学生人数</w:t>
            </w:r>
          </w:p>
        </w:tc>
        <w:tc>
          <w:tcPr>
            <w:tcW w:w="2551" w:type="dxa"/>
            <w:vAlign w:val="center"/>
          </w:tcPr>
          <w:p>
            <w:pPr>
              <w:pStyle w:val="9"/>
            </w:pPr>
            <w:r>
              <w:t>≥359人</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校舍设计使用年限</w:t>
            </w:r>
          </w:p>
        </w:tc>
        <w:tc>
          <w:tcPr>
            <w:tcW w:w="2835" w:type="dxa"/>
            <w:vAlign w:val="center"/>
          </w:tcPr>
          <w:p>
            <w:pPr>
              <w:pStyle w:val="9"/>
            </w:pPr>
            <w:r>
              <w:t>长期影响</w:t>
            </w:r>
          </w:p>
        </w:tc>
        <w:tc>
          <w:tcPr>
            <w:tcW w:w="2551" w:type="dxa"/>
            <w:vAlign w:val="center"/>
          </w:tcPr>
          <w:p>
            <w:pPr>
              <w:pStyle w:val="9"/>
            </w:pPr>
            <w:r>
              <w:t>≥10年</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受益学生家长满意度（%）</w:t>
            </w:r>
          </w:p>
        </w:tc>
        <w:tc>
          <w:tcPr>
            <w:tcW w:w="2835" w:type="dxa"/>
            <w:vAlign w:val="center"/>
          </w:tcPr>
          <w:p>
            <w:pPr>
              <w:pStyle w:val="9"/>
            </w:pPr>
            <w:r>
              <w:t>学生及家长对学校教育教学的满意度</w:t>
            </w:r>
          </w:p>
        </w:tc>
        <w:tc>
          <w:tcPr>
            <w:tcW w:w="2551" w:type="dxa"/>
            <w:vAlign w:val="center"/>
          </w:tcPr>
          <w:p>
            <w:pPr>
              <w:pStyle w:val="9"/>
            </w:pPr>
            <w:r>
              <w:t>≥96%</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受益学生满意度（%）</w:t>
            </w:r>
          </w:p>
        </w:tc>
        <w:tc>
          <w:tcPr>
            <w:tcW w:w="2835" w:type="dxa"/>
            <w:vAlign w:val="center"/>
          </w:tcPr>
          <w:p>
            <w:pPr>
              <w:pStyle w:val="9"/>
            </w:pPr>
            <w:r>
              <w:t>教师对学校整体教育教学环境的满意度</w:t>
            </w:r>
          </w:p>
        </w:tc>
        <w:tc>
          <w:tcPr>
            <w:tcW w:w="2551" w:type="dxa"/>
            <w:vAlign w:val="center"/>
          </w:tcPr>
          <w:p>
            <w:pPr>
              <w:pStyle w:val="9"/>
            </w:pPr>
            <w:r>
              <w:t>≥96%</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2023年，唐山市丰润区王官营镇中心校幼儿园安排政府采购预算0.00万元。具体内容见下表。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唐山市丰润区王官营镇中心校幼儿园上年末固定资产金额为</w:t>
      </w:r>
      <w:r>
        <w:rPr>
          <w:rFonts w:hint="eastAsia" w:ascii="Times New Roman" w:hAnsi="Times New Roman" w:eastAsia="方正仿宋_GBK" w:cs="Times New Roman"/>
          <w:b w:val="0"/>
          <w:color w:val="000000"/>
          <w:sz w:val="28"/>
          <w:lang w:val="en-US" w:eastAsia="zh-CN"/>
        </w:rPr>
        <w:t>779.4125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360515唐山市丰润区王官营镇中心校幼儿园</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eastAsia="zh-CN"/>
              </w:rPr>
            </w:pPr>
            <w:r>
              <w:rPr>
                <w:rFonts w:hint="eastAsia"/>
                <w:lang w:eastAsia="zh-CN"/>
              </w:rPr>
              <w:t>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ascii="Times New Roman" w:hAnsi="Times New Roman" w:eastAsia="方正仿宋_GBK" w:cs="Times New Roman"/>
                <w:b w:val="0"/>
                <w:color w:val="000000"/>
                <w:sz w:val="28"/>
                <w:lang w:val="en-US" w:eastAsia="zh-CN"/>
              </w:rPr>
              <w:t>779.4125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lang w:eastAsia="zh-CN"/>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Times New Roman" w:hAnsi="Times New Roman" w:eastAsia="方正仿宋_GBK" w:cs="Times New Roman"/>
          <w:b w:val="0"/>
          <w:color w:val="000000"/>
          <w:sz w:val="28"/>
          <w:highlight w:val="none"/>
        </w:rPr>
        <w:t xml:space="preserve"> 指区级财政当年拨付的资金</w:t>
      </w:r>
      <w:r>
        <w:rPr>
          <w:rFonts w:hint="eastAsia" w:ascii="Times New Roman" w:hAnsi="Times New Roman" w:eastAsia="方正仿宋_GBK" w:cs="Times New Roman"/>
          <w:b w:val="0"/>
          <w:color w:val="000000"/>
          <w:sz w:val="28"/>
          <w:highlight w:val="none"/>
          <w:lang w:eastAsia="zh-CN"/>
        </w:rPr>
        <w:t>。</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Q1MmQwYWM5Y2QxODE3NzJjMjg2YWVkZjlkZWEifQ=="/>
  </w:docVars>
  <w:rsids>
    <w:rsidRoot w:val="1C74469D"/>
    <w:rsid w:val="1C74469D"/>
    <w:rsid w:val="1EED685A"/>
    <w:rsid w:val="2FB7166D"/>
    <w:rsid w:val="39773D46"/>
    <w:rsid w:val="440E34D9"/>
    <w:rsid w:val="46490558"/>
    <w:rsid w:val="62970423"/>
    <w:rsid w:val="69A6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4882</Words>
  <Characters>5509</Characters>
  <Lines>0</Lines>
  <Paragraphs>0</Paragraphs>
  <TotalTime>0</TotalTime>
  <ScaleCrop>false</ScaleCrop>
  <LinksUpToDate>false</LinksUpToDate>
  <CharactersWithSpaces>5654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2023-04-17T08:57:00Z</dcterms:created>
  <dc:creator>Administrator</dc:creator>
  <cp:lastModifiedBy>微信用户</cp:lastModifiedBy>
  <dcterms:modified xsi:type="dcterms:W3CDTF">2024-03-19T02:48:39Z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C68EA712B725430FBC76BD520228D0CF</vt:lpwstr>
  </property>
</Properties>
</file>