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8"/>
      <w:r>
        <w:rPr>
          <w:rFonts w:ascii="方正小标宋_GBK" w:hAnsi="方正小标宋_GBK" w:eastAsia="方正小标宋_GBK" w:cs="方正小标宋_GBK"/>
          <w:b w:val="0"/>
          <w:color w:val="000000"/>
          <w:sz w:val="44"/>
        </w:rPr>
        <w:t>十、唐山市丰润区王官营镇中心学校收支预算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2969.68</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2969.68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2969.68</w:t>
            </w:r>
          </w:p>
        </w:tc>
        <w:tc>
          <w:tcPr>
            <w:tcW w:w="4535" w:type="dxa"/>
            <w:vAlign w:val="center"/>
          </w:tcPr>
          <w:p>
            <w:pPr>
              <w:pStyle w:val="11"/>
            </w:pPr>
            <w:r>
              <w:t>本年支出合计</w:t>
            </w:r>
          </w:p>
        </w:tc>
        <w:tc>
          <w:tcPr>
            <w:tcW w:w="2126" w:type="dxa"/>
            <w:vAlign w:val="center"/>
          </w:tcPr>
          <w:p>
            <w:pPr>
              <w:pStyle w:val="12"/>
            </w:pPr>
            <w:r>
              <w:t>2969.68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2969.68</w:t>
            </w:r>
          </w:p>
        </w:tc>
        <w:tc>
          <w:tcPr>
            <w:tcW w:w="4535" w:type="dxa"/>
            <w:vAlign w:val="center"/>
          </w:tcPr>
          <w:p>
            <w:pPr>
              <w:pStyle w:val="11"/>
            </w:pPr>
            <w:r>
              <w:t>支出总计</w:t>
            </w:r>
          </w:p>
        </w:tc>
        <w:tc>
          <w:tcPr>
            <w:tcW w:w="2126" w:type="dxa"/>
            <w:vAlign w:val="center"/>
          </w:tcPr>
          <w:p>
            <w:pPr>
              <w:pStyle w:val="12"/>
            </w:pPr>
            <w:r>
              <w:t>2969.68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2969.68</w:t>
            </w:r>
          </w:p>
        </w:tc>
        <w:tc>
          <w:tcPr>
            <w:tcW w:w="1134" w:type="dxa"/>
            <w:vAlign w:val="center"/>
          </w:tcPr>
          <w:p>
            <w:pPr>
              <w:pStyle w:val="12"/>
            </w:pPr>
            <w:r>
              <w:t>2969.68</w:t>
            </w:r>
          </w:p>
        </w:tc>
        <w:tc>
          <w:tcPr>
            <w:tcW w:w="1134" w:type="dxa"/>
            <w:vAlign w:val="center"/>
          </w:tcPr>
          <w:p>
            <w:pPr>
              <w:pStyle w:val="12"/>
            </w:pPr>
            <w:r>
              <w:t>2969.68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2969.68</w:t>
            </w:r>
          </w:p>
        </w:tc>
        <w:tc>
          <w:tcPr>
            <w:tcW w:w="1134" w:type="dxa"/>
            <w:vAlign w:val="center"/>
          </w:tcPr>
          <w:p>
            <w:pPr>
              <w:pStyle w:val="10"/>
            </w:pPr>
            <w:r>
              <w:t>2969.68</w:t>
            </w:r>
          </w:p>
        </w:tc>
        <w:tc>
          <w:tcPr>
            <w:tcW w:w="1134" w:type="dxa"/>
            <w:vAlign w:val="center"/>
          </w:tcPr>
          <w:p>
            <w:pPr>
              <w:pStyle w:val="10"/>
            </w:pPr>
            <w:r>
              <w:t>2969.68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20502</w:t>
            </w:r>
          </w:p>
        </w:tc>
        <w:tc>
          <w:tcPr>
            <w:tcW w:w="1559" w:type="dxa"/>
            <w:vAlign w:val="center"/>
          </w:tcPr>
          <w:p>
            <w:pPr>
              <w:pStyle w:val="9"/>
            </w:pPr>
            <w:r>
              <w:t>普通教育</w:t>
            </w:r>
          </w:p>
        </w:tc>
        <w:tc>
          <w:tcPr>
            <w:tcW w:w="1134" w:type="dxa"/>
            <w:vAlign w:val="center"/>
          </w:tcPr>
          <w:p>
            <w:pPr>
              <w:pStyle w:val="10"/>
            </w:pPr>
            <w:r>
              <w:t>2969.68</w:t>
            </w:r>
          </w:p>
        </w:tc>
        <w:tc>
          <w:tcPr>
            <w:tcW w:w="1134" w:type="dxa"/>
            <w:vAlign w:val="center"/>
          </w:tcPr>
          <w:p>
            <w:pPr>
              <w:pStyle w:val="10"/>
            </w:pPr>
            <w:r>
              <w:t>2969.68</w:t>
            </w:r>
          </w:p>
        </w:tc>
        <w:tc>
          <w:tcPr>
            <w:tcW w:w="1134" w:type="dxa"/>
            <w:vAlign w:val="center"/>
          </w:tcPr>
          <w:p>
            <w:pPr>
              <w:pStyle w:val="10"/>
            </w:pPr>
            <w:r>
              <w:t>2969.68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2050202</w:t>
            </w:r>
          </w:p>
        </w:tc>
        <w:tc>
          <w:tcPr>
            <w:tcW w:w="1559" w:type="dxa"/>
            <w:vAlign w:val="center"/>
          </w:tcPr>
          <w:p>
            <w:pPr>
              <w:pStyle w:val="9"/>
            </w:pPr>
            <w:r>
              <w:t>小学教育</w:t>
            </w:r>
          </w:p>
        </w:tc>
        <w:tc>
          <w:tcPr>
            <w:tcW w:w="1134" w:type="dxa"/>
            <w:vAlign w:val="center"/>
          </w:tcPr>
          <w:p>
            <w:pPr>
              <w:pStyle w:val="10"/>
            </w:pPr>
            <w:r>
              <w:t>2969.68</w:t>
            </w:r>
          </w:p>
        </w:tc>
        <w:tc>
          <w:tcPr>
            <w:tcW w:w="1134" w:type="dxa"/>
            <w:vAlign w:val="center"/>
          </w:tcPr>
          <w:p>
            <w:pPr>
              <w:pStyle w:val="10"/>
            </w:pPr>
            <w:r>
              <w:t>2969.68</w:t>
            </w:r>
          </w:p>
        </w:tc>
        <w:tc>
          <w:tcPr>
            <w:tcW w:w="1134" w:type="dxa"/>
            <w:vAlign w:val="center"/>
          </w:tcPr>
          <w:p>
            <w:pPr>
              <w:pStyle w:val="10"/>
            </w:pPr>
            <w:r>
              <w:t>2969.68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2969.68</w:t>
            </w:r>
          </w:p>
        </w:tc>
        <w:tc>
          <w:tcPr>
            <w:tcW w:w="1361" w:type="dxa"/>
            <w:vAlign w:val="center"/>
          </w:tcPr>
          <w:p>
            <w:pPr>
              <w:pStyle w:val="12"/>
            </w:pPr>
            <w:r>
              <w:t>2840.06</w:t>
            </w:r>
          </w:p>
        </w:tc>
        <w:tc>
          <w:tcPr>
            <w:tcW w:w="1361" w:type="dxa"/>
            <w:vAlign w:val="center"/>
          </w:tcPr>
          <w:p>
            <w:pPr>
              <w:pStyle w:val="12"/>
            </w:pPr>
            <w:r>
              <w:t>129.62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2969.68</w:t>
            </w:r>
          </w:p>
        </w:tc>
        <w:tc>
          <w:tcPr>
            <w:tcW w:w="1361" w:type="dxa"/>
            <w:vAlign w:val="center"/>
          </w:tcPr>
          <w:p>
            <w:pPr>
              <w:pStyle w:val="10"/>
            </w:pPr>
            <w:r>
              <w:t>2840.06</w:t>
            </w:r>
          </w:p>
        </w:tc>
        <w:tc>
          <w:tcPr>
            <w:tcW w:w="1361" w:type="dxa"/>
            <w:vAlign w:val="center"/>
          </w:tcPr>
          <w:p>
            <w:pPr>
              <w:pStyle w:val="10"/>
            </w:pPr>
            <w:r>
              <w:t>129.62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20502</w:t>
            </w:r>
          </w:p>
        </w:tc>
        <w:tc>
          <w:tcPr>
            <w:tcW w:w="4535" w:type="dxa"/>
            <w:vAlign w:val="center"/>
          </w:tcPr>
          <w:p>
            <w:pPr>
              <w:pStyle w:val="9"/>
            </w:pPr>
            <w:r>
              <w:t>普通教育</w:t>
            </w:r>
          </w:p>
        </w:tc>
        <w:tc>
          <w:tcPr>
            <w:tcW w:w="1361" w:type="dxa"/>
            <w:vAlign w:val="center"/>
          </w:tcPr>
          <w:p>
            <w:pPr>
              <w:pStyle w:val="10"/>
            </w:pPr>
            <w:r>
              <w:t>2969.68</w:t>
            </w:r>
          </w:p>
        </w:tc>
        <w:tc>
          <w:tcPr>
            <w:tcW w:w="1361" w:type="dxa"/>
            <w:vAlign w:val="center"/>
          </w:tcPr>
          <w:p>
            <w:pPr>
              <w:pStyle w:val="10"/>
            </w:pPr>
            <w:r>
              <w:t>2840.06</w:t>
            </w:r>
          </w:p>
        </w:tc>
        <w:tc>
          <w:tcPr>
            <w:tcW w:w="1361" w:type="dxa"/>
            <w:vAlign w:val="center"/>
          </w:tcPr>
          <w:p>
            <w:pPr>
              <w:pStyle w:val="10"/>
            </w:pPr>
            <w:r>
              <w:t>129.62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2050202</w:t>
            </w:r>
          </w:p>
        </w:tc>
        <w:tc>
          <w:tcPr>
            <w:tcW w:w="4535" w:type="dxa"/>
            <w:vAlign w:val="center"/>
          </w:tcPr>
          <w:p>
            <w:pPr>
              <w:pStyle w:val="9"/>
            </w:pPr>
            <w:r>
              <w:t>小学教育</w:t>
            </w:r>
          </w:p>
        </w:tc>
        <w:tc>
          <w:tcPr>
            <w:tcW w:w="1361" w:type="dxa"/>
            <w:vAlign w:val="center"/>
          </w:tcPr>
          <w:p>
            <w:pPr>
              <w:pStyle w:val="10"/>
            </w:pPr>
            <w:r>
              <w:t>2969.68</w:t>
            </w:r>
          </w:p>
        </w:tc>
        <w:tc>
          <w:tcPr>
            <w:tcW w:w="1361" w:type="dxa"/>
            <w:vAlign w:val="center"/>
          </w:tcPr>
          <w:p>
            <w:pPr>
              <w:pStyle w:val="10"/>
            </w:pPr>
            <w:r>
              <w:t>2840.06</w:t>
            </w:r>
          </w:p>
        </w:tc>
        <w:tc>
          <w:tcPr>
            <w:tcW w:w="1361" w:type="dxa"/>
            <w:vAlign w:val="center"/>
          </w:tcPr>
          <w:p>
            <w:pPr>
              <w:pStyle w:val="10"/>
            </w:pPr>
            <w:r>
              <w:t>129.62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2969.68</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2969.68</w:t>
            </w:r>
          </w:p>
        </w:tc>
        <w:tc>
          <w:tcPr>
            <w:tcW w:w="1474" w:type="dxa"/>
            <w:vAlign w:val="center"/>
          </w:tcPr>
          <w:p>
            <w:pPr>
              <w:pStyle w:val="10"/>
            </w:pPr>
            <w:r>
              <w:t>2969.68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2969.68</w:t>
            </w:r>
          </w:p>
        </w:tc>
        <w:tc>
          <w:tcPr>
            <w:tcW w:w="3402" w:type="dxa"/>
            <w:vAlign w:val="center"/>
          </w:tcPr>
          <w:p>
            <w:pPr>
              <w:pStyle w:val="11"/>
            </w:pPr>
            <w:r>
              <w:t>本年支出合计</w:t>
            </w:r>
          </w:p>
        </w:tc>
        <w:tc>
          <w:tcPr>
            <w:tcW w:w="1474" w:type="dxa"/>
            <w:vAlign w:val="center"/>
          </w:tcPr>
          <w:p>
            <w:pPr>
              <w:pStyle w:val="12"/>
            </w:pPr>
            <w:r>
              <w:t>2969.68</w:t>
            </w:r>
          </w:p>
        </w:tc>
        <w:tc>
          <w:tcPr>
            <w:tcW w:w="1474" w:type="dxa"/>
            <w:vAlign w:val="center"/>
          </w:tcPr>
          <w:p>
            <w:pPr>
              <w:pStyle w:val="12"/>
            </w:pPr>
            <w:r>
              <w:t>2969.68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2969.68</w:t>
            </w:r>
          </w:p>
        </w:tc>
        <w:tc>
          <w:tcPr>
            <w:tcW w:w="3402" w:type="dxa"/>
            <w:vAlign w:val="center"/>
          </w:tcPr>
          <w:p>
            <w:pPr>
              <w:pStyle w:val="11"/>
            </w:pPr>
            <w:r>
              <w:t>支出总计</w:t>
            </w:r>
          </w:p>
        </w:tc>
        <w:tc>
          <w:tcPr>
            <w:tcW w:w="1474" w:type="dxa"/>
            <w:vAlign w:val="center"/>
          </w:tcPr>
          <w:p>
            <w:pPr>
              <w:pStyle w:val="12"/>
            </w:pPr>
            <w:r>
              <w:t>2969.68</w:t>
            </w:r>
          </w:p>
        </w:tc>
        <w:tc>
          <w:tcPr>
            <w:tcW w:w="1474" w:type="dxa"/>
            <w:vAlign w:val="center"/>
          </w:tcPr>
          <w:p>
            <w:pPr>
              <w:pStyle w:val="12"/>
            </w:pPr>
            <w:r>
              <w:t>2969.68</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2969.68</w:t>
            </w:r>
          </w:p>
        </w:tc>
        <w:tc>
          <w:tcPr>
            <w:tcW w:w="2551" w:type="dxa"/>
            <w:vAlign w:val="center"/>
          </w:tcPr>
          <w:p>
            <w:pPr>
              <w:pStyle w:val="12"/>
            </w:pPr>
            <w:r>
              <w:t>2840.06</w:t>
            </w:r>
          </w:p>
        </w:tc>
        <w:tc>
          <w:tcPr>
            <w:tcW w:w="2551" w:type="dxa"/>
            <w:vAlign w:val="center"/>
          </w:tcPr>
          <w:p>
            <w:pPr>
              <w:pStyle w:val="12"/>
            </w:pPr>
            <w:r>
              <w:t>129.62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2969.68</w:t>
            </w:r>
          </w:p>
        </w:tc>
        <w:tc>
          <w:tcPr>
            <w:tcW w:w="2551" w:type="dxa"/>
            <w:vAlign w:val="center"/>
          </w:tcPr>
          <w:p>
            <w:pPr>
              <w:pStyle w:val="10"/>
            </w:pPr>
            <w:r>
              <w:t>2840.06</w:t>
            </w:r>
          </w:p>
        </w:tc>
        <w:tc>
          <w:tcPr>
            <w:tcW w:w="2551" w:type="dxa"/>
            <w:vAlign w:val="center"/>
          </w:tcPr>
          <w:p>
            <w:pPr>
              <w:pStyle w:val="10"/>
            </w:pPr>
            <w:r>
              <w:t>129.62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20502</w:t>
            </w:r>
          </w:p>
        </w:tc>
        <w:tc>
          <w:tcPr>
            <w:tcW w:w="4535" w:type="dxa"/>
            <w:vAlign w:val="center"/>
          </w:tcPr>
          <w:p>
            <w:pPr>
              <w:pStyle w:val="9"/>
            </w:pPr>
            <w:r>
              <w:t>普通教育</w:t>
            </w:r>
          </w:p>
        </w:tc>
        <w:tc>
          <w:tcPr>
            <w:tcW w:w="2551" w:type="dxa"/>
            <w:vAlign w:val="center"/>
          </w:tcPr>
          <w:p>
            <w:pPr>
              <w:pStyle w:val="10"/>
            </w:pPr>
            <w:r>
              <w:t>2969.68</w:t>
            </w:r>
          </w:p>
        </w:tc>
        <w:tc>
          <w:tcPr>
            <w:tcW w:w="2551" w:type="dxa"/>
            <w:vAlign w:val="center"/>
          </w:tcPr>
          <w:p>
            <w:pPr>
              <w:pStyle w:val="10"/>
            </w:pPr>
            <w:r>
              <w:t>2840.06</w:t>
            </w:r>
          </w:p>
        </w:tc>
        <w:tc>
          <w:tcPr>
            <w:tcW w:w="2551" w:type="dxa"/>
            <w:vAlign w:val="center"/>
          </w:tcPr>
          <w:p>
            <w:pPr>
              <w:pStyle w:val="10"/>
            </w:pPr>
            <w:r>
              <w:t>129.62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2050202</w:t>
            </w:r>
          </w:p>
        </w:tc>
        <w:tc>
          <w:tcPr>
            <w:tcW w:w="4535" w:type="dxa"/>
            <w:vAlign w:val="center"/>
          </w:tcPr>
          <w:p>
            <w:pPr>
              <w:pStyle w:val="9"/>
            </w:pPr>
            <w:r>
              <w:t>小学教育</w:t>
            </w:r>
          </w:p>
        </w:tc>
        <w:tc>
          <w:tcPr>
            <w:tcW w:w="2551" w:type="dxa"/>
            <w:vAlign w:val="center"/>
          </w:tcPr>
          <w:p>
            <w:pPr>
              <w:pStyle w:val="10"/>
            </w:pPr>
            <w:r>
              <w:t>2969.68</w:t>
            </w:r>
          </w:p>
        </w:tc>
        <w:tc>
          <w:tcPr>
            <w:tcW w:w="2551" w:type="dxa"/>
            <w:vAlign w:val="center"/>
          </w:tcPr>
          <w:p>
            <w:pPr>
              <w:pStyle w:val="10"/>
            </w:pPr>
            <w:r>
              <w:t>2840.06</w:t>
            </w:r>
          </w:p>
        </w:tc>
        <w:tc>
          <w:tcPr>
            <w:tcW w:w="2551" w:type="dxa"/>
            <w:vAlign w:val="center"/>
          </w:tcPr>
          <w:p>
            <w:pPr>
              <w:pStyle w:val="10"/>
            </w:pPr>
            <w:r>
              <w:t>129.62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2840.06</w:t>
            </w:r>
          </w:p>
        </w:tc>
        <w:tc>
          <w:tcPr>
            <w:tcW w:w="2551" w:type="dxa"/>
            <w:vAlign w:val="center"/>
          </w:tcPr>
          <w:p>
            <w:pPr>
              <w:pStyle w:val="12"/>
            </w:pPr>
            <w:r>
              <w:t>2813.91</w:t>
            </w:r>
          </w:p>
        </w:tc>
        <w:tc>
          <w:tcPr>
            <w:tcW w:w="2551" w:type="dxa"/>
            <w:vAlign w:val="center"/>
          </w:tcPr>
          <w:p>
            <w:pPr>
              <w:pStyle w:val="12"/>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2812.04</w:t>
            </w:r>
          </w:p>
        </w:tc>
        <w:tc>
          <w:tcPr>
            <w:tcW w:w="2551" w:type="dxa"/>
            <w:vAlign w:val="center"/>
          </w:tcPr>
          <w:p>
            <w:pPr>
              <w:pStyle w:val="10"/>
            </w:pPr>
            <w:r>
              <w:t>2812.04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863.09</w:t>
            </w:r>
          </w:p>
        </w:tc>
        <w:tc>
          <w:tcPr>
            <w:tcW w:w="2551" w:type="dxa"/>
            <w:vAlign w:val="center"/>
          </w:tcPr>
          <w:p>
            <w:pPr>
              <w:pStyle w:val="10"/>
            </w:pPr>
            <w:r>
              <w:t>863.09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233.14</w:t>
            </w:r>
          </w:p>
        </w:tc>
        <w:tc>
          <w:tcPr>
            <w:tcW w:w="2551" w:type="dxa"/>
            <w:vAlign w:val="center"/>
          </w:tcPr>
          <w:p>
            <w:pPr>
              <w:pStyle w:val="10"/>
            </w:pPr>
            <w:r>
              <w:t>233.14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797.62</w:t>
            </w:r>
          </w:p>
        </w:tc>
        <w:tc>
          <w:tcPr>
            <w:tcW w:w="2551" w:type="dxa"/>
            <w:vAlign w:val="center"/>
          </w:tcPr>
          <w:p>
            <w:pPr>
              <w:pStyle w:val="10"/>
            </w:pPr>
            <w:r>
              <w:t>797.62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265.93</w:t>
            </w:r>
          </w:p>
        </w:tc>
        <w:tc>
          <w:tcPr>
            <w:tcW w:w="2551" w:type="dxa"/>
            <w:vAlign w:val="center"/>
          </w:tcPr>
          <w:p>
            <w:pPr>
              <w:pStyle w:val="10"/>
            </w:pPr>
            <w:r>
              <w:t>265.93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129.64</w:t>
            </w:r>
          </w:p>
        </w:tc>
        <w:tc>
          <w:tcPr>
            <w:tcW w:w="2551" w:type="dxa"/>
            <w:vAlign w:val="center"/>
          </w:tcPr>
          <w:p>
            <w:pPr>
              <w:pStyle w:val="10"/>
            </w:pPr>
            <w:r>
              <w:t>129.64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141.60</w:t>
            </w:r>
          </w:p>
        </w:tc>
        <w:tc>
          <w:tcPr>
            <w:tcW w:w="2551" w:type="dxa"/>
            <w:vAlign w:val="center"/>
          </w:tcPr>
          <w:p>
            <w:pPr>
              <w:pStyle w:val="10"/>
            </w:pPr>
            <w:r>
              <w:t>141.60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31.59</w:t>
            </w:r>
          </w:p>
        </w:tc>
        <w:tc>
          <w:tcPr>
            <w:tcW w:w="2551" w:type="dxa"/>
            <w:vAlign w:val="center"/>
          </w:tcPr>
          <w:p>
            <w:pPr>
              <w:pStyle w:val="10"/>
            </w:pPr>
            <w:r>
              <w:t>31.59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199.45</w:t>
            </w:r>
          </w:p>
        </w:tc>
        <w:tc>
          <w:tcPr>
            <w:tcW w:w="2551" w:type="dxa"/>
            <w:vAlign w:val="center"/>
          </w:tcPr>
          <w:p>
            <w:pPr>
              <w:pStyle w:val="10"/>
            </w:pPr>
            <w:r>
              <w:t>199.45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149.98</w:t>
            </w:r>
          </w:p>
        </w:tc>
        <w:tc>
          <w:tcPr>
            <w:tcW w:w="2551" w:type="dxa"/>
            <w:vAlign w:val="center"/>
          </w:tcPr>
          <w:p>
            <w:pPr>
              <w:pStyle w:val="10"/>
            </w:pPr>
            <w:r>
              <w:t>149.98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26.15</w:t>
            </w:r>
          </w:p>
        </w:tc>
        <w:tc>
          <w:tcPr>
            <w:tcW w:w="2551" w:type="dxa"/>
            <w:vAlign w:val="center"/>
          </w:tcPr>
          <w:p>
            <w:pPr>
              <w:pStyle w:val="10"/>
            </w:pPr>
          </w:p>
        </w:tc>
        <w:tc>
          <w:tcPr>
            <w:tcW w:w="2551" w:type="dxa"/>
            <w:vAlign w:val="center"/>
          </w:tcPr>
          <w:p>
            <w:pPr>
              <w:pStyle w:val="10"/>
            </w:pPr>
            <w:r>
              <w:t>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11.45</w:t>
            </w:r>
          </w:p>
        </w:tc>
        <w:tc>
          <w:tcPr>
            <w:tcW w:w="2551" w:type="dxa"/>
            <w:vAlign w:val="center"/>
          </w:tcPr>
          <w:p>
            <w:pPr>
              <w:pStyle w:val="10"/>
            </w:pPr>
          </w:p>
        </w:tc>
        <w:tc>
          <w:tcPr>
            <w:tcW w:w="2551" w:type="dxa"/>
            <w:vAlign w:val="center"/>
          </w:tcPr>
          <w:p>
            <w:pPr>
              <w:pStyle w:val="10"/>
            </w:pPr>
            <w: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14.70</w:t>
            </w:r>
          </w:p>
        </w:tc>
        <w:tc>
          <w:tcPr>
            <w:tcW w:w="2551" w:type="dxa"/>
            <w:vAlign w:val="center"/>
          </w:tcPr>
          <w:p>
            <w:pPr>
              <w:pStyle w:val="10"/>
            </w:pPr>
          </w:p>
        </w:tc>
        <w:tc>
          <w:tcPr>
            <w:tcW w:w="2551" w:type="dxa"/>
            <w:vAlign w:val="center"/>
          </w:tcPr>
          <w:p>
            <w:pPr>
              <w:pStyle w:val="10"/>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1.87</w:t>
            </w:r>
          </w:p>
        </w:tc>
        <w:tc>
          <w:tcPr>
            <w:tcW w:w="2551" w:type="dxa"/>
            <w:vAlign w:val="center"/>
          </w:tcPr>
          <w:p>
            <w:pPr>
              <w:pStyle w:val="10"/>
            </w:pPr>
            <w:r>
              <w:t>1.87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1.53</w:t>
            </w:r>
          </w:p>
        </w:tc>
        <w:tc>
          <w:tcPr>
            <w:tcW w:w="2551" w:type="dxa"/>
            <w:vAlign w:val="center"/>
          </w:tcPr>
          <w:p>
            <w:pPr>
              <w:pStyle w:val="10"/>
            </w:pPr>
            <w:r>
              <w:t>1.53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0.34</w:t>
            </w:r>
          </w:p>
        </w:tc>
        <w:tc>
          <w:tcPr>
            <w:tcW w:w="2551" w:type="dxa"/>
            <w:vAlign w:val="center"/>
          </w:tcPr>
          <w:p>
            <w:pPr>
              <w:pStyle w:val="10"/>
            </w:pPr>
            <w:r>
              <w:t>0.34</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“三公”经费小计</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其中：教学科研人员因公出国（境）费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其他因公出国（境）费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7</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8</w:t>
            </w:r>
          </w:p>
        </w:tc>
        <w:tc>
          <w:tcPr>
            <w:tcW w:w="3798" w:type="dxa"/>
            <w:vAlign w:val="center"/>
          </w:tcPr>
          <w:p>
            <w:pPr>
              <w:pStyle w:val="9"/>
            </w:pPr>
            <w:r>
              <w:t xml:space="preserve">          公务用车运行维护费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9</w:t>
            </w:r>
          </w:p>
        </w:tc>
        <w:tc>
          <w:tcPr>
            <w:tcW w:w="3798" w:type="dxa"/>
            <w:vAlign w:val="center"/>
          </w:tcPr>
          <w:p>
            <w:pPr>
              <w:pStyle w:val="9"/>
            </w:pPr>
            <w: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10</w:t>
            </w:r>
          </w:p>
        </w:tc>
        <w:tc>
          <w:tcPr>
            <w:tcW w:w="3798" w:type="dxa"/>
            <w:vAlign w:val="center"/>
          </w:tcPr>
          <w:p>
            <w:pPr>
              <w:pStyle w:val="9"/>
            </w:pPr>
            <w:r>
              <w:t>四、会议费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11</w:t>
            </w:r>
          </w:p>
        </w:tc>
        <w:tc>
          <w:tcPr>
            <w:tcW w:w="3798" w:type="dxa"/>
            <w:vAlign w:val="center"/>
          </w:tcPr>
          <w:p>
            <w:pPr>
              <w:pStyle w:val="9"/>
            </w:pPr>
            <w:r>
              <w:t>五、培训费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唐山市丰润区王官营镇中心学校2023年单位预算信息公开情况说明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、《地方预决算公开操作规程》和《关于进一步推进预算公开工作的实施意见》规定，现将唐山市丰润区王官营镇中心学校2023年单位预算公开如下：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hint="eastAsia" w:eastAsia="方正楷体_GBK"/>
          <w:highlight w:val="none"/>
          <w:lang w:eastAsia="zh-CN"/>
        </w:rPr>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highlight w:val="none"/>
          <w:lang w:eastAsia="zh-CN"/>
        </w:rPr>
        <w:t>贯</w:t>
      </w:r>
      <w:r>
        <w:rPr>
          <w:rFonts w:hint="eastAsia" w:ascii="方正楷体_GBK" w:hAnsi="方正楷体_GBK" w:eastAsia="方正楷体_GBK" w:cs="方正楷体_GBK"/>
          <w:b/>
          <w:color w:val="000000"/>
          <w:sz w:val="32"/>
          <w:highlight w:val="none"/>
        </w:rPr>
        <w:t>彻执行党的方针、政策和国家教育法律、法规。统筹管理本单位教育经费，提高小学教育的自身整体素质和教师的业务水平</w:t>
      </w:r>
      <w:r>
        <w:rPr>
          <w:rFonts w:hint="eastAsia" w:ascii="方正楷体_GBK" w:hAnsi="方正楷体_GBK" w:eastAsia="方正楷体_GBK" w:cs="方正楷体_GBK"/>
          <w:b/>
          <w:color w:val="000000"/>
          <w:sz w:val="32"/>
          <w:highlight w:val="none"/>
          <w:lang w:eastAsia="zh-CN"/>
        </w:rPr>
        <w:t>。</w:t>
      </w:r>
    </w:p>
    <w:p>
      <w:pPr>
        <w:pStyle w:val="14"/>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唐山市丰润区王官营镇中心学校</w:t>
            </w:r>
          </w:p>
        </w:tc>
        <w:tc>
          <w:tcPr>
            <w:tcW w:w="1843" w:type="dxa"/>
            <w:vAlign w:val="center"/>
          </w:tcPr>
          <w:p>
            <w:pPr>
              <w:pStyle w:val="8"/>
            </w:pPr>
            <w:r>
              <w:t>事业</w:t>
            </w:r>
          </w:p>
        </w:tc>
        <w:tc>
          <w:tcPr>
            <w:tcW w:w="2126" w:type="dxa"/>
            <w:vAlign w:val="center"/>
          </w:tcPr>
          <w:p>
            <w:pPr>
              <w:pStyle w:val="8"/>
            </w:pPr>
            <w:r>
              <w:t>股级</w:t>
            </w:r>
          </w:p>
        </w:tc>
        <w:tc>
          <w:tcPr>
            <w:tcW w:w="3827" w:type="dxa"/>
            <w:vAlign w:val="center"/>
          </w:tcPr>
          <w:p>
            <w:pPr>
              <w:pStyle w:val="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5"/>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jc w:val="left"/>
        <w:outlineLvl w:val="5"/>
        <w:rPr>
          <w:rFonts w:ascii="黑体" w:hAnsi="黑体" w:eastAsia="黑体" w:cs="黑体"/>
          <w:color w:val="000000"/>
          <w:sz w:val="32"/>
        </w:rPr>
      </w:pPr>
    </w:p>
    <w:p>
      <w:pPr>
        <w:pStyle w:val="16"/>
      </w:pPr>
      <w:r>
        <w:rPr>
          <w:rFonts w:hint="eastAsia"/>
          <w:lang w:eastAsia="zh-CN"/>
        </w:rPr>
        <w:t>水电费</w:t>
      </w:r>
      <w:r>
        <w:rPr>
          <w:rFonts w:hint="eastAsia"/>
          <w:lang w:val="en-US" w:eastAsia="zh-CN"/>
        </w:rPr>
        <w:t>11.45万元，劳务费14.7万元。</w:t>
      </w:r>
      <w:r>
        <w:rPr>
          <w:rFonts w:hint="eastAsia"/>
        </w:rPr>
        <w:t xml:space="preserve">以上合计 </w:t>
      </w:r>
      <w:r>
        <w:rPr>
          <w:rFonts w:hint="eastAsia"/>
          <w:lang w:val="en-US" w:eastAsia="zh-CN"/>
        </w:rPr>
        <w:t>26.15</w:t>
      </w:r>
      <w:r>
        <w:rPr>
          <w:rFonts w:hint="eastAsia"/>
        </w:rPr>
        <w:t>万元。</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rPr>
        <w:t>本单位无“三公”经费预算与支出。</w:t>
      </w:r>
    </w:p>
    <w:p>
      <w:pPr>
        <w:pStyle w:val="17"/>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1、唐财教[2022]98号2023年城乡义务教育中央补助经费[直达资金]-生均公用经费绩效目标表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1.保证城乡中小学正常运转，在教学活动和后勤服务等方面的开支费用，改善城乡学校状况，优化办学环境，推进 城乡义务教育均衡发展，加快教育强区建设进程，不断提高全区教育教学水平。</w:t>
            </w:r>
            <w:r>
              <w:tab/>
            </w:r>
            <w:r>
              <w:tab/>
            </w:r>
            <w:r>
              <w:tab/>
            </w:r>
            <w:r>
              <w:tab/>
            </w:r>
            <w:r>
              <w:tab/>
            </w:r>
          </w:p>
          <w:p>
            <w:pPr>
              <w:pStyle w:val="9"/>
            </w:pPr>
            <w:r>
              <w:t>2.继续教育保障长效机制。</w:t>
            </w:r>
            <w:r>
              <w:tab/>
            </w:r>
            <w:r>
              <w:tab/>
            </w:r>
            <w:r>
              <w:tab/>
            </w:r>
            <w:r>
              <w:tab/>
            </w:r>
            <w:r>
              <w:tab/>
            </w:r>
          </w:p>
          <w:p>
            <w:pPr>
              <w:pStyle w:val="9"/>
            </w:pPr>
            <w:r>
              <w:t>3.足额拨付义教经费，确保单位正常运转，单位业务工作正常开展。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设备购置项目个数、数量</w:t>
            </w:r>
          </w:p>
        </w:tc>
        <w:tc>
          <w:tcPr>
            <w:tcW w:w="2835" w:type="dxa"/>
            <w:vAlign w:val="center"/>
          </w:tcPr>
          <w:p>
            <w:pPr>
              <w:pStyle w:val="9"/>
            </w:pPr>
            <w:r>
              <w:t>设备购置项目个数、数量</w:t>
            </w:r>
          </w:p>
        </w:tc>
        <w:tc>
          <w:tcPr>
            <w:tcW w:w="2551" w:type="dxa"/>
            <w:vAlign w:val="center"/>
          </w:tcPr>
          <w:p>
            <w:pPr>
              <w:pStyle w:val="9"/>
            </w:pPr>
            <w:r>
              <w:t>≥1个/台/套/批</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符合国家标准</w:t>
            </w:r>
          </w:p>
        </w:tc>
        <w:tc>
          <w:tcPr>
            <w:tcW w:w="2835" w:type="dxa"/>
            <w:vAlign w:val="center"/>
          </w:tcPr>
          <w:p>
            <w:pPr>
              <w:pStyle w:val="9"/>
            </w:pPr>
            <w:r>
              <w:t>符合国家标准，达到采购指数指标要求</w:t>
            </w:r>
          </w:p>
        </w:tc>
        <w:tc>
          <w:tcPr>
            <w:tcW w:w="2551" w:type="dxa"/>
            <w:vAlign w:val="center"/>
          </w:tcPr>
          <w:p>
            <w:pPr>
              <w:pStyle w:val="9"/>
            </w:pPr>
            <w:r>
              <w:t>≥95%</w:t>
            </w:r>
          </w:p>
        </w:tc>
        <w:tc>
          <w:tcPr>
            <w:tcW w:w="2268" w:type="dxa"/>
            <w:vAlign w:val="center"/>
          </w:tcPr>
          <w:p>
            <w:pPr>
              <w:pStyle w:val="9"/>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项目截止时间</w:t>
            </w:r>
          </w:p>
        </w:tc>
        <w:tc>
          <w:tcPr>
            <w:tcW w:w="2835" w:type="dxa"/>
            <w:vAlign w:val="center"/>
          </w:tcPr>
          <w:p>
            <w:pPr>
              <w:pStyle w:val="9"/>
            </w:pPr>
            <w:r>
              <w:t>项目截止时间</w:t>
            </w:r>
          </w:p>
        </w:tc>
        <w:tc>
          <w:tcPr>
            <w:tcW w:w="2551" w:type="dxa"/>
            <w:vAlign w:val="center"/>
          </w:tcPr>
          <w:p>
            <w:pPr>
              <w:pStyle w:val="9"/>
            </w:pPr>
            <w:r>
              <w:t>2023年12月31日</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经费投入</w:t>
            </w:r>
          </w:p>
        </w:tc>
        <w:tc>
          <w:tcPr>
            <w:tcW w:w="2835" w:type="dxa"/>
            <w:vAlign w:val="center"/>
          </w:tcPr>
          <w:p>
            <w:pPr>
              <w:pStyle w:val="9"/>
            </w:pPr>
            <w:r>
              <w:t>采购预算投入金额（单价，或单位成本）</w:t>
            </w:r>
          </w:p>
        </w:tc>
        <w:tc>
          <w:tcPr>
            <w:tcW w:w="2551" w:type="dxa"/>
            <w:vAlign w:val="center"/>
          </w:tcPr>
          <w:p>
            <w:pPr>
              <w:pStyle w:val="9"/>
            </w:pPr>
            <w:r>
              <w:t>≤3000（元/平方米/个/台/套/批）</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受益学生人数</w:t>
            </w:r>
          </w:p>
        </w:tc>
        <w:tc>
          <w:tcPr>
            <w:tcW w:w="2835" w:type="dxa"/>
            <w:vAlign w:val="center"/>
          </w:tcPr>
          <w:p>
            <w:pPr>
              <w:pStyle w:val="9"/>
            </w:pPr>
            <w:r>
              <w:t>受益学生人数</w:t>
            </w:r>
          </w:p>
        </w:tc>
        <w:tc>
          <w:tcPr>
            <w:tcW w:w="2551" w:type="dxa"/>
            <w:vAlign w:val="center"/>
          </w:tcPr>
          <w:p>
            <w:pPr>
              <w:pStyle w:val="9"/>
            </w:pPr>
            <w:r>
              <w:t>≥2058人</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设计使用年限</w:t>
            </w:r>
          </w:p>
        </w:tc>
        <w:tc>
          <w:tcPr>
            <w:tcW w:w="2835" w:type="dxa"/>
            <w:vAlign w:val="center"/>
          </w:tcPr>
          <w:p>
            <w:pPr>
              <w:pStyle w:val="9"/>
            </w:pPr>
            <w:r>
              <w:t>设计使用年限</w:t>
            </w:r>
          </w:p>
        </w:tc>
        <w:tc>
          <w:tcPr>
            <w:tcW w:w="2551" w:type="dxa"/>
            <w:vAlign w:val="center"/>
          </w:tcPr>
          <w:p>
            <w:pPr>
              <w:pStyle w:val="9"/>
            </w:pPr>
            <w:r>
              <w:t>≥8年</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受益学生家长满意度（%）</w:t>
            </w:r>
          </w:p>
        </w:tc>
        <w:tc>
          <w:tcPr>
            <w:tcW w:w="2835" w:type="dxa"/>
            <w:vAlign w:val="center"/>
          </w:tcPr>
          <w:p>
            <w:pPr>
              <w:pStyle w:val="9"/>
            </w:pPr>
            <w:r>
              <w:t>学生及家长对学校教育教学的满意度</w:t>
            </w:r>
          </w:p>
        </w:tc>
        <w:tc>
          <w:tcPr>
            <w:tcW w:w="2551" w:type="dxa"/>
            <w:vAlign w:val="center"/>
          </w:tcPr>
          <w:p>
            <w:pPr>
              <w:pStyle w:val="9"/>
            </w:pPr>
            <w:r>
              <w:t>≥96%</w:t>
            </w:r>
          </w:p>
        </w:tc>
        <w:tc>
          <w:tcPr>
            <w:tcW w:w="2268"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服务对象满意度指标</w:t>
            </w:r>
          </w:p>
        </w:tc>
        <w:tc>
          <w:tcPr>
            <w:tcW w:w="2835" w:type="dxa"/>
            <w:vAlign w:val="center"/>
          </w:tcPr>
          <w:p>
            <w:pPr>
              <w:pStyle w:val="9"/>
            </w:pPr>
            <w:r>
              <w:t>受益学生满意度（%）</w:t>
            </w:r>
          </w:p>
        </w:tc>
        <w:tc>
          <w:tcPr>
            <w:tcW w:w="2835" w:type="dxa"/>
            <w:vAlign w:val="center"/>
          </w:tcPr>
          <w:p>
            <w:pPr>
              <w:pStyle w:val="9"/>
            </w:pPr>
            <w:r>
              <w:t>教师对学校整体教育教学环境的满意度</w:t>
            </w:r>
          </w:p>
        </w:tc>
        <w:tc>
          <w:tcPr>
            <w:tcW w:w="2551" w:type="dxa"/>
            <w:vAlign w:val="center"/>
          </w:tcPr>
          <w:p>
            <w:pPr>
              <w:pStyle w:val="9"/>
            </w:pPr>
            <w:r>
              <w:t>≥96%</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2023年，唐山市丰润区王官营镇中心学校安排政府采购预算0.00万元。具体内容见下表。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唐山市丰润区王官营镇中心学校上年末固定资产金额为</w:t>
      </w:r>
      <w:r>
        <w:rPr>
          <w:rFonts w:hint="eastAsia" w:ascii="Times New Roman" w:hAnsi="Times New Roman" w:eastAsia="方正仿宋_GBK" w:cs="Times New Roman"/>
          <w:b w:val="0"/>
          <w:color w:val="000000"/>
          <w:sz w:val="28"/>
          <w:lang w:val="en-US" w:eastAsia="zh-CN"/>
        </w:rPr>
        <w:t>2267.409414</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360104唐山市丰润区王官营镇中心学校</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eastAsia" w:eastAsia="方正书宋_GBK"/>
                <w:lang w:val="en-US" w:eastAsia="zh-CN"/>
              </w:rPr>
            </w:pPr>
            <w:r>
              <w:rPr>
                <w:rFonts w:hint="eastAsia"/>
                <w:lang w:val="en-US" w:eastAsia="zh-CN"/>
              </w:rPr>
              <w:t>固定资产</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ascii="Times New Roman" w:hAnsi="Times New Roman" w:eastAsia="方正仿宋_GBK" w:cs="Times New Roman"/>
                <w:b w:val="0"/>
                <w:color w:val="000000"/>
                <w:sz w:val="28"/>
                <w:lang w:val="en-US" w:eastAsia="zh-CN"/>
              </w:rPr>
              <w:t>2267.409414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hint="eastAsia" w:ascii="Times New Roman" w:hAnsi="Times New Roman" w:eastAsia="方正仿宋_GBK" w:cs="Times New Roman"/>
          <w:b w:val="0"/>
          <w:color w:val="000000"/>
          <w:sz w:val="28"/>
          <w:highlight w:val="none"/>
        </w:rPr>
        <w:t xml:space="preserve"> 指区级财政当年拨付的资金</w:t>
      </w:r>
      <w:r>
        <w:rPr>
          <w:rFonts w:hint="eastAsia" w:ascii="Times New Roman" w:hAnsi="Times New Roman" w:eastAsia="方正仿宋_GBK" w:cs="Times New Roman"/>
          <w:b w:val="0"/>
          <w:color w:val="000000"/>
          <w:sz w:val="28"/>
          <w:highlight w:val="none"/>
          <w:lang w:eastAsia="zh-CN"/>
        </w:rPr>
        <w:t>。</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45ECC"/>
    <w:multiLevelType w:val="singleLevel"/>
    <w:tmpl w:val="78945EC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Q1MmQwYWM5Y2QxODE3NzJjMjg2YWVkZjlkZWEifQ=="/>
  </w:docVars>
  <w:rsids>
    <w:rsidRoot w:val="18170A55"/>
    <w:rsid w:val="06A64E52"/>
    <w:rsid w:val="18170A55"/>
    <w:rsid w:val="234E65ED"/>
    <w:rsid w:val="25212FCA"/>
    <w:rsid w:val="28CA467C"/>
    <w:rsid w:val="38123900"/>
    <w:rsid w:val="478F6DF3"/>
    <w:rsid w:val="4EE931A6"/>
    <w:rsid w:val="5D6B4C25"/>
    <w:rsid w:val="6C12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4057</Words>
  <Characters>4857</Characters>
  <Lines>0</Lines>
  <Paragraphs>0</Paragraphs>
  <TotalTime>1</TotalTime>
  <ScaleCrop>false</ScaleCrop>
  <LinksUpToDate>false</LinksUpToDate>
  <CharactersWithSpaces>5015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2023-04-17T08:53:00Z</dcterms:created>
  <dc:creator>Administrator</dc:creator>
  <cp:lastModifiedBy>微信用户</cp:lastModifiedBy>
  <dcterms:modified xsi:type="dcterms:W3CDTF">2024-03-19T02:47:56Z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32EC4B003B4C43BA8338F91F00A09DAD</vt:lpwstr>
  </property>
</Properties>
</file>