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72"/>
        </w:rPr>
        <w:t>唐山市丰润区行政审批局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eastAsia="方正楷体_GBK" w:cs="方正楷体_GBK"/>
          <w:b/>
          <w:color w:val="000000"/>
          <w:sz w:val="32"/>
        </w:rPr>
        <w:t>唐山市丰润区行政审批局编制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  <w:docGrid w:linePitch="326" w:charSpace="0"/>
        </w:sectPr>
      </w:pPr>
      <w:r>
        <w:rPr>
          <w:rFonts w:asci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"2-2" \h \z \u 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  <w:tab/>
      </w:r>
      <w:r>
        <w:fldChar w:fldCharType="begin"/>
      </w:r>
      <w:r>
        <w:instrText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  <w:tab/>
      </w:r>
      <w:r>
        <w:fldChar w:fldCharType="begin"/>
      </w:r>
      <w:r>
        <w:instrText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  <w:tab/>
      </w:r>
      <w:r>
        <w:fldChar w:fldCharType="begin"/>
      </w:r>
      <w:r>
        <w:instrText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"4-4" \h \z \u 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1.“互联网+政务服务”平台运维费绩效目标表</w:t>
        <w:tab/>
      </w:r>
      <w:r>
        <w:fldChar w:fldCharType="begin"/>
      </w:r>
      <w:r>
        <w:instrText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2.“最多跑一次快”递服务费绩效目标表</w:t>
        <w:tab/>
      </w:r>
      <w:r>
        <w:fldChar w:fldCharType="begin"/>
      </w:r>
      <w:r>
        <w:instrText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3.（2）23年办公场所租赁费绩效目标表</w:t>
        <w:tab/>
      </w:r>
      <w:r>
        <w:fldChar w:fldCharType="begin"/>
      </w:r>
      <w:r>
        <w:instrText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4.档案密集柜费用绩效目标表</w:t>
        <w:tab/>
      </w:r>
      <w:r>
        <w:fldChar w:fldCharType="begin"/>
      </w:r>
      <w:r>
        <w:instrText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5.电子政务平台点位及硬件维护费绩效目标表</w:t>
        <w:tab/>
      </w:r>
      <w:r>
        <w:fldChar w:fldCharType="begin"/>
      </w:r>
      <w:r>
        <w:instrText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6.公共资源交易中心网络系统运维费绩效目标表</w:t>
        <w:tab/>
      </w:r>
      <w:r>
        <w:fldChar w:fldCharType="begin"/>
      </w:r>
      <w:r>
        <w:instrText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7.水电费用绩效目标表</w:t>
        <w:tab/>
      </w:r>
      <w:r>
        <w:fldChar w:fldCharType="begin"/>
      </w:r>
      <w:r>
        <w:instrText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8.水土保持方案报告技术评审费绩效目标表</w:t>
        <w:tab/>
      </w:r>
      <w:r>
        <w:fldChar w:fldCharType="begin"/>
      </w:r>
      <w:r>
        <w:instrText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9.政府采购中心专家评审及公证费绩效目标表</w:t>
        <w:tab/>
      </w:r>
      <w:r>
        <w:fldChar w:fldCharType="begin"/>
      </w:r>
      <w:r>
        <w:instrText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10.证照费用绩效目标表</w:t>
        <w:tab/>
      </w:r>
      <w:r>
        <w:fldChar w:fldCharType="begin"/>
      </w:r>
      <w:r>
        <w:instrText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11.综合办公经费绩效目标表</w:t>
        <w:tab/>
      </w:r>
      <w:r>
        <w:fldChar w:fldCharType="begin"/>
      </w:r>
      <w:r>
        <w:instrText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w:type="default" r:id="rId2"/>
          <w:footerReference w:type="even" r:id="rId3"/>
          <w:pgSz w:w="11900" w:h="16840"/>
          <w:pgMar w:top="1984" w:right="1304" w:bottom="1134" w:left="1304" w:header="720" w:footer="720" w:gutter="0"/>
          <w:pgNumType w:start="1"/>
          <w:docGrid w:linePitch="326" w:charSpace="0"/>
        </w:sectPr>
      </w:pPr>
      <w:r>
        <w:br w:type="page"/>
        <w:br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8"/>
      </w:pPr>
      <w:r>
        <w:t>丰润区行政审批局为区政府工作部门。贯彻执行党中央、国务院和省委省政府、市委市政府、区委区政府“放管服”改革、行政审批制度改革、政务服务管理、公共资源交易市场管理、社会体系建设有关方针政策和法律法规。强力推进行政审批改革工作，负责统一实施行政审批涉及的现场勘查、专家评审、技术论证和社会听证等工作，确保依法依规进行审批，及时核发各类许可证照；规范公共资源交易市场综合事务管理，负责建设、管理全区统一的公共资源交易电子服务系统；统筹推进全区“互联网+政务服务”工作，建设全区一体化政务服务平台；规范行政审批综合事务管理，加强日常事务的管理，推动全局工作的开展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9"/>
      </w:pPr>
      <w:r>
        <w:t xml:space="preserve">1. 公共资源网络系统提供服务 </w:t>
      </w:r>
    </w:p>
    <w:p>
      <w:pPr>
        <w:pStyle w:val="19"/>
      </w:pPr>
      <w:r>
        <w:t>绩效目标：工作人员利用公共资源电子平台为办事群众更快捷更便利服务。</w:t>
      </w:r>
    </w:p>
    <w:p>
      <w:pPr>
        <w:pStyle w:val="19"/>
      </w:pPr>
      <w:r>
        <w:t>绩效指标：服务时长，公共资源交易电子服务系统为工作人员提供服务时长达到365天。</w:t>
      </w:r>
    </w:p>
    <w:p>
      <w:pPr>
        <w:pStyle w:val="19"/>
      </w:pPr>
      <w:r>
        <w:t>2. 指导全区并监督区本级公共资源交易项目进场交易</w:t>
      </w:r>
    </w:p>
    <w:p>
      <w:pPr>
        <w:pStyle w:val="19"/>
      </w:pPr>
      <w:r>
        <w:t>绩效目标：推进公共资源项目进场交易，完善产权市场功能。</w:t>
      </w:r>
    </w:p>
    <w:p>
      <w:pPr>
        <w:pStyle w:val="19"/>
      </w:pPr>
      <w:r>
        <w:t>绩效指标：开标质量，促进全区进场交易完成质量应达到95%以上。</w:t>
      </w:r>
    </w:p>
    <w:p>
      <w:pPr>
        <w:pStyle w:val="19"/>
      </w:pPr>
      <w:r>
        <w:t>3. 政务服务</w:t>
      </w:r>
    </w:p>
    <w:p>
      <w:pPr>
        <w:pStyle w:val="19"/>
      </w:pPr>
      <w:r>
        <w:t>绩效目标：优化政务服务供给，降低制度性交易成本。</w:t>
      </w:r>
    </w:p>
    <w:p>
      <w:pPr>
        <w:pStyle w:val="19"/>
      </w:pPr>
      <w:r>
        <w:t>绩效指标：政务服务，政务服务工作完成质量应达到95%以上。</w:t>
      </w:r>
    </w:p>
    <w:p>
      <w:pPr>
        <w:pStyle w:val="19"/>
      </w:pPr>
      <w:r>
        <w:t>4. 电子政务服务</w:t>
      </w:r>
    </w:p>
    <w:p>
      <w:pPr>
        <w:pStyle w:val="19"/>
      </w:pPr>
      <w:r>
        <w:t>绩效目标：管理机构、实体大厅、网上平台“三位一体”的政务服务平台规范化、标准化、集约化建设和互联互通、数据共享。</w:t>
      </w:r>
    </w:p>
    <w:p>
      <w:pPr>
        <w:pStyle w:val="19"/>
      </w:pPr>
      <w:r>
        <w:t>绩效指标：电子政务服务，促进协调全区政务服务管理工作应达到90%以上。</w:t>
      </w:r>
    </w:p>
    <w:p>
      <w:pPr>
        <w:pStyle w:val="19"/>
      </w:pPr>
      <w:r>
        <w:t>5. 开展审批工作</w:t>
      </w:r>
    </w:p>
    <w:p>
      <w:pPr>
        <w:pStyle w:val="19"/>
      </w:pPr>
      <w:r>
        <w:t>绩效目标：促进区级各部门行政审批等事项和公共服务事项的集中统一办理</w:t>
      </w:r>
    </w:p>
    <w:p>
      <w:pPr>
        <w:pStyle w:val="19"/>
      </w:pPr>
      <w:r>
        <w:t>绩效指标：审批工作开展情况，推行并联审批工作应达到90%。</w:t>
      </w:r>
    </w:p>
    <w:p>
      <w:pPr>
        <w:pStyle w:val="19"/>
      </w:pPr>
      <w:r>
        <w:t>6. 为办事群众提供审批办结的证照证件</w:t>
      </w:r>
    </w:p>
    <w:p>
      <w:pPr>
        <w:pStyle w:val="19"/>
      </w:pPr>
      <w:r>
        <w:t>绩效目标：促进审批效率，为群众提供切实的便利服务</w:t>
      </w:r>
    </w:p>
    <w:p>
      <w:pPr>
        <w:pStyle w:val="19"/>
      </w:pPr>
      <w:r>
        <w:t>绩效指标：审批事项办结的质量，群众对审批事项办结的满意程度达到90%以上。</w:t>
      </w:r>
    </w:p>
    <w:p>
      <w:pPr>
        <w:pStyle w:val="19"/>
      </w:pPr>
      <w:r>
        <w:t>7. 综合业务管理</w:t>
      </w:r>
    </w:p>
    <w:p>
      <w:pPr>
        <w:pStyle w:val="19"/>
      </w:pPr>
      <w:r>
        <w:t>绩效目标：推进本局管理工作科学发展；提高管理、保障、服务水平。</w:t>
      </w:r>
    </w:p>
    <w:p>
      <w:pPr>
        <w:pStyle w:val="19"/>
      </w:pPr>
      <w:r>
        <w:t>绩效指标：综合业务完成率，管理综合业务工作完成率达到90%以上。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20"/>
      </w:pPr>
      <w:r>
        <w:t>1.深化审批制度改革。</w:t>
      </w:r>
    </w:p>
    <w:p>
      <w:pPr>
        <w:pStyle w:val="20"/>
      </w:pPr>
      <w:r>
        <w:t>（1）加大简政放权力度。严格落实上级取消、调整审批项目的决定,做好下放事项的承接落实和监督管理工作。</w:t>
      </w:r>
    </w:p>
    <w:p>
      <w:pPr>
        <w:pStyle w:val="20"/>
      </w:pPr>
      <w:r>
        <w:t>（2）梳理政务事项通用目录。按照省市政务服务事项“四级四同”的要求，在“三级四同”目录基础上，组织我区相关部门对六大类事项逐项梳理，编制公开事项目录清单和实施清单，优化调整政务服务事项193项，做到信息录入全面、规范、准确，实现梳理同步化。</w:t>
      </w:r>
    </w:p>
    <w:p>
      <w:pPr>
        <w:pStyle w:val="20"/>
      </w:pPr>
      <w:r>
        <w:t>（3）加强行政审批中介服务机构管理。结合机构改革，组织各有关部门梳理本部门及下属单位各类中介服务事项清单，坚决取消无法律、法规、规章等作为依据的中介服务事项。</w:t>
      </w:r>
    </w:p>
    <w:p>
      <w:pPr>
        <w:pStyle w:val="20"/>
      </w:pPr>
      <w:r>
        <w:t>2.持续优化营商环境。</w:t>
      </w:r>
    </w:p>
    <w:p>
      <w:pPr>
        <w:pStyle w:val="20"/>
      </w:pPr>
      <w:r>
        <w:t>（1）推进“证照分离”改革。在“先照后证”“多证合一”改革基础上，全面推进我区“证照分离”改革工作，在全区范围内，对所有涉企经营许可事项统一按照直接取消审批、实行告知承诺、优化审批服务方式分类推进改革。</w:t>
      </w:r>
    </w:p>
    <w:p>
      <w:pPr>
        <w:pStyle w:val="20"/>
      </w:pPr>
      <w:r>
        <w:t>（2）设立企业开办专区。将社保登记、印章刻制、发票申领纳入审批大厅，以实现内资企业设立登记、公章刻制、发票申领、参保用工登记等四个企业开办基本事项，实现全流程一体化在线办理。</w:t>
      </w:r>
    </w:p>
    <w:p>
      <w:pPr>
        <w:pStyle w:val="20"/>
      </w:pPr>
      <w:r>
        <w:t>（3）实行简易注销登记制度改革。推进企业注销便利化改革，为企业退出市场提供更加便利化的服务。</w:t>
      </w:r>
    </w:p>
    <w:p>
      <w:pPr>
        <w:pStyle w:val="20"/>
      </w:pPr>
      <w:r>
        <w:t>3.提升项目审批效率。依托唐山市工程建设项目审批系统，实现统一受理、并联审批、实时流转、跟踪督办，打造了功能完善的工程建设项目审批政务信息平台</w:t>
      </w:r>
    </w:p>
    <w:p>
      <w:pPr>
        <w:pStyle w:val="20"/>
      </w:pPr>
      <w:r>
        <w:t>4.推进基层综合服务平台建设。</w:t>
      </w:r>
    </w:p>
    <w:p>
      <w:pPr>
        <w:pStyle w:val="20"/>
      </w:pPr>
      <w:r>
        <w:t>5.推进政务服务“一网通办”。</w:t>
      </w:r>
    </w:p>
    <w:p>
      <w:pPr>
        <w:pStyle w:val="20"/>
      </w:pPr>
      <w:r>
        <w:t>推进政务服务平台互联互通;加快推进“一网通办”;建立健全“互联网＋监管”工作体系。</w:t>
      </w:r>
    </w:p>
    <w:p>
      <w:pPr>
        <w:pStyle w:val="20"/>
      </w:pPr>
      <w:r>
        <w:t>6. 不断加强绩效管理，采取措施预做准备，控制偏差，保证绩效目标的实现。</w:t>
      </w:r>
    </w:p>
    <w:p>
      <w:pPr>
        <w:pStyle w:val="20"/>
      </w:pPr>
      <w:r>
        <w:t>（1）完善制度建设。制定预算绩效管理制度、资金管理办法、工作保障制度，为全年预算绩效目标的实现奠定制度基础。</w:t>
      </w:r>
    </w:p>
    <w:p>
      <w:pPr>
        <w:pStyle w:val="20"/>
      </w:pPr>
      <w:r>
        <w:t>（2）加强支出管理。通过优化支出结构、编细编实预算、加快履行政府采购手续、尽快启动项目、及时支付资金、按规定及时下达资金等多种措施，确保支出进度达标。</w:t>
      </w:r>
    </w:p>
    <w:p>
      <w:pPr>
        <w:pStyle w:val="20"/>
      </w:pPr>
      <w:r>
        <w:t>（3）加强绩效运行监控。按财政局要求开展绩效运行监控，发现问题及时采取措施，确保绩效目标如期保质实现。</w:t>
      </w:r>
    </w:p>
    <w:p>
      <w:pPr>
        <w:pStyle w:val="20"/>
      </w:pPr>
      <w:r>
        <w:t>（4）做好绩效自评。按要求开展上年度部门预算绩效自评和重点评价工作，对评价中发现的问题及时整改，调整优化支出结构，提高财政资金使用效益。</w:t>
      </w:r>
    </w:p>
    <w:p>
      <w:pPr>
        <w:pStyle w:val="20"/>
      </w:pPr>
      <w:r>
        <w:t>（5）规范财务资产管理。完善财务管理制度，严格审批程序，加强固定资产登记、使用和报废处置管理，做到支出合理，物尽其用。</w:t>
      </w:r>
    </w:p>
    <w:p>
      <w:pPr>
        <w:pStyle w:val="20"/>
      </w:pPr>
      <w:r>
        <w:t>（6）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20"/>
      </w:pPr>
      <w:r>
        <w:t>（7）加强宣传培训调研等。加强人员培训，提高职工</w:t>
      </w:r>
      <w:bookmarkStart w:id="3" w:name="_GoBack"/>
      <w:bookmarkEnd w:id="3"/>
      <w:r>
        <w:t>业务素质；加强调研，提出优化财政资金配置、提高资金使用效益的意见；加大宣传力度，强化预算绩效管理意识，促进预算绩效管理水平进一步提升。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docGrid w:linePitch="326" w:charSpace="0"/>
        </w:sectPr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4"/>
      <w:r>
        <w:rPr>
          <w:rFonts w:ascii="方正仿宋_GBK" w:eastAsia="方正仿宋_GBK" w:cs="方正仿宋_GBK"/>
          <w:color w:val="000000"/>
          <w:sz w:val="28"/>
        </w:rPr>
        <w:t>1.“互联网+政务服务”平台运维费绩效目标表</w:t>
      </w:r>
      <w:bookmarkEnd w:id="4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13020823P00017310001M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“互联网+政务服务”平台运维费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9.20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9.20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按照唐山市审批局关于拨付“互联网+政务服务”平台运维费用的通知要求，各县每年需分均“互联网+政务服务”平台运维费用130万，遂我单位年需“互联网+政务服务”平台运维费用92004元。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1.工作人员利用“互联网+政务服务”平台为办事群众更快捷更便利服务</w:t>
            </w:r>
          </w:p>
          <w:p>
            <w:pPr>
              <w:pStyle w:val="23"/>
            </w:pPr>
            <w:r>
              <w:t>2.保障行政审批局正常运转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提供服务天数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“互联网+政务服务”提供服务天数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平台故障率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平台出故障的时间占总体使用时间的比率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根据合同要求，2020年底完成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月平均成本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每月占用平台成本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≤0.8万元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平台为工作人员提供服务的期限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工作人员利用“互联网+政务服务”平台为办事群众提供服务的体验。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5"/>
      <w:r>
        <w:rPr>
          <w:rFonts w:ascii="方正仿宋_GBK" w:eastAsia="方正仿宋_GBK" w:cs="方正仿宋_GBK"/>
          <w:color w:val="000000"/>
          <w:sz w:val="28"/>
        </w:rPr>
        <w:t>2.“最多跑一次快”递服务费绩效目标表</w:t>
      </w:r>
      <w:bookmarkEnd w:id="5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13020823P000172100010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“最多跑一次快”递服务费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3.00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用于派发各类证照、证件的快递费用。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1.为办事群众提供便利，获得办事群众的认可</w:t>
            </w:r>
          </w:p>
          <w:p>
            <w:pPr>
              <w:pStyle w:val="23"/>
            </w:pPr>
            <w:r>
              <w:t>2.提升审批工作效率，进一步促进审批局各项工作的开展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为办事群众提供快递服务的数量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≥4000个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为办事群众提供快递服务，赢得群众认可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根据预算安排，保证资金在2021年底完成。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单次快递服务成本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单次快递服务成本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≤20元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办公经费的支出对工作的持续影响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办公群众对行政审批局的满意程度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6"/>
      <w:r>
        <w:rPr>
          <w:rFonts w:ascii="方正仿宋_GBK" w:eastAsia="方正仿宋_GBK" w:cs="方正仿宋_GBK"/>
          <w:color w:val="000000"/>
          <w:sz w:val="28"/>
        </w:rPr>
        <w:t>3.（2）23年办公场所租赁费绩效目标表</w:t>
      </w:r>
      <w:bookmarkEnd w:id="6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13020823P00017610001N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（2）23年办公场所租赁费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463.70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463.70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按照区委、区政府统一安排，建设区市民服务中心。经区领导同意，租用天明物流大厦写字楼，位于102国道与丰韩路交叉口路东北侧。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1.为办事群众提供宽敞的办事场所；为工作人员提供优良的工作环境。</w:t>
            </w:r>
          </w:p>
          <w:p>
            <w:pPr>
              <w:pStyle w:val="23"/>
            </w:pPr>
            <w:r>
              <w:t>2.保证行政审批局工作正常运转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服务天数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天明物流大厦提供办公场所的天数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合同要求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场地使用率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场地提供正常办公时间占合同租期的比例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日均成本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每天占用场地的成本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≤13000元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测算标准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场地租赁费的使用可获得天明物流办公场所的一年使用权限。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合同规定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办事群众对场地的认可程度；工作人员工作的方便程度。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7"/>
      <w:r>
        <w:rPr>
          <w:rFonts w:ascii="方正仿宋_GBK" w:eastAsia="方正仿宋_GBK" w:cs="方正仿宋_GBK"/>
          <w:color w:val="000000"/>
          <w:sz w:val="28"/>
        </w:rPr>
        <w:t>4.档案密集柜费用绩效目标表</w:t>
      </w:r>
      <w:bookmarkEnd w:id="7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13020823P000175100011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档案密集柜费用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4.00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用于行政审批局购买密集柜；纸质档案的保管、存档。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1.进一步优化营商服务环境</w:t>
            </w:r>
          </w:p>
          <w:p>
            <w:pPr>
              <w:pStyle w:val="23"/>
            </w:pPr>
            <w:r>
              <w:t>2.保障行政审批局正常运转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密集柜数量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密集柜数量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≥80组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实际需求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合格率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密集柜的合格率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资金达到100%支出时间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单组密集柜成本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≤1200元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有利于档案的更好保存；满足办公需求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r>
        <w:rPr>
          <w:rFonts w:ascii="方正仿宋_GBK" w:eastAsia="方正仿宋_GBK" w:cs="方正仿宋_GBK"/>
          <w:color w:val="000000"/>
          <w:sz w:val="28"/>
        </w:rPr>
        <w:t>5.电子政务平台点位及硬件维护费绩效目标表</w:t>
      </w:r>
      <w:bookmarkEnd w:id="8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13020823P000164100014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电子政务平台点位及硬件维护费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30.00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用于电子政务外网的使用、维护等费用。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1.促进电子政务外网的升级改造，保证各点位电子政务外网的高效使用</w:t>
            </w:r>
          </w:p>
          <w:p>
            <w:pPr>
              <w:pStyle w:val="23"/>
            </w:pPr>
            <w:r>
              <w:t>2.保障行政审批局正常运转，为办事群众提供良好的服务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服务时长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电子政务外网的服务时长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平台故障率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平台出故障的时间占总体使用时间的比率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预算资金支出时间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电子政务平台点位占用成本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电子政务平台点位每月占用成本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≤3万元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社会影响指标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电子外网的使用促进审批工作的顺利开展程度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良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各点位工作人员对电子外网使用的满意程度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09"/>
      <w:r>
        <w:rPr>
          <w:rFonts w:ascii="方正仿宋_GBK" w:eastAsia="方正仿宋_GBK" w:cs="方正仿宋_GBK"/>
          <w:color w:val="000000"/>
          <w:sz w:val="28"/>
        </w:rPr>
        <w:t>6.公共资源交易中心网络系统运维费绩效目标表</w:t>
      </w:r>
      <w:bookmarkEnd w:id="9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13020823P00016510001R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公共资源交易中心网络系统运维费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按照文件要求，由13个县公共资源交易中心共同承担软件升级改造运维经费，遂我单位年需公共资源交易中心网络系统运维费10万。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1.工作人员利用“公共资源交易中心网络系统运维费”平台为办事群众更快捷更便利服务</w:t>
            </w:r>
          </w:p>
          <w:p>
            <w:pPr>
              <w:pStyle w:val="23"/>
            </w:pPr>
            <w:r>
              <w:t>2.保障行政审批局正常运转，为办事群众提供良好的服务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提供服务天数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公共资源交易中心网络系统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平台故障率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平台出故障的时间占总体使用时间的比率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根据合同要求，2020年底完成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月平均成本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占用平台成本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≤0.9万元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平台为工作人员提供服务的期限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工作人员利用平台为办事群众提供服务的体验。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0"/>
      <w:r>
        <w:rPr>
          <w:rFonts w:ascii="方正仿宋_GBK" w:eastAsia="方正仿宋_GBK" w:cs="方正仿宋_GBK"/>
          <w:color w:val="000000"/>
          <w:sz w:val="28"/>
        </w:rPr>
        <w:t>7.水电费用绩效目标表</w:t>
      </w:r>
      <w:bookmarkEnd w:id="10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13020823P000167100015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水电费用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用于支付行政审批局水、电费。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1.保障工作人员、办事群众对水电的需求；提高审批办事效率和质量</w:t>
            </w:r>
          </w:p>
          <w:p>
            <w:pPr>
              <w:pStyle w:val="23"/>
            </w:pPr>
            <w:r>
              <w:t>2.保障行政审批局正常运转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提供服务的时间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水、电供给时间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项目完成质量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保证电子设备的正常工作；保证各项工作的正常运转；提供良好的环境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资金达到百分百支出时间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日均成本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每日消耗的水电成本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≤42元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水电费的支出对工作的持续影响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工作人员对办公设备、办公环境的要求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1"/>
      <w:r>
        <w:rPr>
          <w:rFonts w:ascii="方正仿宋_GBK" w:eastAsia="方正仿宋_GBK" w:cs="方正仿宋_GBK"/>
          <w:color w:val="000000"/>
          <w:sz w:val="28"/>
        </w:rPr>
        <w:t>8.水土保持方案报告技术评审费绩效目标表</w:t>
      </w:r>
      <w:bookmarkEnd w:id="11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13020823P00017410001B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水土保持方案报告技术评审费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用于水土保持评审费用。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1.促进水土保持评估的进行</w:t>
            </w:r>
          </w:p>
          <w:p>
            <w:pPr>
              <w:pStyle w:val="23"/>
            </w:pPr>
            <w:r>
              <w:t>2.促进审批工作的开展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评审数量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开展水土技术评审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≥10场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资金达到100%支出时间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单个专家评审费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单个专家评审费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≤400元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对水土保持的影响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2"/>
      <w:r>
        <w:rPr>
          <w:rFonts w:ascii="方正仿宋_GBK" w:eastAsia="方正仿宋_GBK" w:cs="方正仿宋_GBK"/>
          <w:color w:val="000000"/>
          <w:sz w:val="28"/>
        </w:rPr>
        <w:t>9.政府采购中心专家评审及公证费绩效目标表</w:t>
      </w:r>
      <w:bookmarkEnd w:id="12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13020823P00016210001Q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政府采购中心专家评审及公证费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用于政府采购专家评审费及公证费的发放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1.开展开标工作，促进发展</w:t>
            </w:r>
          </w:p>
          <w:p>
            <w:pPr>
              <w:pStyle w:val="23"/>
            </w:pPr>
            <w:r>
              <w:t>2.保障专家的经费，提高质量的服务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开标数量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2023年度预计开标的数量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≥270个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项目完成质量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开展开标工作，促进区各项工作的开展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根据预算安排，资金支出时间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单个专家评审费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单个专家费用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≤1000元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项目中标，对社会的影响时效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3"/>
      <w:r>
        <w:rPr>
          <w:rFonts w:ascii="方正仿宋_GBK" w:eastAsia="方正仿宋_GBK" w:cs="方正仿宋_GBK"/>
          <w:color w:val="000000"/>
          <w:sz w:val="28"/>
        </w:rPr>
        <w:t>10.证照费用绩效目标表</w:t>
      </w:r>
      <w:bookmarkEnd w:id="13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13020823P00017110001A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证照费用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用于审批事项办结后需下发的各类证照、证件费用。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1.保证办事群众获得证照的质量，为办事群众提供优良的服务</w:t>
            </w:r>
          </w:p>
          <w:p>
            <w:pPr>
              <w:pStyle w:val="23"/>
            </w:pPr>
            <w:r>
              <w:t>2.为乡镇提供证照，促进乡镇审批事项的改革工作</w:t>
            </w:r>
          </w:p>
          <w:p>
            <w:pPr>
              <w:pStyle w:val="23"/>
            </w:pPr>
            <w:r>
              <w:t>3.保障行政审批局正常运转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年度使用证照数量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为办事群众及乡镇提供的证照数量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≥80000个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资金达到100%支出时间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单个证照成本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单个证照成本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≤15元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社会影响力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促进审批改革工作；获得办事群众和乡镇同事的认可。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良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4"/>
      <w:r>
        <w:rPr>
          <w:rFonts w:ascii="方正仿宋_GBK" w:eastAsia="方正仿宋_GBK" w:cs="方正仿宋_GBK"/>
          <w:color w:val="000000"/>
          <w:sz w:val="28"/>
        </w:rPr>
        <w:t>11.综合办公经费绩效目标表</w:t>
      </w:r>
      <w:bookmarkEnd w:id="14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13020823P00016310001E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综合办公经费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6.00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6.00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用于行政审批局维修设备、购买办公用品等日常费用。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1.为工作人员提供办公设备、优良环境，提高办事效率和质量</w:t>
            </w:r>
          </w:p>
          <w:p>
            <w:pPr>
              <w:pStyle w:val="23"/>
            </w:pPr>
            <w:r>
              <w:t>2.保障行政审批局正常运转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为行政审批局提供工作的人员数量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≥100人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实际情况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办公用品的质量合格率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办公用品合格占总总购买数比例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根据2021年预算安排，要求本年度完成支出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纸张采购成本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单包A4纸采购成本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≤50元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办公经费的支出对工作的持续影响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工作人员对办公设备、办公环境的要求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/>
    <w:sectPr>
      <w:pgSz w:w="11900" w:h="16840"/>
      <w:pgMar w:top="1984" w:right="1304" w:bottom="1134" w:left="1304" w:header="720" w:footer="720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楷体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黑体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书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righ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lef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bordersDoNotSurroundHeader w:val="0"/>
  <w:bordersDoNotSurroundFooter w:val="0"/>
  <w:documentProtection w:edit="readOnly" w:enforcement="0"/>
  <w:defaultTabStop w:val="720"/>
  <w:evenAndOddHeaders/>
  <w:drawingGridHorizontalSpacing w:val="120"/>
  <w:drawingGridVerticalSpacing w:val="163"/>
  <w:displayHorizontalDrawingGridEvery w:val="0"/>
  <w:displayVerticalDrawingGridEvery w:val="1"/>
  <w:compat>
    <w:spaceForUL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Times New Roman" w:cs="Arial" w:hAnsi="Times New Roman"/>
      <w:sz w:val="24"/>
      <w:szCs w:val="24"/>
      <w:lang w:val="en-US" w:eastAsia="uk-UA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c 1"/>
    <w:basedOn w:val="0"/>
    <w:next w:val="0"/>
    <w:pPr>
      <w:spacing w:before="120" w:line="240" w:lineRule="auto"/>
      <w:ind w:firstLine="0"/>
    </w:pPr>
    <w:rPr>
      <w:rFonts w:ascii="Times New Roman" w:eastAsia="方正仿宋_GBK" w:cs="Times New Roman" w:hAnsi="Times New Roman"/>
      <w:color w:val="000000"/>
      <w:sz w:val="28"/>
      <w:lang w:val="en-US"/>
    </w:rPr>
  </w:style>
  <w:style w:type="paragraph" w:styleId="16">
    <w:name w:val="toc 4"/>
    <w:basedOn w:val="0"/>
    <w:next w:val="0"/>
    <w:pPr>
      <w:ind w:left="720"/>
    </w:pPr>
  </w:style>
  <w:style w:type="paragraph" w:styleId="17">
    <w:name w:val="toc 2"/>
    <w:basedOn w:val="0"/>
    <w:next w:val="0"/>
    <w:pPr>
      <w:ind w:left="240"/>
    </w:pPr>
  </w:style>
  <w:style w:type="paragraph" w:customStyle="1" w:styleId="18">
    <w:name w:val="插入文本样式-插入总体目标文件"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19">
    <w:name w:val="插入文本样式-插入职责分类绩效目标文件"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20">
    <w:name w:val="插入文本样式-插入实现年度发展规划目标的保障措施文件"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21">
    <w:name w:val="单元格样式4"/>
    <w:basedOn w:val="0"/>
    <w:pPr>
      <w:spacing w:before="0" w:after="0"/>
      <w:ind w:firstLine="0"/>
      <w:jc w:val="right"/>
      <w:outlineLvl w:val="9"/>
    </w:pPr>
    <w:rPr>
      <w:rFonts w:ascii="方正书宋_GBK" w:eastAsia="方正书宋_GBK" w:cs="方正书宋_GBK"/>
      <w:sz w:val="21"/>
    </w:rPr>
  </w:style>
  <w:style w:type="paragraph" w:customStyle="1" w:styleId="22">
    <w:name w:val="单元格样式5"/>
    <w:basedOn w:val="0"/>
    <w:pPr>
      <w:spacing w:before="0" w:after="0"/>
      <w:ind w:firstLine="0"/>
      <w:jc w:val="left"/>
      <w:outlineLvl w:val="9"/>
    </w:pPr>
    <w:rPr>
      <w:rFonts w:ascii="方正书宋_GBK" w:eastAsia="方正书宋_GBK" w:cs="方正书宋_GBK"/>
      <w:b/>
      <w:sz w:val="21"/>
    </w:rPr>
  </w:style>
  <w:style w:type="paragraph" w:customStyle="1" w:styleId="23">
    <w:name w:val="单元格样式2"/>
    <w:basedOn w:val="0"/>
    <w:pPr>
      <w:spacing w:before="0" w:after="0"/>
      <w:ind w:firstLine="0"/>
      <w:jc w:val="left"/>
      <w:outlineLvl w:val="9"/>
    </w:pPr>
    <w:rPr>
      <w:rFonts w:ascii="方正书宋_GBK" w:eastAsia="方正书宋_GBK" w:cs="方正书宋_GBK"/>
      <w:sz w:val="21"/>
    </w:rPr>
  </w:style>
  <w:style w:type="paragraph" w:customStyle="1" w:styleId="24">
    <w:name w:val="单元格样式1"/>
    <w:basedOn w:val="0"/>
    <w:pPr>
      <w:spacing w:before="0" w:after="0"/>
      <w:ind w:firstLine="0"/>
      <w:jc w:val="center"/>
      <w:outlineLvl w:val="9"/>
    </w:pPr>
    <w:rPr>
      <w:rFonts w:ascii="方正书宋_GBK" w:eastAsia="方正书宋_GBK" w:cs="方正书宋_GBK"/>
      <w:b/>
      <w:sz w:val="21"/>
    </w:rPr>
  </w:style>
  <w:style w:type="paragraph" w:customStyle="1" w:styleId="25">
    <w:name w:val="单元格样式3"/>
    <w:basedOn w:val="0"/>
    <w:pPr>
      <w:spacing w:before="0" w:after="0"/>
      <w:ind w:firstLine="0"/>
      <w:jc w:val="center"/>
      <w:outlineLvl w:val="9"/>
    </w:pPr>
    <w:rPr>
      <w:rFonts w:asci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  <sectPr/>
    <sectPr/>
    <sectPr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2B0136DD-FBEA-4D67-9515-C0442D9F98D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20</Pages>
  <Words>6841</Words>
  <Characters>7629</Characters>
  <Lines>1061</Lines>
  <Paragraphs>787</Paragraphs>
  <CharactersWithSpaces>7754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康文秀</cp:lastModifiedBy>
  <cp:revision>1</cp:revision>
  <dcterms:created xsi:type="dcterms:W3CDTF">2023-03-10T16:29:00Z</dcterms:created>
  <dcterms:modified xsi:type="dcterms:W3CDTF">2024-03-19T02:22:11Z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4437A80EC3204DDB8DA08C5C76A70690</vt:lpwstr>
  </property>
</Properties>
</file>