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72"/>
        </w:rPr>
        <w:t>唐山市丰润区行政审批局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>（批复）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eastAsia="方正楷体_GBK" w:cs="方正楷体_GBK"/>
          <w:b/>
          <w:color w:val="000000"/>
          <w:sz w:val="32"/>
        </w:rPr>
        <w:t>唐山市丰润区行政审批局编制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  <w:r>
        <w:rPr>
          <w:rFonts w:ascii="方正楷体_GBK" w:eastAsia="方正楷体_GBK" w:cs="方正楷体_GBK"/>
          <w:b/>
          <w:color w:val="000000"/>
          <w:sz w:val="32"/>
        </w:rPr>
        <w:t>唐山市丰润区财政局审核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"2-2" \h \z \u 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  <w:tab/>
      </w:r>
      <w:r>
        <w:fldChar w:fldCharType="begin"/>
      </w:r>
      <w:r>
        <w:instrText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  <w:tab/>
      </w:r>
      <w:r>
        <w:fldChar w:fldCharType="begin"/>
      </w:r>
      <w:r>
        <w:instrText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  <w:tab/>
      </w:r>
      <w:r>
        <w:fldChar w:fldCharType="begin"/>
      </w:r>
      <w:r>
        <w:instrText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TOC \o "4-4" \h \z \u 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1.“互联网+政务服务”平台运维费绩效目标表</w:t>
        <w:tab/>
      </w:r>
      <w:r>
        <w:fldChar w:fldCharType="begin"/>
      </w:r>
      <w:r>
        <w:instrText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2.“最多跑一次快”递服务费绩效目标表</w:t>
        <w:tab/>
      </w:r>
      <w:r>
        <w:fldChar w:fldCharType="begin"/>
      </w:r>
      <w:r>
        <w:instrText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3.（2）23年办公场所租赁费绩效目标表</w:t>
        <w:tab/>
      </w:r>
      <w:r>
        <w:fldChar w:fldCharType="begin"/>
      </w:r>
      <w:r>
        <w:instrText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4.档案密集柜费用绩效目标表</w:t>
        <w:tab/>
      </w:r>
      <w:r>
        <w:fldChar w:fldCharType="begin"/>
      </w:r>
      <w:r>
        <w:instrText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5.电子政务平台点位及硬件维护费绩效目标表</w:t>
        <w:tab/>
      </w:r>
      <w:r>
        <w:fldChar w:fldCharType="begin"/>
      </w:r>
      <w:r>
        <w:instrText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6.公共资源交易中心网络系统运维费绩效目标表</w:t>
        <w:tab/>
      </w:r>
      <w:r>
        <w:fldChar w:fldCharType="begin"/>
      </w:r>
      <w:r>
        <w:instrText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7.水电费用绩效目标表</w:t>
        <w:tab/>
      </w:r>
      <w:r>
        <w:fldChar w:fldCharType="begin"/>
      </w:r>
      <w:r>
        <w:instrText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8.水土保持方案报告技术评审费绩效目标表</w:t>
        <w:tab/>
      </w:r>
      <w:r>
        <w:fldChar w:fldCharType="begin"/>
      </w:r>
      <w:r>
        <w:instrText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9.政府采购中心专家评审及公证费绩效目标表</w:t>
        <w:tab/>
      </w:r>
      <w:r>
        <w:fldChar w:fldCharType="begin"/>
      </w:r>
      <w:r>
        <w:instrText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10.证照费用绩效目标表</w:t>
        <w:tab/>
      </w:r>
      <w:r>
        <w:fldChar w:fldCharType="begin"/>
      </w:r>
      <w:r>
        <w:instrText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11.综合办公经费绩效目标表</w:t>
        <w:tab/>
      </w:r>
      <w:r>
        <w:fldChar w:fldCharType="begin"/>
      </w:r>
      <w:r>
        <w:instrText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w:type="default" r:id="rId2"/>
          <w:footerReference w:type="even" r:id="rId3"/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br w:type="page"/>
        <w:br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18"/>
      </w:pPr>
      <w:r>
        <w:t>丰润区行政审批局为区政府工作部门。贯彻执行党中央、国务院和省委省政府、市委市政府、区委区政府“放管服”改革、行政审批制度改革、政务服务管理、公共资源交易市场管理、社会体系建设有关方针政策和法律法规。强力推进行政审批改革工作，负责统一实施行政审批涉及的现场勘查、专家评审、技术论证和社会听证等工作，确保依法依规进行审批，及时核发各类许可证照；规范公共资源交易市场综合事务管理，负责建设、管理全区统一的公共资源交易电子服务系统；统筹推进全区“互联网+政务服务”工作，建设全区一体化政务服务平台；规范行政审批综合事务管理，加强日常事务的管理，推动全局工作的开展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19"/>
      </w:pPr>
      <w:r>
        <w:t xml:space="preserve">1. 公共资源网络系统提供服务 </w:t>
      </w:r>
    </w:p>
    <w:p>
      <w:pPr>
        <w:pStyle w:val="19"/>
      </w:pPr>
      <w:r>
        <w:t>绩效目标：工作人员利用公共资源电子平台为办事群众更快捷更便利服务。</w:t>
      </w:r>
    </w:p>
    <w:p>
      <w:pPr>
        <w:pStyle w:val="19"/>
      </w:pPr>
      <w:r>
        <w:t>绩效指标：服务时长，公共资源交易电子服务系统为工作人员提供服务时长达到365天。</w:t>
      </w:r>
    </w:p>
    <w:p>
      <w:pPr>
        <w:pStyle w:val="19"/>
      </w:pPr>
      <w:r>
        <w:t>2. 指导全区并监督区本级公共资源交易项目进场交易</w:t>
      </w:r>
    </w:p>
    <w:p>
      <w:pPr>
        <w:pStyle w:val="19"/>
      </w:pPr>
      <w:r>
        <w:t>绩效目标：推进公共资源项目进场交易，完善产权市场功能。</w:t>
      </w:r>
    </w:p>
    <w:p>
      <w:pPr>
        <w:pStyle w:val="19"/>
      </w:pPr>
      <w:r>
        <w:t>绩效指标：开标质量，促进全区进场交易完成质量应达到95%以上。</w:t>
      </w:r>
    </w:p>
    <w:p>
      <w:pPr>
        <w:pStyle w:val="19"/>
      </w:pPr>
      <w:r>
        <w:t>3. 政务服务</w:t>
      </w:r>
    </w:p>
    <w:p>
      <w:pPr>
        <w:pStyle w:val="19"/>
      </w:pPr>
      <w:r>
        <w:t>绩效目标：优化政务服务供给，降低制度性交易成本。</w:t>
      </w:r>
    </w:p>
    <w:p>
      <w:pPr>
        <w:pStyle w:val="19"/>
      </w:pPr>
      <w:r>
        <w:t>绩效指标：政务服务，政务服务工作完成质量应达到95%以上。</w:t>
      </w:r>
    </w:p>
    <w:p>
      <w:pPr>
        <w:pStyle w:val="19"/>
      </w:pPr>
      <w:r>
        <w:t>4. 电子政务服务</w:t>
      </w:r>
    </w:p>
    <w:p>
      <w:pPr>
        <w:pStyle w:val="19"/>
      </w:pPr>
      <w:r>
        <w:t>绩效目标：管理机构、实体大厅、网上平台“三位一体”的政务服务平台规范化、标准化、集约化建设和互联互通、数据共享。</w:t>
      </w:r>
    </w:p>
    <w:p>
      <w:pPr>
        <w:pStyle w:val="19"/>
      </w:pPr>
      <w:r>
        <w:t>绩效指标：电子政务服务，促进协调全区政务服务管理工作应达到90%以上。</w:t>
      </w:r>
    </w:p>
    <w:p>
      <w:pPr>
        <w:pStyle w:val="19"/>
      </w:pPr>
      <w:r>
        <w:t>5. 开展审批工作</w:t>
      </w:r>
    </w:p>
    <w:p>
      <w:pPr>
        <w:pStyle w:val="19"/>
      </w:pPr>
      <w:r>
        <w:t>绩效目标：促进区级各部门行政审批等事项和公共服务事项的集中统一办理</w:t>
      </w:r>
    </w:p>
    <w:p>
      <w:pPr>
        <w:pStyle w:val="19"/>
      </w:pPr>
      <w:r>
        <w:t>绩效指标：审批工作开展情况，推行并联审批工作应达到90%。</w:t>
      </w:r>
    </w:p>
    <w:p>
      <w:pPr>
        <w:pStyle w:val="19"/>
      </w:pPr>
      <w:r>
        <w:t>6. 为办事群众提供审批办结的证照证件</w:t>
      </w:r>
    </w:p>
    <w:p>
      <w:pPr>
        <w:pStyle w:val="19"/>
      </w:pPr>
      <w:r>
        <w:t>绩效目标：促进审批效率，为群众提供切实的便利服务</w:t>
      </w:r>
    </w:p>
    <w:p>
      <w:pPr>
        <w:pStyle w:val="19"/>
      </w:pPr>
      <w:r>
        <w:t>绩效指标：审批事项办结的质量，群众对审批事项办结的满意程度达到90%以上。</w:t>
      </w:r>
    </w:p>
    <w:p>
      <w:pPr>
        <w:pStyle w:val="19"/>
      </w:pPr>
      <w:r>
        <w:t>7. 综合业务管理</w:t>
      </w:r>
    </w:p>
    <w:p>
      <w:pPr>
        <w:pStyle w:val="19"/>
      </w:pPr>
      <w:r>
        <w:t>绩效目标：推进本局管理工作科学发展；提高管理、保障、服务水平。</w:t>
      </w:r>
    </w:p>
    <w:p>
      <w:pPr>
        <w:pStyle w:val="19"/>
      </w:pPr>
      <w:r>
        <w:t>绩效指标：综合业务完成率，管理综合业务工作完成率达到90%以上。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20"/>
      </w:pPr>
      <w:r>
        <w:t>1.深化审批制度改革。</w:t>
      </w:r>
    </w:p>
    <w:p>
      <w:pPr>
        <w:pStyle w:val="20"/>
      </w:pPr>
      <w:r>
        <w:t>（1）加大简政放权力度。严格落实上级取消、调整审批项目的决定,做好下放事项的承接落实和监督管理工作。</w:t>
      </w:r>
    </w:p>
    <w:p>
      <w:pPr>
        <w:pStyle w:val="20"/>
      </w:pPr>
      <w:r>
        <w:t>（2）梳理政务事项通用目录。按照省市政务服务事项“四级四同”的要求，在“三级四同”目录基础上，组织我区相关部门对六大类事项逐项梳理，编制公开事项目录清单和实施清单，优化调整政务服务事项193项，做到信息录入全面、规范、准确，实现梳理同步化。</w:t>
      </w:r>
    </w:p>
    <w:p>
      <w:pPr>
        <w:pStyle w:val="20"/>
      </w:pPr>
      <w:r>
        <w:t>（3）加强行政审批中介服务机构管理。结合机构改革，组织各有关部门梳理本部门及下属单位各类中介服务事项清单，坚决取消无法律、法规、规章等作为依据的中介服务事项。</w:t>
      </w:r>
    </w:p>
    <w:p>
      <w:pPr>
        <w:pStyle w:val="20"/>
      </w:pPr>
      <w:r>
        <w:t>2.持续优化营商环境。</w:t>
      </w:r>
    </w:p>
    <w:p>
      <w:pPr>
        <w:pStyle w:val="20"/>
      </w:pPr>
      <w:r>
        <w:t>（1）推进“证照分离”改革。在“先照后证”“多证合一”改革基础上，全面推进我区“证照分离”改革工作，在全区范围内，对所有涉企经营许可事项统一按照直接取消审批、实行告知承诺、优化审批服务方式分类推进改革。</w:t>
      </w:r>
    </w:p>
    <w:p>
      <w:pPr>
        <w:pStyle w:val="20"/>
      </w:pPr>
      <w:r>
        <w:t>（2）设立企业开办专区。将社保登记、印章刻制、发票申领纳入审批大厅，以实现内资企业设立登记、公章刻制、发票申领、参保用工登记等四个企业开办基本事项，实现全流程一体化在线办理。</w:t>
      </w:r>
    </w:p>
    <w:p>
      <w:pPr>
        <w:pStyle w:val="20"/>
      </w:pPr>
      <w:r>
        <w:t>（3）实行简易注销登记制度改革。推进企业注销便利化改革，为企业退出市场提供更加便利化的服务。</w:t>
      </w:r>
    </w:p>
    <w:p>
      <w:pPr>
        <w:pStyle w:val="20"/>
      </w:pPr>
      <w:r>
        <w:t>3.提升项目审批效率。依托唐山市工程建设项目审批系统，实现统一受理、并联审批、实时流转、跟踪督办，打造了功能完善的工程建设项目审批政务信息平台</w:t>
      </w:r>
    </w:p>
    <w:p>
      <w:pPr>
        <w:pStyle w:val="20"/>
      </w:pPr>
      <w:r>
        <w:t>4.推进基层综合服务平台建设。</w:t>
      </w:r>
    </w:p>
    <w:p>
      <w:pPr>
        <w:pStyle w:val="20"/>
      </w:pPr>
      <w:r>
        <w:t>5.推进政务服务“一网通办”。</w:t>
      </w:r>
    </w:p>
    <w:p>
      <w:pPr>
        <w:pStyle w:val="20"/>
      </w:pPr>
      <w:r>
        <w:t>推进政务服务平台互联互通;加快推进“一网通办”;建立健全“互联网＋监管”工作体系。</w:t>
      </w:r>
    </w:p>
    <w:p>
      <w:pPr>
        <w:pStyle w:val="20"/>
      </w:pPr>
      <w:r>
        <w:t>6. 不断加强绩效管理，采取措施预做准备，控制偏差，保证绩效目标的实现。</w:t>
      </w:r>
    </w:p>
    <w:p>
      <w:pPr>
        <w:pStyle w:val="20"/>
      </w:pPr>
      <w:r>
        <w:t>（1）完善制度建设。制定预算绩效管理制度、资金管理办法、工作保障制度，为全年预算绩效目标的实现奠定制度基础。</w:t>
      </w:r>
    </w:p>
    <w:p>
      <w:pPr>
        <w:pStyle w:val="20"/>
      </w:pPr>
      <w:r>
        <w:t>（2）加强支出管理。通过优化支出结构、编细编实预算、加快履行政府采购手续、尽快启动项目、及时支付资金、按规定及时下达资金等多种措施，确保支出进度达标。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20"/>
      </w:pPr>
      <w:r>
        <w:t>（3）加强绩效运行监控。按财政局要求开展绩效运行监控，发现问题及时采取措施，确保绩效目标如期保质实现。</w:t>
      </w:r>
    </w:p>
    <w:p>
      <w:pPr>
        <w:pStyle w:val="20"/>
      </w:pPr>
      <w:r>
        <w:t>（4）做好绩效自评。按要求开展上年度部门预算绩效自评和重点评价工作，对评价中发现的问题及时整改，调整优化支出结构，提高财政资金使用效益。</w:t>
      </w:r>
    </w:p>
    <w:p>
      <w:pPr>
        <w:pStyle w:val="20"/>
      </w:pPr>
      <w:r>
        <w:t>（5）规范财务资产管理。完善财务管理制度，严格审批程序，加强固定资产登记、使用和报废处置管理，做到支出合理，物尽其用。</w:t>
      </w:r>
    </w:p>
    <w:p>
      <w:pPr>
        <w:pStyle w:val="20"/>
      </w:pPr>
      <w:r>
        <w:t>（6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20"/>
      </w:pPr>
      <w:r>
        <w:t>（7）加强宣传培训调研等。加强人员培训，提高职工业务素质；加强调研，提出优化财政资金配置、提高资金使用效益的</w:t>
      </w:r>
      <w:bookmarkStart w:id="3" w:name="_GoBack"/>
      <w:bookmarkEnd w:id="3"/>
      <w:r>
        <w:t>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docGrid w:linePitch="326" w:charSpace="0"/>
        </w:sectPr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4"/>
      <w:r>
        <w:rPr>
          <w:rFonts w:ascii="方正仿宋_GBK" w:eastAsia="方正仿宋_GBK" w:cs="方正仿宋_GBK"/>
          <w:color w:val="000000"/>
          <w:sz w:val="28"/>
        </w:rPr>
        <w:t>1.“互联网+政务服务”平台运维费绩效目标表</w:t>
      </w:r>
      <w:bookmarkEnd w:id="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13020823P00017310001M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“互联网+政务服务”平台运维费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9.20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9.20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按照唐山市审批局关于拨付“互联网+政务服务”平台运维费用的通知要求，各县每年需分均“互联网+政务服务”平台运维费用130万，遂我单位年需“互联网+政务服务”平台运维费用92004元。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1.工作人员利用“互联网+政务服务”平台为办事群众更快捷更便利服务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“互联网+政务服务”提供服务天数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根据合同要求，2020年底完成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月平均成本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每月占用平台成本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≤0.8万元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平台为工作人员提供服务的期限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工作人员利用“互联网+政务服务”平台为办事群众提供服务的体验。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5"/>
      <w:r>
        <w:rPr>
          <w:rFonts w:ascii="方正仿宋_GBK" w:eastAsia="方正仿宋_GBK" w:cs="方正仿宋_GBK"/>
          <w:color w:val="000000"/>
          <w:sz w:val="28"/>
        </w:rPr>
        <w:t>2.“最多跑一次快”递服务费绩效目标表</w:t>
      </w:r>
      <w:bookmarkEnd w:id="5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13020823P000172100010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“最多跑一次快”递服务费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用于派发各类证照、证件的快递费用。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1.为办事群众提供便利，获得办事群众的认可</w:t>
            </w:r>
          </w:p>
          <w:p>
            <w:pPr>
              <w:pStyle w:val="23"/>
            </w:pPr>
            <w:r>
              <w:t>2.提升审批工作效率，进一步促进审批局各项工作的开展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为办事群众提供快递服务的数量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≥4000个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为办事群众提供快递服务，赢得群众认可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根据预算安排，保证资金在2021年底完成。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单次快递服务成本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单次快递服务成本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≤20元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办公经费的支出对工作的持续影响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办公群众对行政审批局的满意程度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6"/>
      <w:r>
        <w:rPr>
          <w:rFonts w:ascii="方正仿宋_GBK" w:eastAsia="方正仿宋_GBK" w:cs="方正仿宋_GBK"/>
          <w:color w:val="000000"/>
          <w:sz w:val="28"/>
        </w:rPr>
        <w:t>3.（2）23年办公场所租赁费绩效目标表</w:t>
      </w:r>
      <w:bookmarkEnd w:id="6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13020823P00017610001N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（2）23年办公场所租赁费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463.70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463.70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按照区委、区政府统一安排，建设区市民服务中心。经区领导同意，租用天明物流大厦写字楼，位于102国道与丰韩路交叉口路东北侧。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1.为办事群众提供宽敞的办事场所；为工作人员提供优良的工作环境。</w:t>
            </w:r>
          </w:p>
          <w:p>
            <w:pPr>
              <w:pStyle w:val="23"/>
            </w:pPr>
            <w:r>
              <w:t>2.保证行政审批局工作正常运转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天明物流大厦提供办公场所的天数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合同要求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场地使用率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场地提供正常办公时间占合同租期的比例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日均成本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每天占用场地的成本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≤13000元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测算标准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场地租赁费的使用可获得天明物流办公场所的一年使用权限。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合同规定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办事群众对场地的认可程度；工作人员工作的方便程度。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7"/>
      <w:r>
        <w:rPr>
          <w:rFonts w:ascii="方正仿宋_GBK" w:eastAsia="方正仿宋_GBK" w:cs="方正仿宋_GBK"/>
          <w:color w:val="000000"/>
          <w:sz w:val="28"/>
        </w:rPr>
        <w:t>4.档案密集柜费用绩效目标表</w:t>
      </w:r>
      <w:bookmarkEnd w:id="7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13020823P000175100011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档案密集柜费用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4.00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用于行政审批局购买密集柜；纸质档案的保管、存档。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1.进一步优化营商服务环境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密集柜数量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密集柜数量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≥80组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实际需求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合格率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密集柜的合格率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单组密集柜成本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≤1200元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有利于档案的更好保存；满足办公需求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r>
        <w:rPr>
          <w:rFonts w:ascii="方正仿宋_GBK" w:eastAsia="方正仿宋_GBK" w:cs="方正仿宋_GBK"/>
          <w:color w:val="000000"/>
          <w:sz w:val="28"/>
        </w:rPr>
        <w:t>5.电子政务平台点位及硬件维护费绩效目标表</w:t>
      </w:r>
      <w:bookmarkEnd w:id="8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13020823P000164100014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电子政务平台点位及硬件维护费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30.00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用于电子政务外网的使用、维护等费用。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1.促进电子政务外网的升级改造，保证各点位电子政务外网的高效使用</w:t>
            </w:r>
          </w:p>
          <w:p>
            <w:pPr>
              <w:pStyle w:val="23"/>
            </w:pPr>
            <w:r>
              <w:t>2.保障行政审批局正常运转，为办事群众提供良好的服务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服务时长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电子政务外网的服务时长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预算资金支出时间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电子政务平台点位占用成本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电子政务平台点位每月占用成本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≤3万元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社会影响指标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电子外网的使用促进审批工作的顺利开展程度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各点位工作人员对电子外网使用的满意程度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09"/>
      <w:r>
        <w:rPr>
          <w:rFonts w:ascii="方正仿宋_GBK" w:eastAsia="方正仿宋_GBK" w:cs="方正仿宋_GBK"/>
          <w:color w:val="000000"/>
          <w:sz w:val="28"/>
        </w:rPr>
        <w:t>6.公共资源交易中心网络系统运维费绩效目标表</w:t>
      </w:r>
      <w:bookmarkEnd w:id="9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13020823P00016510001R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公共资源交易中心网络系统运维费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按照文件要求，由13个县公共资源交易中心共同承担软件升级改造运维经费，遂我单位年需公共资源交易中心网络系统运维费10万。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1.工作人员利用“公共资源交易中心网络系统运维费”平台为办事群众更快捷更便利服务</w:t>
            </w:r>
          </w:p>
          <w:p>
            <w:pPr>
              <w:pStyle w:val="23"/>
            </w:pPr>
            <w:r>
              <w:t>2.保障行政审批局正常运转，为办事群众提供良好的服务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提供服务天数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公共资源交易中心网络系统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平台故障率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平台出故障的时间占总体使用时间的比率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根据合同要求，2020年底完成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月平均成本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占用平台成本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≤0.9万元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平台为工作人员提供服务的期限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文件要求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工作人员利用平台为办事群众提供服务的体验。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0"/>
      <w:r>
        <w:rPr>
          <w:rFonts w:ascii="方正仿宋_GBK" w:eastAsia="方正仿宋_GBK" w:cs="方正仿宋_GBK"/>
          <w:color w:val="000000"/>
          <w:sz w:val="28"/>
        </w:rPr>
        <w:t>7.水电费用绩效目标表</w:t>
      </w:r>
      <w:bookmarkEnd w:id="10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13020823P000167100015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水电费用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用于支付行政审批局水、电费。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1.保障工作人员、办事群众对水电的需求；提高审批办事效率和质量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提供服务的时间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水、电供给时间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≥365天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项目完成质量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保证电子设备的正常工作；保证各项工作的正常运转；提供良好的环境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资金达到百分百支出时间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日均成本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每日消耗的水电成本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≤42元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水电费的支出对工作的持续影响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工作人员对办公设备、办公环境的要求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1"/>
      <w:r>
        <w:rPr>
          <w:rFonts w:ascii="方正仿宋_GBK" w:eastAsia="方正仿宋_GBK" w:cs="方正仿宋_GBK"/>
          <w:color w:val="000000"/>
          <w:sz w:val="28"/>
        </w:rPr>
        <w:t>8.水土保持方案报告技术评审费绩效目标表</w:t>
      </w:r>
      <w:bookmarkEnd w:id="11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13020823P00017410001B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水土保持方案报告技术评审费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用于水土保持评审费用。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1.促进水土保持评估的进行</w:t>
            </w:r>
          </w:p>
          <w:p>
            <w:pPr>
              <w:pStyle w:val="23"/>
            </w:pPr>
            <w:r>
              <w:t>2.促进审批工作的开展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评审数量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开展水土技术评审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≥10场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≤400元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对水土保持的影响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2"/>
      <w:r>
        <w:rPr>
          <w:rFonts w:ascii="方正仿宋_GBK" w:eastAsia="方正仿宋_GBK" w:cs="方正仿宋_GBK"/>
          <w:color w:val="000000"/>
          <w:sz w:val="28"/>
        </w:rPr>
        <w:t>9.政府采购中心专家评审及公证费绩效目标表</w:t>
      </w:r>
      <w:bookmarkEnd w:id="12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13020823P00016210001Q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政府采购中心专家评审及公证费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10.00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用于政府采购专家评审费及公证费的发放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1.开展开标工作，促进发展</w:t>
            </w:r>
          </w:p>
          <w:p>
            <w:pPr>
              <w:pStyle w:val="23"/>
            </w:pPr>
            <w:r>
              <w:t>2.保障专家的经费，提高质量的服务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开标数量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2023年度预计开标的数量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≥270个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项目完成质量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开展开标工作，促进区各项工作的开展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根据预算安排，资金支出时间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单个专家评审费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单个专家费用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≤1000元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项目中标，对社会的影响时效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3"/>
      <w:r>
        <w:rPr>
          <w:rFonts w:ascii="方正仿宋_GBK" w:eastAsia="方正仿宋_GBK" w:cs="方正仿宋_GBK"/>
          <w:color w:val="000000"/>
          <w:sz w:val="28"/>
        </w:rPr>
        <w:t>10.证照费用绩效目标表</w:t>
      </w:r>
      <w:bookmarkEnd w:id="13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13020823P00017110001A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证照费用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15.00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15.00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用于审批事项办结后需下发的各类证照、证件费用。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1.保证办事群众获得证照的质量，为办事群众提供优良的服务</w:t>
            </w:r>
          </w:p>
          <w:p>
            <w:pPr>
              <w:pStyle w:val="23"/>
            </w:pPr>
            <w:r>
              <w:t>2.为乡镇提供证照，促进乡镇审批事项的改革工作</w:t>
            </w:r>
          </w:p>
          <w:p>
            <w:pPr>
              <w:pStyle w:val="23"/>
            </w:pPr>
            <w:r>
              <w:t>3.保障行政审批局正常运转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年度使用证照数量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为办事群众及乡镇提供的证照数量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≥80000个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资金达到100%支出时间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工作要求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单个证照成本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单个证照成本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≤15元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社会效益指标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社会影响力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促进审批改革工作；获得办事群众和乡镇同事的认可。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良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docGrid w:linePitch="326" w:charSpace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4"/>
      <w:r>
        <w:rPr>
          <w:rFonts w:ascii="方正仿宋_GBK" w:eastAsia="方正仿宋_GBK" w:cs="方正仿宋_GBK"/>
          <w:color w:val="000000"/>
          <w:sz w:val="28"/>
        </w:rPr>
        <w:t>11.综合办公经费绩效目标表</w:t>
      </w:r>
      <w:bookmarkEnd w:id="14"/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rPr>
          <w:trHeight w:val="397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2"/>
            </w:pPr>
            <w:r>
              <w:t>431001唐山市丰润区行政审批局本级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1"/>
            </w:pPr>
            <w:r>
              <w:t>单位：万元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项目编码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13020823P00016310001E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项目名称</w:t>
            </w:r>
          </w:p>
        </w:tc>
        <w:tc>
          <w:tcPr>
            <w:tcW w:w="4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综合办公经费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预算规模及资金用途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预算数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6.00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其中：财政    资金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6.00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其他资金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 xml:space="preserve"> 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用于行政审批局维修设备、购买办公用品等日常费用。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资金支出计划（%）</w:t>
            </w:r>
          </w:p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3月底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6月底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10月底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12月底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/>
        </w:tc>
        <w:tc>
          <w:tcPr>
            <w:tcW w:w="26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25%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50%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75%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100%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4"/>
            </w:pPr>
            <w:r>
              <w:t>绩效目标</w:t>
            </w:r>
          </w:p>
        </w:tc>
        <w:tc>
          <w:tcPr>
            <w:tcW w:w="861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1.为工作人员提供办公设备、优良环境，提高办事效率和质量</w:t>
            </w:r>
          </w:p>
          <w:p>
            <w:pPr>
              <w:pStyle w:val="23"/>
            </w:pPr>
            <w:r>
              <w:t>2.保障行政审批局正常运转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cs="方正书宋_GBK"/>
          <w:color w:val="000000"/>
          <w:sz w:val="21"/>
        </w:rPr>
        <w:t xml:space="preserve"> </w:t>
      </w:r>
    </w:p>
    <w:tbl>
      <w:tblPr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rPr>
          <w:trHeight w:val="397"/>
          <w:tblHeader/>
        </w:trPr>
        <w:tc>
          <w:tcPr>
            <w:tcW w:w="1276" w:type="dxa"/>
            <w:vAlign w:val="center"/>
          </w:tcPr>
          <w:p>
            <w:pPr>
              <w:pStyle w:val="2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2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2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24"/>
            </w:pPr>
            <w:r>
              <w:t>指标值确定依据</w:t>
            </w:r>
          </w:p>
        </w:tc>
      </w:tr>
      <w:tr>
        <w:trPr>
          <w:trHeight w:val="36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产出指标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数量指标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为行政审批局提供工作的人员数量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≥100人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实际情况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质量指标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办公用品的质量合格率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办公用品合格占总总购买数比例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行业标准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时效指标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项目完成时间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根据2021年预算安排，要求本年度完成支出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2023年12月完成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年初计划</w:t>
            </w:r>
          </w:p>
        </w:tc>
      </w:tr>
      <w:tr>
        <w:trPr>
          <w:trHeight w:val="369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成本指标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纸张采购成本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单包A4纸采购成本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≤50元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经验标准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效益指标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可持续影响指标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项目持续发挥作用期限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办公经费的支出对工作的持续影响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≥2年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历史经验</w:t>
            </w:r>
          </w:p>
        </w:tc>
      </w:tr>
      <w:tr>
        <w:trPr>
          <w:trHeight w:val="3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5"/>
            </w:pPr>
            <w:r>
              <w:t>满意度指标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服务对象满意度指标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受益群体满意度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工作人员对办公设备、办公环境的要求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≥95%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23"/>
            </w:pPr>
            <w:r>
              <w:t>问卷调查</w:t>
            </w:r>
          </w:p>
        </w:tc>
      </w:tr>
    </w:tbl>
    <w:p/>
    <w:sectPr>
      <w:pgSz w:w="11900" w:h="16840"/>
      <w:pgMar w:top="1984" w:right="1304" w:bottom="1134" w:left="1304" w:header="720" w:footer="720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黑体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书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lef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 w:val="0"/>
  <w:bordersDoNotSurroundFooter w:val="0"/>
  <w:documentProtection w:edit="readOnly" w:enforcement="0"/>
  <w:defaultTabStop w:val="720"/>
  <w:evenAndOddHeaders/>
  <w:drawingGridHorizontalSpacing w:val="120"/>
  <w:drawingGridVerticalSpacing w:val="163"/>
  <w:displayHorizontalDrawingGridEvery w:val="0"/>
  <w:displayVerticalDrawingGridEvery w:val="1"/>
  <w:compat>
    <w:spaceForUL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Times New Roman" w:cs="Arial" w:hAnsi="Times New Roman"/>
      <w:sz w:val="24"/>
      <w:szCs w:val="24"/>
      <w:lang w:val="en-US" w:eastAsia="uk-UA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1"/>
    <w:basedOn w:val="0"/>
    <w:next w:val="0"/>
    <w:pPr>
      <w:spacing w:before="120" w:line="240" w:lineRule="auto"/>
      <w:ind w:firstLine="0"/>
    </w:pPr>
    <w:rPr>
      <w:rFonts w:ascii="Times New Roman" w:eastAsia="方正仿宋_GBK" w:cs="Times New Roman" w:hAnsi="Times New Roman"/>
      <w:color w:val="000000"/>
      <w:sz w:val="28"/>
      <w:lang w:val="en-US"/>
    </w:rPr>
  </w:style>
  <w:style w:type="paragraph" w:styleId="16">
    <w:name w:val="toc 4"/>
    <w:basedOn w:val="0"/>
    <w:next w:val="0"/>
    <w:pPr>
      <w:ind w:left="720"/>
    </w:pPr>
  </w:style>
  <w:style w:type="paragraph" w:styleId="17">
    <w:name w:val="toc 2"/>
    <w:basedOn w:val="0"/>
    <w:next w:val="0"/>
    <w:pPr>
      <w:ind w:left="240"/>
    </w:pPr>
  </w:style>
  <w:style w:type="paragraph" w:customStyle="1" w:styleId="18">
    <w:name w:val="插入文本样式-插入总体目标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19">
    <w:name w:val="插入文本样式-插入职责分类绩效目标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0">
    <w:name w:val="插入文本样式-插入实现年度发展规划目标的保障措施文件"/>
    <w:basedOn w:val="0"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cs="Times New Roman" w:hAnsi="Times New Roman"/>
      <w:sz w:val="28"/>
    </w:rPr>
  </w:style>
  <w:style w:type="paragraph" w:customStyle="1" w:styleId="21">
    <w:name w:val="单元格样式4"/>
    <w:basedOn w:val="0"/>
    <w:pPr>
      <w:spacing w:before="0" w:after="0"/>
      <w:ind w:firstLine="0"/>
      <w:jc w:val="right"/>
      <w:outlineLvl w:val="9"/>
    </w:pPr>
    <w:rPr>
      <w:rFonts w:ascii="方正书宋_GBK" w:eastAsia="方正书宋_GBK" w:cs="方正书宋_GBK"/>
      <w:sz w:val="21"/>
    </w:rPr>
  </w:style>
  <w:style w:type="paragraph" w:customStyle="1" w:styleId="22">
    <w:name w:val="单元格样式5"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/>
      <w:b/>
      <w:sz w:val="21"/>
    </w:rPr>
  </w:style>
  <w:style w:type="paragraph" w:customStyle="1" w:styleId="23">
    <w:name w:val="单元格样式2"/>
    <w:basedOn w:val="0"/>
    <w:pPr>
      <w:spacing w:before="0" w:after="0"/>
      <w:ind w:firstLine="0"/>
      <w:jc w:val="left"/>
      <w:outlineLvl w:val="9"/>
    </w:pPr>
    <w:rPr>
      <w:rFonts w:ascii="方正书宋_GBK" w:eastAsia="方正书宋_GBK" w:cs="方正书宋_GBK"/>
      <w:sz w:val="21"/>
    </w:rPr>
  </w:style>
  <w:style w:type="paragraph" w:customStyle="1" w:styleId="24">
    <w:name w:val="单元格样式1"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/>
      <w:b/>
      <w:sz w:val="21"/>
    </w:rPr>
  </w:style>
  <w:style w:type="paragraph" w:customStyle="1" w:styleId="25">
    <w:name w:val="单元格样式3"/>
    <w:basedOn w:val="0"/>
    <w:pPr>
      <w:spacing w:before="0" w:after="0"/>
      <w:ind w:firstLine="0"/>
      <w:jc w:val="center"/>
      <w:outlineLvl w:val="9"/>
    </w:pPr>
    <w:rPr>
      <w:rFonts w:asci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  <sectPr/>
    <sectPr/>
    <sectPr/>
    <sectPr/>
    <sectPr/>
    <sectPr/>
    <sectPr/>
    <sectPr/>
    <sectPr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A4D075E-E9FB-4051-9DD2-17F98BC61AF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20</Pages>
  <Words>6841</Words>
  <Characters>7629</Characters>
  <Lines>1061</Lines>
  <Paragraphs>787</Paragraphs>
  <CharactersWithSpaces>7754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康文秀</cp:lastModifiedBy>
  <cp:revision>1</cp:revision>
  <dcterms:created xsi:type="dcterms:W3CDTF">2023-03-10T16:29:00Z</dcterms:created>
  <dcterms:modified xsi:type="dcterms:W3CDTF">2024-03-19T02:18:47Z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4437A80EC3204DDB8DA08C5C76A70690</vt:lpwstr>
  </property>
</Properties>
</file>