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楷体_GBK" w:hAnsi="方正楷体_GBK"/>
          <w:b/>
          <w:bCs/>
          <w:sz w:val="44"/>
          <w:szCs w:val="44"/>
        </w:rPr>
      </w:pPr>
      <w:bookmarkStart w:id="5" w:name="_GoBack"/>
      <w:bookmarkEnd w:id="5"/>
      <w:r>
        <w:rPr>
          <w:rFonts w:hint="eastAsia" w:ascii="方正楷体_GBK" w:hAnsi="方正楷体_GBK"/>
          <w:b/>
          <w:bCs/>
          <w:sz w:val="44"/>
          <w:szCs w:val="44"/>
        </w:rPr>
        <w:t>泉河头镇人民政府</w:t>
      </w:r>
    </w:p>
    <w:p>
      <w:pPr>
        <w:widowControl/>
        <w:jc w:val="center"/>
        <w:rPr>
          <w:rFonts w:ascii="方正楷体_GBK" w:hAnsi="方正楷体_GBK"/>
          <w:b/>
          <w:bCs/>
          <w:sz w:val="44"/>
          <w:szCs w:val="44"/>
        </w:rPr>
      </w:pPr>
      <w:r>
        <w:rPr>
          <w:rFonts w:hint="eastAsia" w:ascii="方正楷体_GBK" w:hAnsi="方正楷体_GBK"/>
          <w:b/>
          <w:bCs/>
          <w:sz w:val="44"/>
          <w:szCs w:val="44"/>
        </w:rPr>
        <w:t>关于2019年预算公开情况的说明</w:t>
      </w:r>
    </w:p>
    <w:p>
      <w:pPr>
        <w:ind w:firstLine="640" w:firstLineChars="200"/>
        <w:rPr>
          <w:rFonts w:ascii="仿宋" w:hAnsi="仿宋" w:eastAsia="仿宋"/>
          <w:b/>
          <w:sz w:val="32"/>
          <w:szCs w:val="32"/>
        </w:rPr>
      </w:pPr>
      <w:r>
        <w:rPr>
          <w:rFonts w:hint="eastAsia" w:ascii="仿宋" w:hAnsi="仿宋" w:eastAsia="仿宋"/>
          <w:b/>
          <w:sz w:val="32"/>
          <w:szCs w:val="32"/>
        </w:rPr>
        <w:t>一、部门职责、机构设置情况</w:t>
      </w:r>
    </w:p>
    <w:p>
      <w:pPr>
        <w:snapToGrid w:val="0"/>
        <w:spacing w:line="588" w:lineRule="exact"/>
        <w:ind w:firstLine="640" w:firstLineChars="200"/>
        <w:rPr>
          <w:rFonts w:ascii="仿宋" w:hAnsi="仿宋" w:eastAsia="仿宋"/>
          <w:sz w:val="32"/>
          <w:szCs w:val="32"/>
        </w:rPr>
      </w:pPr>
      <w:r>
        <w:rPr>
          <w:rFonts w:ascii="仿宋" w:hAnsi="仿宋" w:eastAsia="仿宋"/>
          <w:sz w:val="32"/>
          <w:szCs w:val="32"/>
        </w:rPr>
        <w:t>1、主要职能</w:t>
      </w:r>
    </w:p>
    <w:p>
      <w:pPr>
        <w:spacing w:line="540" w:lineRule="exact"/>
        <w:ind w:firstLine="640" w:firstLineChars="200"/>
        <w:rPr>
          <w:rFonts w:ascii="仿宋" w:hAnsi="仿宋" w:eastAsia="仿宋"/>
          <w:sz w:val="32"/>
          <w:szCs w:val="32"/>
        </w:rPr>
      </w:pPr>
      <w:r>
        <w:rPr>
          <w:rFonts w:ascii="仿宋" w:hAnsi="仿宋" w:eastAsia="仿宋"/>
          <w:sz w:val="32"/>
          <w:szCs w:val="32"/>
        </w:rPr>
        <w:t>丰润区</w:t>
      </w:r>
      <w:r>
        <w:rPr>
          <w:rFonts w:hint="eastAsia" w:ascii="仿宋" w:hAnsi="仿宋" w:eastAsia="仿宋"/>
          <w:sz w:val="32"/>
          <w:szCs w:val="32"/>
        </w:rPr>
        <w:t>泉河头镇人民政府</w:t>
      </w:r>
      <w:r>
        <w:rPr>
          <w:rFonts w:ascii="仿宋" w:hAnsi="仿宋" w:eastAsia="仿宋"/>
          <w:sz w:val="32"/>
          <w:szCs w:val="32"/>
        </w:rPr>
        <w:t>的主要职责是：</w:t>
      </w:r>
    </w:p>
    <w:p>
      <w:pPr>
        <w:ind w:firstLine="640" w:firstLineChars="200"/>
        <w:rPr>
          <w:rFonts w:ascii="仿宋" w:hAnsi="仿宋" w:eastAsia="仿宋"/>
          <w:sz w:val="32"/>
          <w:szCs w:val="32"/>
        </w:rPr>
      </w:pPr>
      <w:r>
        <w:rPr>
          <w:rFonts w:hint="eastAsia" w:ascii="仿宋" w:hAnsi="仿宋" w:eastAsia="仿宋"/>
          <w:sz w:val="32"/>
          <w:szCs w:val="32"/>
        </w:rPr>
        <w:t>（1）执行上级国家行政机关的决定、命令和国家制定的法令、法规，接受同级党委的领导，执行本级人民代表大会的各项决议，并报告执行决议、决定和命令的情况。</w:t>
      </w:r>
    </w:p>
    <w:p>
      <w:pPr>
        <w:ind w:firstLine="560"/>
        <w:rPr>
          <w:rFonts w:ascii="仿宋" w:hAnsi="仿宋" w:eastAsia="仿宋"/>
          <w:sz w:val="32"/>
          <w:szCs w:val="32"/>
        </w:rPr>
      </w:pPr>
      <w:r>
        <w:rPr>
          <w:rFonts w:hint="eastAsia" w:ascii="仿宋" w:hAnsi="仿宋" w:eastAsia="仿宋"/>
          <w:sz w:val="32"/>
          <w:szCs w:val="32"/>
        </w:rPr>
        <w:t>（2）制定并落实本行政区域的经济计划和措施，促进产业结构调整及其他经济保持平衡协调发展，全面提高人民群众的生活水平和生活质量。</w:t>
      </w:r>
    </w:p>
    <w:p>
      <w:pPr>
        <w:ind w:firstLine="560"/>
        <w:rPr>
          <w:rFonts w:ascii="仿宋" w:hAnsi="仿宋" w:eastAsia="仿宋"/>
          <w:sz w:val="32"/>
          <w:szCs w:val="32"/>
        </w:rPr>
      </w:pPr>
      <w:r>
        <w:rPr>
          <w:rFonts w:hint="eastAsia" w:ascii="仿宋" w:hAnsi="仿宋" w:eastAsia="仿宋"/>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ind w:firstLine="560"/>
        <w:rPr>
          <w:rFonts w:ascii="仿宋" w:hAnsi="仿宋" w:eastAsia="仿宋"/>
          <w:sz w:val="32"/>
          <w:szCs w:val="32"/>
        </w:rPr>
      </w:pPr>
      <w:r>
        <w:rPr>
          <w:rFonts w:hint="eastAsia" w:ascii="仿宋" w:hAnsi="仿宋" w:eastAsia="仿宋"/>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ind w:firstLine="560"/>
        <w:rPr>
          <w:rFonts w:ascii="仿宋" w:hAnsi="仿宋" w:eastAsia="仿宋"/>
          <w:sz w:val="32"/>
          <w:szCs w:val="32"/>
        </w:rPr>
      </w:pPr>
      <w:r>
        <w:rPr>
          <w:rFonts w:hint="eastAsia" w:ascii="仿宋" w:hAnsi="仿宋" w:eastAsia="仿宋"/>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ind w:firstLine="560"/>
        <w:rPr>
          <w:rFonts w:ascii="仿宋" w:hAnsi="仿宋" w:eastAsia="仿宋"/>
          <w:sz w:val="32"/>
          <w:szCs w:val="32"/>
        </w:rPr>
      </w:pPr>
      <w:r>
        <w:rPr>
          <w:rFonts w:hint="eastAsia" w:ascii="仿宋" w:hAnsi="仿宋" w:eastAsia="仿宋"/>
          <w:sz w:val="32"/>
          <w:szCs w:val="32"/>
        </w:rPr>
        <w:t>（6）加强镇级财政的监督和管理，按计划组织、管理镇财政收入和支出，执行国家有关财经纪律和政策，保证国家财政收入的完成;做好统计工作。</w:t>
      </w:r>
    </w:p>
    <w:p>
      <w:pPr>
        <w:ind w:firstLine="560"/>
        <w:rPr>
          <w:rFonts w:ascii="仿宋" w:hAnsi="仿宋" w:eastAsia="仿宋"/>
          <w:sz w:val="32"/>
          <w:szCs w:val="32"/>
        </w:rPr>
      </w:pPr>
      <w:r>
        <w:rPr>
          <w:rFonts w:hint="eastAsia" w:ascii="仿宋" w:hAnsi="仿宋" w:eastAsia="仿宋"/>
          <w:sz w:val="32"/>
          <w:szCs w:val="32"/>
        </w:rPr>
        <w:t>（7）指导、支持、帮助村民委员会的组织制度建设和业务建设，促进村民委员会民主自治。</w:t>
      </w:r>
    </w:p>
    <w:p>
      <w:pPr>
        <w:ind w:firstLine="560"/>
        <w:rPr>
          <w:rFonts w:ascii="仿宋" w:hAnsi="仿宋" w:eastAsia="仿宋"/>
          <w:sz w:val="32"/>
          <w:szCs w:val="32"/>
        </w:rPr>
      </w:pPr>
      <w:r>
        <w:rPr>
          <w:rFonts w:hint="eastAsia" w:ascii="仿宋" w:hAnsi="仿宋" w:eastAsia="仿宋"/>
          <w:sz w:val="32"/>
          <w:szCs w:val="32"/>
        </w:rPr>
        <w:t>（8）制定和组织实施镇村建设规划;加强公用、市政设施、水利建设和管理以及房屋土地管理和环境综合整治工作，保护和改善生活环境和生态环境。</w:t>
      </w:r>
    </w:p>
    <w:p>
      <w:pPr>
        <w:ind w:firstLine="560"/>
        <w:rPr>
          <w:rFonts w:ascii="仿宋" w:hAnsi="仿宋" w:eastAsia="仿宋"/>
          <w:sz w:val="32"/>
          <w:szCs w:val="32"/>
        </w:rPr>
      </w:pPr>
      <w:r>
        <w:rPr>
          <w:rFonts w:hint="eastAsia" w:ascii="仿宋" w:hAnsi="仿宋" w:eastAsia="仿宋"/>
          <w:sz w:val="32"/>
          <w:szCs w:val="32"/>
        </w:rPr>
        <w:t>（9）协助和支持设置在本行政区域内不隶属于乡的国家机关和企事业单位工作，监督其遵守和执行国家的法律、法规和政策。</w:t>
      </w:r>
    </w:p>
    <w:p>
      <w:pPr>
        <w:ind w:firstLine="560"/>
        <w:rPr>
          <w:rFonts w:ascii="仿宋" w:hAnsi="仿宋" w:eastAsia="仿宋"/>
          <w:sz w:val="32"/>
          <w:szCs w:val="32"/>
        </w:rPr>
      </w:pPr>
      <w:r>
        <w:rPr>
          <w:rFonts w:hint="eastAsia" w:ascii="仿宋" w:hAnsi="仿宋" w:eastAsia="仿宋"/>
          <w:sz w:val="32"/>
          <w:szCs w:val="32"/>
        </w:rPr>
        <w:t>（10）承办区政府交办的其它事项。</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2、机构人员情况</w:t>
      </w:r>
    </w:p>
    <w:p>
      <w:pPr>
        <w:spacing w:line="540" w:lineRule="exact"/>
        <w:ind w:firstLine="640" w:firstLineChars="200"/>
        <w:jc w:val="center"/>
        <w:rPr>
          <w:rFonts w:ascii="仿宋" w:hAnsi="仿宋" w:eastAsia="仿宋"/>
          <w:sz w:val="32"/>
          <w:szCs w:val="32"/>
        </w:rPr>
      </w:pPr>
      <w:r>
        <w:rPr>
          <w:rFonts w:hint="eastAsia" w:ascii="仿宋" w:hAnsi="仿宋" w:eastAsia="仿宋"/>
          <w:sz w:val="32"/>
          <w:szCs w:val="32"/>
        </w:rPr>
        <w:t>部门机构设置情况</w:t>
      </w:r>
    </w:p>
    <w:p>
      <w:pPr>
        <w:spacing w:line="540" w:lineRule="exact"/>
        <w:ind w:firstLine="640" w:firstLineChars="200"/>
        <w:rPr>
          <w:rFonts w:ascii="仿宋" w:hAnsi="仿宋" w:eastAsia="仿宋"/>
          <w:sz w:val="32"/>
          <w:szCs w:val="32"/>
        </w:rPr>
      </w:pPr>
      <w:r>
        <w:rPr>
          <w:rFonts w:ascii="仿宋" w:hAnsi="仿宋" w:eastAsia="仿宋"/>
          <w:sz w:val="32"/>
          <w:szCs w:val="32"/>
        </w:rPr>
        <w:t>根据区编办最近核定的三定方案要求，丰润区</w:t>
      </w:r>
      <w:r>
        <w:rPr>
          <w:rFonts w:hint="eastAsia" w:ascii="仿宋" w:hAnsi="仿宋" w:eastAsia="仿宋"/>
          <w:sz w:val="32"/>
          <w:szCs w:val="32"/>
        </w:rPr>
        <w:t>泉河头镇人民政府</w:t>
      </w:r>
      <w:r>
        <w:rPr>
          <w:rFonts w:ascii="仿宋" w:hAnsi="仿宋" w:eastAsia="仿宋"/>
          <w:sz w:val="32"/>
          <w:szCs w:val="32"/>
        </w:rPr>
        <w:t>为行政编制单位，</w:t>
      </w:r>
    </w:p>
    <w:tbl>
      <w:tblPr>
        <w:tblStyle w:val="6"/>
        <w:tblpPr w:leftFromText="180" w:rightFromText="180" w:vertAnchor="text" w:horzAnchor="page" w:tblpX="1183" w:tblpY="-9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0"/>
        <w:gridCol w:w="1519"/>
        <w:gridCol w:w="1539"/>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110" w:type="dxa"/>
            <w:vAlign w:val="center"/>
          </w:tcPr>
          <w:p>
            <w:pPr>
              <w:widowControl/>
              <w:spacing w:line="540" w:lineRule="exact"/>
              <w:jc w:val="center"/>
              <w:rPr>
                <w:rFonts w:ascii="仿宋" w:hAnsi="仿宋" w:eastAsia="仿宋"/>
                <w:sz w:val="32"/>
                <w:szCs w:val="32"/>
              </w:rPr>
            </w:pPr>
            <w:r>
              <w:rPr>
                <w:rFonts w:hint="eastAsia" w:ascii="仿宋" w:hAnsi="仿宋" w:eastAsia="仿宋"/>
                <w:sz w:val="32"/>
                <w:szCs w:val="32"/>
              </w:rPr>
              <w:t>单位名称</w:t>
            </w:r>
          </w:p>
        </w:tc>
        <w:tc>
          <w:tcPr>
            <w:tcW w:w="1519" w:type="dxa"/>
            <w:vAlign w:val="center"/>
          </w:tcPr>
          <w:p>
            <w:pPr>
              <w:widowControl/>
              <w:spacing w:line="540" w:lineRule="exact"/>
              <w:jc w:val="center"/>
              <w:rPr>
                <w:rFonts w:ascii="仿宋" w:hAnsi="仿宋" w:eastAsia="仿宋"/>
                <w:sz w:val="32"/>
                <w:szCs w:val="32"/>
              </w:rPr>
            </w:pPr>
            <w:r>
              <w:rPr>
                <w:rFonts w:hint="eastAsia" w:ascii="仿宋" w:hAnsi="仿宋" w:eastAsia="仿宋"/>
                <w:sz w:val="32"/>
                <w:szCs w:val="32"/>
              </w:rPr>
              <w:t>单位性质</w:t>
            </w:r>
          </w:p>
        </w:tc>
        <w:tc>
          <w:tcPr>
            <w:tcW w:w="1539" w:type="dxa"/>
            <w:vAlign w:val="center"/>
          </w:tcPr>
          <w:p>
            <w:pPr>
              <w:widowControl/>
              <w:spacing w:line="540" w:lineRule="exact"/>
              <w:jc w:val="center"/>
              <w:rPr>
                <w:rFonts w:ascii="仿宋" w:hAnsi="仿宋" w:eastAsia="仿宋"/>
                <w:sz w:val="32"/>
                <w:szCs w:val="32"/>
              </w:rPr>
            </w:pPr>
            <w:r>
              <w:rPr>
                <w:rFonts w:hint="eastAsia" w:ascii="仿宋" w:hAnsi="仿宋" w:eastAsia="仿宋"/>
                <w:sz w:val="32"/>
                <w:szCs w:val="32"/>
              </w:rPr>
              <w:t>单位规格</w:t>
            </w:r>
          </w:p>
        </w:tc>
        <w:tc>
          <w:tcPr>
            <w:tcW w:w="2596" w:type="dxa"/>
            <w:vAlign w:val="center"/>
          </w:tcPr>
          <w:p>
            <w:pPr>
              <w:widowControl/>
              <w:spacing w:line="540" w:lineRule="exact"/>
              <w:jc w:val="center"/>
              <w:rPr>
                <w:rFonts w:ascii="仿宋" w:hAnsi="仿宋" w:eastAsia="仿宋"/>
                <w:sz w:val="32"/>
                <w:szCs w:val="32"/>
              </w:rPr>
            </w:pPr>
            <w:r>
              <w:rPr>
                <w:rFonts w:hint="eastAsia" w:ascii="仿宋" w:hAnsi="仿宋" w:eastAsia="仿宋"/>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110" w:type="dxa"/>
          </w:tcPr>
          <w:p>
            <w:pPr>
              <w:widowControl/>
              <w:spacing w:line="540" w:lineRule="exact"/>
              <w:rPr>
                <w:rFonts w:ascii="仿宋" w:hAnsi="仿宋" w:eastAsia="仿宋"/>
                <w:sz w:val="32"/>
                <w:szCs w:val="32"/>
              </w:rPr>
            </w:pPr>
            <w:r>
              <w:rPr>
                <w:rFonts w:hint="eastAsia" w:ascii="仿宋" w:hAnsi="仿宋" w:eastAsia="仿宋"/>
                <w:sz w:val="32"/>
                <w:szCs w:val="32"/>
              </w:rPr>
              <w:t>唐山市丰润区泉河头镇人民政府</w:t>
            </w:r>
          </w:p>
        </w:tc>
        <w:tc>
          <w:tcPr>
            <w:tcW w:w="1519" w:type="dxa"/>
            <w:vAlign w:val="center"/>
          </w:tcPr>
          <w:p>
            <w:pPr>
              <w:widowControl/>
              <w:spacing w:line="540" w:lineRule="exact"/>
              <w:jc w:val="center"/>
              <w:rPr>
                <w:rFonts w:ascii="仿宋" w:hAnsi="仿宋" w:eastAsia="仿宋"/>
                <w:sz w:val="32"/>
                <w:szCs w:val="32"/>
              </w:rPr>
            </w:pPr>
            <w:r>
              <w:rPr>
                <w:rFonts w:hint="eastAsia" w:ascii="仿宋" w:hAnsi="仿宋" w:eastAsia="仿宋"/>
                <w:sz w:val="32"/>
                <w:szCs w:val="32"/>
              </w:rPr>
              <w:t>行政</w:t>
            </w:r>
          </w:p>
        </w:tc>
        <w:tc>
          <w:tcPr>
            <w:tcW w:w="1539" w:type="dxa"/>
            <w:vAlign w:val="center"/>
          </w:tcPr>
          <w:p>
            <w:pPr>
              <w:widowControl/>
              <w:spacing w:line="540" w:lineRule="exact"/>
              <w:jc w:val="center"/>
              <w:rPr>
                <w:rFonts w:ascii="仿宋" w:hAnsi="仿宋" w:eastAsia="仿宋"/>
                <w:sz w:val="32"/>
                <w:szCs w:val="32"/>
              </w:rPr>
            </w:pPr>
            <w:r>
              <w:rPr>
                <w:rFonts w:hint="eastAsia" w:ascii="仿宋" w:hAnsi="仿宋" w:eastAsia="仿宋"/>
                <w:sz w:val="32"/>
                <w:szCs w:val="32"/>
              </w:rPr>
              <w:t>正科级</w:t>
            </w:r>
          </w:p>
        </w:tc>
        <w:tc>
          <w:tcPr>
            <w:tcW w:w="2596" w:type="dxa"/>
            <w:vAlign w:val="center"/>
          </w:tcPr>
          <w:p>
            <w:pPr>
              <w:widowControl/>
              <w:spacing w:line="540" w:lineRule="exact"/>
              <w:jc w:val="center"/>
              <w:rPr>
                <w:rFonts w:ascii="仿宋" w:hAnsi="仿宋" w:eastAsia="仿宋"/>
                <w:sz w:val="32"/>
                <w:szCs w:val="32"/>
              </w:rPr>
            </w:pPr>
            <w:r>
              <w:rPr>
                <w:rFonts w:hint="eastAsia" w:ascii="仿宋" w:hAnsi="仿宋" w:eastAsia="仿宋"/>
                <w:sz w:val="32"/>
                <w:szCs w:val="32"/>
              </w:rPr>
              <w:t>财政拨款</w:t>
            </w:r>
          </w:p>
        </w:tc>
      </w:tr>
    </w:tbl>
    <w:p>
      <w:pPr>
        <w:widowControl/>
        <w:ind w:firstLine="640" w:firstLineChars="200"/>
        <w:rPr>
          <w:rFonts w:ascii="仿宋" w:hAnsi="仿宋" w:eastAsia="仿宋"/>
          <w:sz w:val="32"/>
          <w:szCs w:val="32"/>
        </w:rPr>
      </w:pPr>
      <w:r>
        <w:rPr>
          <w:rFonts w:ascii="仿宋" w:hAnsi="仿宋" w:eastAsia="仿宋"/>
          <w:sz w:val="32"/>
          <w:szCs w:val="32"/>
        </w:rPr>
        <w:t>内设</w:t>
      </w:r>
      <w:r>
        <w:rPr>
          <w:rFonts w:hint="eastAsia" w:ascii="仿宋" w:hAnsi="仿宋" w:eastAsia="仿宋"/>
          <w:sz w:val="32"/>
          <w:szCs w:val="32"/>
        </w:rPr>
        <w:t>3</w:t>
      </w:r>
      <w:r>
        <w:rPr>
          <w:rFonts w:ascii="仿宋" w:hAnsi="仿宋" w:eastAsia="仿宋"/>
          <w:sz w:val="32"/>
          <w:szCs w:val="32"/>
        </w:rPr>
        <w:t>个行政职能科室</w:t>
      </w:r>
      <w:r>
        <w:rPr>
          <w:rFonts w:hint="eastAsia" w:ascii="仿宋" w:hAnsi="仿宋" w:eastAsia="仿宋"/>
          <w:sz w:val="32"/>
          <w:szCs w:val="32"/>
        </w:rPr>
        <w:t>：党政综合办、社会事务办、经济发展办。3</w:t>
      </w:r>
      <w:r>
        <w:rPr>
          <w:rFonts w:ascii="仿宋" w:hAnsi="仿宋" w:eastAsia="仿宋"/>
          <w:sz w:val="32"/>
          <w:szCs w:val="32"/>
        </w:rPr>
        <w:t>个事业科室</w:t>
      </w:r>
      <w:r>
        <w:rPr>
          <w:rFonts w:hint="eastAsia" w:ascii="仿宋" w:hAnsi="仿宋" w:eastAsia="仿宋"/>
          <w:sz w:val="32"/>
          <w:szCs w:val="32"/>
        </w:rPr>
        <w:t>：</w:t>
      </w:r>
      <w:r>
        <w:rPr>
          <w:rFonts w:ascii="仿宋" w:hAnsi="仿宋" w:eastAsia="仿宋"/>
          <w:sz w:val="32"/>
          <w:szCs w:val="32"/>
        </w:rPr>
        <w:t>文化综合服务中心、劳动保障事务站</w:t>
      </w:r>
      <w:r>
        <w:rPr>
          <w:rFonts w:hint="eastAsia" w:ascii="仿宋" w:hAnsi="仿宋" w:eastAsia="仿宋"/>
          <w:sz w:val="32"/>
          <w:szCs w:val="32"/>
        </w:rPr>
        <w:t>、退役军人管理服务站</w:t>
      </w:r>
      <w:r>
        <w:rPr>
          <w:rFonts w:ascii="仿宋" w:hAnsi="仿宋" w:eastAsia="仿宋"/>
          <w:sz w:val="32"/>
          <w:szCs w:val="32"/>
        </w:rPr>
        <w:t>。泉河头镇人员编制包括：行政编制</w:t>
      </w:r>
      <w:r>
        <w:rPr>
          <w:rFonts w:hint="eastAsia" w:ascii="仿宋" w:hAnsi="仿宋" w:eastAsia="仿宋"/>
          <w:sz w:val="32"/>
          <w:szCs w:val="32"/>
        </w:rPr>
        <w:t>34</w:t>
      </w:r>
      <w:r>
        <w:rPr>
          <w:rFonts w:ascii="仿宋" w:hAnsi="仿宋" w:eastAsia="仿宋"/>
          <w:sz w:val="32"/>
          <w:szCs w:val="32"/>
        </w:rPr>
        <w:t>名，事业编制</w:t>
      </w:r>
      <w:r>
        <w:rPr>
          <w:rFonts w:hint="eastAsia" w:ascii="仿宋" w:hAnsi="仿宋" w:eastAsia="仿宋"/>
          <w:sz w:val="32"/>
          <w:szCs w:val="32"/>
        </w:rPr>
        <w:t>26</w:t>
      </w:r>
      <w:r>
        <w:rPr>
          <w:rFonts w:ascii="仿宋" w:hAnsi="仿宋" w:eastAsia="仿宋"/>
          <w:sz w:val="32"/>
          <w:szCs w:val="32"/>
        </w:rPr>
        <w:t>名。截止到201</w:t>
      </w:r>
      <w:r>
        <w:rPr>
          <w:rFonts w:hint="eastAsia" w:ascii="仿宋" w:hAnsi="仿宋" w:eastAsia="仿宋"/>
          <w:sz w:val="32"/>
          <w:szCs w:val="32"/>
        </w:rPr>
        <w:t>8</w:t>
      </w:r>
      <w:r>
        <w:rPr>
          <w:rFonts w:ascii="仿宋" w:hAnsi="仿宋" w:eastAsia="仿宋"/>
          <w:sz w:val="32"/>
          <w:szCs w:val="32"/>
        </w:rPr>
        <w:t>年底实有</w:t>
      </w:r>
      <w:r>
        <w:rPr>
          <w:rFonts w:hint="eastAsia" w:ascii="仿宋" w:hAnsi="仿宋" w:eastAsia="仿宋"/>
          <w:sz w:val="32"/>
          <w:szCs w:val="32"/>
        </w:rPr>
        <w:t>在职人员57人，退休31人</w:t>
      </w:r>
      <w:r>
        <w:rPr>
          <w:rFonts w:ascii="仿宋" w:hAnsi="仿宋" w:eastAsia="仿宋"/>
          <w:sz w:val="32"/>
          <w:szCs w:val="32"/>
        </w:rPr>
        <w:t>。</w:t>
      </w:r>
      <w:bookmarkStart w:id="0" w:name="_Hlk1144122"/>
    </w:p>
    <w:bookmarkEnd w:id="0"/>
    <w:p>
      <w:pPr>
        <w:widowControl/>
        <w:spacing w:line="540" w:lineRule="exact"/>
        <w:ind w:firstLine="640" w:firstLineChars="200"/>
        <w:rPr>
          <w:rFonts w:ascii="仿宋" w:hAnsi="仿宋" w:eastAsia="仿宋"/>
          <w:b/>
          <w:sz w:val="32"/>
          <w:szCs w:val="32"/>
        </w:rPr>
      </w:pPr>
      <w:r>
        <w:rPr>
          <w:rFonts w:hint="eastAsia" w:ascii="仿宋" w:hAnsi="仿宋" w:eastAsia="仿宋"/>
          <w:b/>
          <w:sz w:val="32"/>
          <w:szCs w:val="32"/>
        </w:rPr>
        <w:t>二、部门预算总体安排情况</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1、2019年一般公共预算拨款收入</w:t>
      </w:r>
      <w:bookmarkStart w:id="1" w:name="_Hlk1134685"/>
      <w:r>
        <w:rPr>
          <w:rFonts w:hint="eastAsia" w:ascii="仿宋" w:hAnsi="仿宋" w:eastAsia="仿宋"/>
          <w:sz w:val="32"/>
          <w:szCs w:val="32"/>
        </w:rPr>
        <w:t>8029764.08</w:t>
      </w:r>
      <w:bookmarkEnd w:id="1"/>
      <w:r>
        <w:rPr>
          <w:rFonts w:hint="eastAsia" w:ascii="仿宋" w:hAnsi="仿宋" w:eastAsia="仿宋"/>
          <w:sz w:val="32"/>
          <w:szCs w:val="32"/>
        </w:rPr>
        <w:t>元。</w:t>
      </w:r>
    </w:p>
    <w:p>
      <w:pPr>
        <w:spacing w:line="500" w:lineRule="exact"/>
        <w:ind w:firstLine="560"/>
        <w:rPr>
          <w:rFonts w:ascii="仿宋" w:hAnsi="仿宋" w:eastAsia="仿宋"/>
          <w:sz w:val="32"/>
          <w:szCs w:val="32"/>
        </w:rPr>
      </w:pPr>
      <w:r>
        <w:rPr>
          <w:rFonts w:hint="eastAsia" w:ascii="仿宋" w:hAnsi="仿宋" w:eastAsia="仿宋"/>
          <w:sz w:val="32"/>
          <w:szCs w:val="32"/>
        </w:rPr>
        <w:t>2、2019年，根据本单位职责和工作任务规划，共安排部门预算支出8029764.08元。其中人员经费支出6458774.08元，日常公用经费支出583990元，项目支出 987000元。</w:t>
      </w:r>
    </w:p>
    <w:p>
      <w:pPr>
        <w:widowControl/>
        <w:spacing w:line="540" w:lineRule="exact"/>
        <w:ind w:firstLine="640" w:firstLineChars="200"/>
        <w:rPr>
          <w:rFonts w:ascii="仿宋" w:hAnsi="仿宋" w:eastAsia="仿宋"/>
          <w:sz w:val="32"/>
          <w:szCs w:val="32"/>
        </w:rPr>
      </w:pP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3、与上年相比增加706771.48元，其中：人员经费增加262755.48元，正常公用经费增加14016元。主要因为增加人员变动、工资调整、预算标准提高等原因。项目支出增加430000元，主要是新增乡镇专项经费预算。</w:t>
      </w:r>
    </w:p>
    <w:p>
      <w:pPr>
        <w:widowControl/>
        <w:spacing w:line="540" w:lineRule="exact"/>
        <w:ind w:firstLine="640" w:firstLineChars="200"/>
        <w:rPr>
          <w:rFonts w:ascii="仿宋" w:hAnsi="仿宋" w:eastAsia="仿宋"/>
          <w:b/>
          <w:sz w:val="32"/>
          <w:szCs w:val="32"/>
        </w:rPr>
      </w:pPr>
      <w:r>
        <w:rPr>
          <w:rFonts w:hint="eastAsia" w:ascii="仿宋" w:hAnsi="仿宋" w:eastAsia="仿宋"/>
          <w:b/>
          <w:sz w:val="32"/>
          <w:szCs w:val="32"/>
        </w:rPr>
        <w:t>三、机关运行经费安排情况</w:t>
      </w:r>
    </w:p>
    <w:p>
      <w:pPr>
        <w:spacing w:line="500" w:lineRule="exact"/>
        <w:ind w:firstLine="560"/>
        <w:rPr>
          <w:rFonts w:ascii="方正仿宋_GBK" w:eastAsia="方正仿宋_GBK"/>
          <w:sz w:val="28"/>
        </w:rPr>
      </w:pPr>
      <w:r>
        <w:rPr>
          <w:rFonts w:ascii="方正仿宋_GBK" w:eastAsia="方正仿宋_GBK"/>
          <w:sz w:val="28"/>
        </w:rPr>
        <w:t>日常公用经费支出总计</w:t>
      </w:r>
      <w:r>
        <w:rPr>
          <w:rFonts w:hint="eastAsia" w:ascii="方正仿宋_GBK" w:eastAsia="方正仿宋_GBK"/>
          <w:sz w:val="28"/>
        </w:rPr>
        <w:t>583990</w:t>
      </w:r>
      <w:r>
        <w:rPr>
          <w:rFonts w:ascii="方正仿宋_GBK" w:eastAsia="方正仿宋_GBK"/>
          <w:sz w:val="28"/>
        </w:rPr>
        <w:t>元。其中：</w:t>
      </w:r>
    </w:p>
    <w:p>
      <w:pPr>
        <w:spacing w:line="500" w:lineRule="exact"/>
        <w:ind w:firstLine="560"/>
        <w:rPr>
          <w:rFonts w:ascii="方正仿宋_GBK" w:eastAsia="方正仿宋_GBK"/>
          <w:sz w:val="28"/>
        </w:rPr>
      </w:pPr>
      <w:r>
        <w:rPr>
          <w:rFonts w:ascii="方正仿宋_GBK" w:eastAsia="方正仿宋_GBK"/>
          <w:sz w:val="28"/>
        </w:rPr>
        <w:t>1、办公费：</w:t>
      </w:r>
      <w:r>
        <w:rPr>
          <w:rFonts w:hint="eastAsia" w:ascii="方正仿宋_GBK" w:eastAsia="方正仿宋_GBK"/>
          <w:sz w:val="28"/>
        </w:rPr>
        <w:t>60000</w:t>
      </w:r>
      <w:r>
        <w:rPr>
          <w:rFonts w:ascii="方正仿宋_GBK" w:eastAsia="方正仿宋_GBK"/>
          <w:sz w:val="28"/>
        </w:rPr>
        <w:t>元。</w:t>
      </w:r>
    </w:p>
    <w:p>
      <w:pPr>
        <w:spacing w:line="500" w:lineRule="exact"/>
        <w:ind w:firstLine="560"/>
        <w:rPr>
          <w:rFonts w:ascii="方正仿宋_GBK" w:eastAsia="方正仿宋_GBK"/>
          <w:sz w:val="28"/>
        </w:rPr>
      </w:pPr>
      <w:r>
        <w:rPr>
          <w:rFonts w:ascii="方正仿宋_GBK" w:eastAsia="方正仿宋_GBK"/>
          <w:sz w:val="28"/>
        </w:rPr>
        <w:t>2、水电费：</w:t>
      </w:r>
      <w:r>
        <w:rPr>
          <w:rFonts w:hint="eastAsia" w:ascii="方正仿宋_GBK" w:eastAsia="方正仿宋_GBK"/>
          <w:sz w:val="28"/>
        </w:rPr>
        <w:t>58500</w:t>
      </w:r>
      <w:r>
        <w:rPr>
          <w:rFonts w:ascii="方正仿宋_GBK" w:eastAsia="方正仿宋_GBK"/>
          <w:sz w:val="28"/>
        </w:rPr>
        <w:t>元。</w:t>
      </w:r>
    </w:p>
    <w:p>
      <w:pPr>
        <w:spacing w:line="500" w:lineRule="exact"/>
        <w:ind w:firstLine="560"/>
        <w:rPr>
          <w:rFonts w:ascii="方正仿宋_GBK" w:eastAsia="方正仿宋_GBK"/>
          <w:sz w:val="28"/>
        </w:rPr>
      </w:pPr>
      <w:r>
        <w:rPr>
          <w:rFonts w:ascii="方正仿宋_GBK" w:eastAsia="方正仿宋_GBK"/>
          <w:sz w:val="28"/>
        </w:rPr>
        <w:t>3、邮电费：</w:t>
      </w:r>
      <w:r>
        <w:rPr>
          <w:rFonts w:hint="eastAsia" w:ascii="方正仿宋_GBK" w:eastAsia="方正仿宋_GBK"/>
          <w:sz w:val="28"/>
        </w:rPr>
        <w:t>10920</w:t>
      </w:r>
      <w:r>
        <w:rPr>
          <w:rFonts w:ascii="方正仿宋_GBK" w:eastAsia="方正仿宋_GBK"/>
          <w:sz w:val="28"/>
        </w:rPr>
        <w:t>元。</w:t>
      </w:r>
    </w:p>
    <w:p>
      <w:pPr>
        <w:spacing w:line="500" w:lineRule="exact"/>
        <w:ind w:firstLine="560"/>
        <w:rPr>
          <w:rFonts w:ascii="方正仿宋_GBK" w:eastAsia="方正仿宋_GBK"/>
          <w:sz w:val="28"/>
        </w:rPr>
      </w:pPr>
      <w:r>
        <w:rPr>
          <w:rFonts w:ascii="方正仿宋_GBK" w:eastAsia="方正仿宋_GBK"/>
          <w:sz w:val="28"/>
        </w:rPr>
        <w:t>4、取暖费：</w:t>
      </w:r>
      <w:r>
        <w:rPr>
          <w:rFonts w:hint="eastAsia" w:ascii="方正仿宋_GBK" w:eastAsia="方正仿宋_GBK"/>
          <w:sz w:val="28"/>
        </w:rPr>
        <w:t>179300</w:t>
      </w:r>
      <w:r>
        <w:rPr>
          <w:rFonts w:ascii="方正仿宋_GBK" w:eastAsia="方正仿宋_GBK"/>
          <w:sz w:val="28"/>
        </w:rPr>
        <w:t>元。用于机关办公楼和其他工作地点办公取暖费用。</w:t>
      </w:r>
    </w:p>
    <w:p>
      <w:pPr>
        <w:spacing w:line="500" w:lineRule="exact"/>
        <w:ind w:firstLine="560"/>
        <w:rPr>
          <w:rFonts w:ascii="方正仿宋_GBK" w:eastAsia="方正仿宋_GBK"/>
          <w:sz w:val="28"/>
        </w:rPr>
      </w:pPr>
      <w:r>
        <w:rPr>
          <w:rFonts w:ascii="方正仿宋_GBK" w:eastAsia="方正仿宋_GBK"/>
          <w:sz w:val="28"/>
        </w:rPr>
        <w:t>5、差旅费：</w:t>
      </w:r>
      <w:r>
        <w:rPr>
          <w:rFonts w:hint="eastAsia" w:ascii="方正仿宋_GBK" w:eastAsia="方正仿宋_GBK"/>
          <w:sz w:val="28"/>
        </w:rPr>
        <w:t>24000</w:t>
      </w:r>
      <w:r>
        <w:rPr>
          <w:rFonts w:ascii="方正仿宋_GBK" w:eastAsia="方正仿宋_GBK"/>
          <w:sz w:val="28"/>
        </w:rPr>
        <w:t>元。</w:t>
      </w:r>
    </w:p>
    <w:p>
      <w:pPr>
        <w:spacing w:line="500" w:lineRule="exact"/>
        <w:ind w:firstLine="560"/>
        <w:rPr>
          <w:rFonts w:ascii="方正仿宋_GBK" w:eastAsia="方正仿宋_GBK"/>
          <w:sz w:val="28"/>
        </w:rPr>
      </w:pPr>
      <w:r>
        <w:rPr>
          <w:rFonts w:ascii="方正仿宋_GBK" w:eastAsia="方正仿宋_GBK"/>
          <w:sz w:val="28"/>
        </w:rPr>
        <w:t>6、公务接待费：</w:t>
      </w:r>
      <w:r>
        <w:rPr>
          <w:rFonts w:hint="eastAsia" w:ascii="方正仿宋_GBK" w:eastAsia="方正仿宋_GBK"/>
          <w:sz w:val="28"/>
        </w:rPr>
        <w:t>0</w:t>
      </w:r>
      <w:r>
        <w:rPr>
          <w:rFonts w:ascii="方正仿宋_GBK" w:eastAsia="方正仿宋_GBK"/>
          <w:sz w:val="28"/>
        </w:rPr>
        <w:t>元。</w:t>
      </w:r>
    </w:p>
    <w:p>
      <w:pPr>
        <w:spacing w:line="500" w:lineRule="exact"/>
        <w:ind w:firstLine="560"/>
        <w:rPr>
          <w:rFonts w:ascii="方正仿宋_GBK" w:eastAsia="方正仿宋_GBK"/>
          <w:sz w:val="28"/>
        </w:rPr>
      </w:pPr>
      <w:r>
        <w:rPr>
          <w:rFonts w:ascii="方正仿宋_GBK" w:eastAsia="方正仿宋_GBK"/>
          <w:sz w:val="28"/>
        </w:rPr>
        <w:t>7、劳务费： 30000 元。</w:t>
      </w:r>
    </w:p>
    <w:p>
      <w:pPr>
        <w:spacing w:line="500" w:lineRule="exact"/>
        <w:ind w:firstLine="560"/>
        <w:rPr>
          <w:rFonts w:ascii="方正仿宋_GBK" w:eastAsia="方正仿宋_GBK"/>
          <w:sz w:val="28"/>
        </w:rPr>
      </w:pPr>
      <w:r>
        <w:rPr>
          <w:rFonts w:ascii="方正仿宋_GBK" w:eastAsia="方正仿宋_GBK"/>
          <w:sz w:val="28"/>
        </w:rPr>
        <w:t xml:space="preserve">8、工会经费: </w:t>
      </w:r>
      <w:r>
        <w:rPr>
          <w:rFonts w:hint="eastAsia" w:ascii="方正仿宋_GBK" w:eastAsia="方正仿宋_GBK"/>
          <w:sz w:val="28"/>
        </w:rPr>
        <w:t>5700</w:t>
      </w:r>
      <w:r>
        <w:rPr>
          <w:rFonts w:ascii="方正仿宋_GBK" w:eastAsia="方正仿宋_GBK"/>
          <w:sz w:val="28"/>
        </w:rPr>
        <w:t>元。按在职职工每人</w:t>
      </w:r>
      <w:r>
        <w:rPr>
          <w:rFonts w:hint="eastAsia" w:ascii="方正仿宋_GBK" w:eastAsia="方正仿宋_GBK"/>
          <w:sz w:val="28"/>
        </w:rPr>
        <w:t>每年100</w:t>
      </w:r>
      <w:r>
        <w:rPr>
          <w:rFonts w:ascii="方正仿宋_GBK" w:eastAsia="方正仿宋_GBK"/>
          <w:sz w:val="28"/>
        </w:rPr>
        <w:t>元安排。</w:t>
      </w:r>
    </w:p>
    <w:p>
      <w:pPr>
        <w:spacing w:line="500" w:lineRule="exact"/>
        <w:ind w:firstLine="560"/>
        <w:rPr>
          <w:rFonts w:ascii="方正仿宋_GBK" w:eastAsia="方正仿宋_GBK"/>
          <w:sz w:val="28"/>
        </w:rPr>
      </w:pPr>
      <w:r>
        <w:rPr>
          <w:rFonts w:ascii="方正仿宋_GBK" w:eastAsia="方正仿宋_GBK"/>
          <w:sz w:val="28"/>
        </w:rPr>
        <w:t>9、福利费：</w:t>
      </w:r>
      <w:r>
        <w:rPr>
          <w:rFonts w:hint="eastAsia" w:ascii="方正仿宋_GBK" w:eastAsia="方正仿宋_GBK"/>
          <w:sz w:val="28"/>
        </w:rPr>
        <w:t>9170</w:t>
      </w:r>
      <w:r>
        <w:rPr>
          <w:rFonts w:ascii="方正仿宋_GBK" w:eastAsia="方正仿宋_GBK"/>
          <w:sz w:val="28"/>
        </w:rPr>
        <w:t>元：按在职职工每人每年150元安排。退休人员每年20元安排。</w:t>
      </w:r>
    </w:p>
    <w:p>
      <w:pPr>
        <w:spacing w:line="500" w:lineRule="exact"/>
        <w:ind w:firstLine="560"/>
        <w:rPr>
          <w:rFonts w:ascii="方正仿宋_GBK" w:eastAsia="方正仿宋_GBK"/>
          <w:sz w:val="28"/>
        </w:rPr>
      </w:pPr>
      <w:r>
        <w:rPr>
          <w:rFonts w:ascii="方正仿宋_GBK" w:eastAsia="方正仿宋_GBK"/>
          <w:sz w:val="28"/>
        </w:rPr>
        <w:t>10、公务用车运行维护费：</w:t>
      </w:r>
      <w:r>
        <w:rPr>
          <w:rFonts w:hint="eastAsia" w:ascii="方正仿宋_GBK" w:eastAsia="方正仿宋_GBK"/>
          <w:sz w:val="28"/>
        </w:rPr>
        <w:t>60000</w:t>
      </w:r>
      <w:r>
        <w:rPr>
          <w:rFonts w:ascii="方正仿宋_GBK" w:eastAsia="方正仿宋_GBK"/>
          <w:sz w:val="28"/>
        </w:rPr>
        <w:t>元。</w:t>
      </w:r>
    </w:p>
    <w:p>
      <w:pPr>
        <w:spacing w:line="500" w:lineRule="exact"/>
        <w:ind w:firstLine="560"/>
        <w:rPr>
          <w:rFonts w:ascii="方正仿宋_GBK" w:eastAsia="方正仿宋_GBK"/>
          <w:sz w:val="28"/>
        </w:rPr>
      </w:pPr>
      <w:r>
        <w:rPr>
          <w:rFonts w:ascii="方正仿宋_GBK" w:eastAsia="方正仿宋_GBK"/>
          <w:sz w:val="28"/>
        </w:rPr>
        <w:t>11、其他交通费（公务交通补贴）：</w:t>
      </w:r>
      <w:r>
        <w:rPr>
          <w:rFonts w:hint="eastAsia" w:ascii="方正仿宋_GBK" w:eastAsia="方正仿宋_GBK"/>
          <w:sz w:val="28"/>
        </w:rPr>
        <w:t xml:space="preserve">146400  </w:t>
      </w:r>
      <w:r>
        <w:rPr>
          <w:rFonts w:ascii="方正仿宋_GBK" w:eastAsia="方正仿宋_GBK"/>
          <w:sz w:val="28"/>
        </w:rPr>
        <w:t>元。</w:t>
      </w:r>
    </w:p>
    <w:p>
      <w:pPr>
        <w:widowControl/>
        <w:spacing w:line="540" w:lineRule="exact"/>
        <w:ind w:firstLine="640" w:firstLineChars="200"/>
        <w:rPr>
          <w:rFonts w:ascii="仿宋" w:hAnsi="仿宋" w:eastAsia="仿宋"/>
          <w:b/>
          <w:sz w:val="32"/>
          <w:szCs w:val="32"/>
        </w:rPr>
      </w:pPr>
      <w:r>
        <w:rPr>
          <w:rFonts w:hint="eastAsia" w:ascii="仿宋" w:hAnsi="仿宋" w:eastAsia="仿宋"/>
          <w:b/>
          <w:sz w:val="32"/>
          <w:szCs w:val="32"/>
        </w:rPr>
        <w:t>四、“三公”经费支出情况</w:t>
      </w:r>
    </w:p>
    <w:p>
      <w:pPr>
        <w:widowControl/>
        <w:snapToGrid w:val="0"/>
        <w:spacing w:line="588" w:lineRule="exact"/>
        <w:ind w:firstLine="640" w:firstLineChars="200"/>
        <w:rPr>
          <w:rFonts w:ascii="仿宋" w:hAnsi="仿宋" w:eastAsia="仿宋"/>
          <w:sz w:val="32"/>
          <w:szCs w:val="32"/>
        </w:rPr>
      </w:pPr>
      <w:r>
        <w:rPr>
          <w:rFonts w:hint="eastAsia" w:ascii="仿宋" w:hAnsi="仿宋" w:eastAsia="仿宋"/>
          <w:sz w:val="32"/>
          <w:szCs w:val="32"/>
        </w:rPr>
        <w:t>2019年三公经费预算安排总计129000元，比上年略有减少。其中：</w:t>
      </w:r>
    </w:p>
    <w:p>
      <w:pPr>
        <w:spacing w:line="500" w:lineRule="exact"/>
        <w:ind w:firstLine="56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年公务用车</w:t>
      </w:r>
      <w:r>
        <w:rPr>
          <w:rFonts w:hint="eastAsia" w:ascii="仿宋" w:hAnsi="仿宋" w:eastAsia="仿宋"/>
          <w:sz w:val="32"/>
          <w:szCs w:val="32"/>
        </w:rPr>
        <w:t>3</w:t>
      </w:r>
      <w:r>
        <w:rPr>
          <w:rFonts w:ascii="仿宋" w:hAnsi="仿宋" w:eastAsia="仿宋"/>
          <w:sz w:val="32"/>
          <w:szCs w:val="32"/>
        </w:rPr>
        <w:t>辆，公务用车运行维护费预算安排</w:t>
      </w:r>
      <w:r>
        <w:rPr>
          <w:rFonts w:hint="eastAsia" w:ascii="仿宋" w:hAnsi="仿宋" w:eastAsia="仿宋"/>
          <w:sz w:val="32"/>
          <w:szCs w:val="32"/>
        </w:rPr>
        <w:t>6万</w:t>
      </w:r>
      <w:r>
        <w:rPr>
          <w:rFonts w:ascii="仿宋" w:hAnsi="仿宋" w:eastAsia="仿宋"/>
          <w:sz w:val="32"/>
          <w:szCs w:val="32"/>
        </w:rPr>
        <w:t>元。因2017年公车改革已到位，公务用车运行维护同比不变，执行相应新的公务用车标准。</w:t>
      </w:r>
    </w:p>
    <w:p>
      <w:pPr>
        <w:widowControl/>
        <w:snapToGrid w:val="0"/>
        <w:spacing w:line="588" w:lineRule="exact"/>
        <w:ind w:firstLine="640" w:firstLineChars="200"/>
        <w:rPr>
          <w:rFonts w:ascii="仿宋" w:hAnsi="仿宋" w:eastAsia="仿宋"/>
          <w:sz w:val="32"/>
          <w:szCs w:val="32"/>
        </w:rPr>
      </w:pPr>
      <w:r>
        <w:rPr>
          <w:rFonts w:hint="eastAsia" w:ascii="仿宋" w:hAnsi="仿宋" w:eastAsia="仿宋"/>
          <w:sz w:val="32"/>
          <w:szCs w:val="32"/>
        </w:rPr>
        <w:t>2、公务接待费0元，与上年相同。</w:t>
      </w:r>
    </w:p>
    <w:p>
      <w:pPr>
        <w:tabs>
          <w:tab w:val="left" w:pos="747"/>
        </w:tabs>
        <w:ind w:firstLine="640"/>
        <w:rPr>
          <w:rFonts w:ascii="仿宋" w:hAnsi="仿宋" w:eastAsia="仿宋"/>
          <w:sz w:val="32"/>
          <w:szCs w:val="32"/>
        </w:rPr>
      </w:pPr>
      <w:r>
        <w:rPr>
          <w:rFonts w:hint="eastAsia" w:ascii="仿宋" w:hAnsi="仿宋" w:eastAsia="仿宋"/>
          <w:sz w:val="32"/>
          <w:szCs w:val="32"/>
        </w:rPr>
        <w:t>3、因公出国经费：无，没有增减变化。</w:t>
      </w:r>
    </w:p>
    <w:p>
      <w:pPr>
        <w:tabs>
          <w:tab w:val="left" w:pos="747"/>
        </w:tabs>
        <w:ind w:firstLine="640"/>
        <w:rPr>
          <w:rFonts w:ascii="仿宋" w:hAnsi="仿宋" w:eastAsia="仿宋"/>
          <w:sz w:val="32"/>
          <w:szCs w:val="32"/>
        </w:rPr>
      </w:pPr>
      <w:r>
        <w:rPr>
          <w:rFonts w:hint="eastAsia" w:ascii="仿宋" w:hAnsi="仿宋" w:eastAsia="仿宋"/>
          <w:sz w:val="32"/>
          <w:szCs w:val="32"/>
        </w:rPr>
        <w:t>4、公务用车购置费无，没有增减变化。</w:t>
      </w:r>
    </w:p>
    <w:p>
      <w:pPr>
        <w:tabs>
          <w:tab w:val="left" w:pos="747"/>
        </w:tabs>
        <w:rPr>
          <w:rFonts w:ascii="仿宋" w:hAnsi="仿宋" w:eastAsia="仿宋"/>
          <w:sz w:val="32"/>
          <w:szCs w:val="32"/>
        </w:rPr>
      </w:pPr>
    </w:p>
    <w:p>
      <w:pPr>
        <w:tabs>
          <w:tab w:val="left" w:pos="747"/>
        </w:tabs>
        <w:ind w:firstLine="640"/>
        <w:rPr>
          <w:rFonts w:ascii="宋体" w:hAnsi="宋体"/>
          <w:sz w:val="32"/>
          <w:szCs w:val="32"/>
        </w:rPr>
      </w:pPr>
    </w:p>
    <w:p>
      <w:pPr>
        <w:widowControl/>
        <w:snapToGrid w:val="0"/>
        <w:spacing w:line="588" w:lineRule="exact"/>
        <w:ind w:firstLine="640" w:firstLineChars="200"/>
        <w:rPr>
          <w:rFonts w:ascii="仿宋" w:hAnsi="仿宋" w:eastAsia="仿宋"/>
          <w:sz w:val="32"/>
          <w:szCs w:val="32"/>
        </w:rPr>
        <w:sectPr>
          <w:footerReference r:id="rId3" w:type="default"/>
          <w:pgSz w:w="11907" w:h="16839"/>
          <w:pgMar w:top="1361" w:right="1021" w:bottom="1361" w:left="1021" w:header="851" w:footer="992" w:gutter="0"/>
          <w:cols w:space="720" w:num="1"/>
          <w:docGrid w:type="linesAndChars" w:linePitch="312" w:charSpace="0"/>
        </w:sectPr>
      </w:pPr>
    </w:p>
    <w:p>
      <w:pPr>
        <w:widowControl/>
        <w:snapToGrid w:val="0"/>
        <w:spacing w:line="588" w:lineRule="exact"/>
        <w:ind w:firstLine="643" w:firstLineChars="200"/>
        <w:rPr>
          <w:rFonts w:ascii="宋体" w:hAnsi="宋体"/>
          <w:b/>
          <w:sz w:val="32"/>
          <w:szCs w:val="32"/>
        </w:rPr>
      </w:pPr>
      <w:r>
        <w:rPr>
          <w:rFonts w:hint="eastAsia" w:ascii="宋体" w:hAnsi="宋体"/>
          <w:b/>
          <w:sz w:val="32"/>
          <w:szCs w:val="32"/>
        </w:rPr>
        <w:t>五、绩效预算信息情况</w:t>
      </w:r>
    </w:p>
    <w:p>
      <w:pPr>
        <w:ind w:firstLine="560" w:firstLineChars="200"/>
        <w:jc w:val="left"/>
        <w:outlineLvl w:val="1"/>
        <w:rPr>
          <w:rFonts w:hAnsi="宋体"/>
          <w:sz w:val="28"/>
          <w:szCs w:val="22"/>
        </w:rPr>
      </w:pPr>
      <w:r>
        <w:rPr>
          <w:rFonts w:hint="eastAsia" w:ascii="方正黑体_GBK" w:hAnsi="Calibri" w:eastAsia="方正黑体_GBK"/>
          <w:sz w:val="28"/>
          <w:szCs w:val="22"/>
        </w:rPr>
        <w:t>一、总体绩效目标</w:t>
      </w:r>
      <w:r>
        <w:rPr>
          <w:rFonts w:ascii="方正黑体_GBK" w:hAnsi="Calibri" w:eastAsia="方正黑体_GBK"/>
          <w:sz w:val="28"/>
          <w:szCs w:val="22"/>
        </w:rPr>
        <w:fldChar w:fldCharType="begin"/>
      </w:r>
      <w:r>
        <w:rPr>
          <w:rFonts w:ascii="方正黑体_GBK" w:hAnsi="Calibri" w:eastAsia="方正黑体_GBK"/>
          <w:sz w:val="28"/>
          <w:szCs w:val="22"/>
        </w:rPr>
        <w:instrText xml:space="preserve"> </w:instrText>
      </w:r>
      <w:r>
        <w:rPr>
          <w:rFonts w:hint="eastAsia" w:ascii="方正黑体_GBK" w:hAnsi="Calibri" w:eastAsia="方正黑体_GBK"/>
          <w:sz w:val="28"/>
          <w:szCs w:val="22"/>
        </w:rPr>
        <w:instrText xml:space="preserve">TC </w:instrText>
      </w:r>
      <w:bookmarkStart w:id="2" w:name="_Toc42868120"/>
      <w:r>
        <w:rPr>
          <w:rFonts w:hint="eastAsia" w:ascii="方正黑体_GBK" w:hAnsi="Calibri" w:eastAsia="方正黑体_GBK"/>
          <w:sz w:val="28"/>
          <w:szCs w:val="22"/>
        </w:rPr>
        <w:instrText xml:space="preserve">总体绩效目标</w:instrText>
      </w:r>
      <w:bookmarkEnd w:id="2"/>
      <w:r>
        <w:rPr>
          <w:rFonts w:hint="eastAsia" w:ascii="方正黑体_GBK" w:hAnsi="Calibri" w:eastAsia="方正黑体_GBK"/>
          <w:sz w:val="28"/>
          <w:szCs w:val="22"/>
        </w:rPr>
        <w:instrText xml:space="preserve"> \f A \l 1</w:instrText>
      </w:r>
      <w:r>
        <w:rPr>
          <w:rFonts w:ascii="方正黑体_GBK" w:hAnsi="Calibri" w:eastAsia="方正黑体_GBK"/>
          <w:sz w:val="28"/>
          <w:szCs w:val="22"/>
        </w:rPr>
        <w:instrText xml:space="preserve"> </w:instrText>
      </w:r>
      <w:r>
        <w:rPr>
          <w:rFonts w:ascii="方正黑体_GBK" w:hAnsi="Calibri" w:eastAsia="方正黑体_GBK"/>
          <w:sz w:val="28"/>
          <w:szCs w:val="22"/>
        </w:rPr>
        <w:fldChar w:fldCharType="end"/>
      </w:r>
    </w:p>
    <w:p>
      <w:pPr>
        <w:spacing w:line="500" w:lineRule="exact"/>
        <w:ind w:firstLine="560" w:firstLineChars="200"/>
        <w:jc w:val="left"/>
        <w:rPr>
          <w:rFonts w:hAnsi="Calibri" w:eastAsia="方正仿宋_GBK"/>
          <w:sz w:val="28"/>
          <w:szCs w:val="22"/>
        </w:rPr>
      </w:pPr>
      <w:r>
        <w:rPr>
          <w:rFonts w:hAnsi="Calibri" w:eastAsia="方正仿宋_GBK"/>
          <w:sz w:val="28"/>
          <w:szCs w:val="22"/>
        </w:rPr>
        <w:t xml:space="preserve">    </w:t>
      </w:r>
      <w:r>
        <w:rPr>
          <w:rFonts w:hint="eastAsia" w:hAnsi="宋体" w:eastAsia="方正仿宋_GBK" w:cs="宋体"/>
          <w:sz w:val="28"/>
          <w:szCs w:val="22"/>
        </w:rPr>
        <w:t>总体目标：</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部门年度发展规划目标</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1</w:t>
      </w:r>
      <w:r>
        <w:rPr>
          <w:rFonts w:hint="eastAsia" w:hAnsi="宋体" w:eastAsia="方正仿宋_GBK" w:cs="宋体"/>
          <w:sz w:val="28"/>
          <w:szCs w:val="22"/>
        </w:rPr>
        <w:t>）执行上级国家行政机关的决定、命令和国家制定的法令、法规，接受同级党委的领导，执行本级人民代表大会的各项决议，并报告执行决议、决定和命令的情况。</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2</w:t>
      </w:r>
      <w:r>
        <w:rPr>
          <w:rFonts w:hint="eastAsia" w:hAnsi="宋体" w:eastAsia="方正仿宋_GBK" w:cs="宋体"/>
          <w:sz w:val="28"/>
          <w:szCs w:val="22"/>
        </w:rPr>
        <w:t>）制定并落实本行政区域的经济计划和措施，促进产业结构调整及其他经济保持平衡协调发展，全面提高人民群众的生活水平和生活质量。</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3</w:t>
      </w:r>
      <w:r>
        <w:rPr>
          <w:rFonts w:hint="eastAsia" w:hAnsi="宋体" w:eastAsia="方正仿宋_GBK" w:cs="宋体"/>
          <w:sz w:val="28"/>
          <w:szCs w:val="22"/>
        </w:rPr>
        <w:t>）承担国有资产、集体资产管理、监督及增值保值责任；保护公民私人所有合法财产，保障集体经济组织应有的自主权；监督企业和各种经济联合体、个体户认真执行国家的法律、法令和政策，履行经济合同。</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4</w:t>
      </w:r>
      <w:r>
        <w:rPr>
          <w:rFonts w:hint="eastAsia" w:hAnsi="宋体" w:eastAsia="方正仿宋_GBK" w:cs="宋体"/>
          <w:sz w:val="28"/>
          <w:szCs w:val="22"/>
        </w:rPr>
        <w:t>）开展社会主义民主和法制的宣传教育，保障公民的权利</w:t>
      </w:r>
      <w:r>
        <w:rPr>
          <w:rFonts w:hAnsi="Calibri" w:eastAsia="方正仿宋_GBK"/>
          <w:sz w:val="28"/>
          <w:szCs w:val="22"/>
        </w:rPr>
        <w:t>;</w:t>
      </w:r>
      <w:r>
        <w:rPr>
          <w:rFonts w:hint="eastAsia" w:hAnsi="宋体" w:eastAsia="方正仿宋_GBK" w:cs="宋体"/>
          <w:sz w:val="28"/>
          <w:szCs w:val="22"/>
        </w:rPr>
        <w:t>制定社会治安综合治理工作规划并组织实施；加强社区管理工作，依法管理外来流动人口，处理人民群众来信来访，调解民间纠纷，打击违法犯罪，维护社会稳定。</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5</w:t>
      </w:r>
      <w:r>
        <w:rPr>
          <w:rFonts w:hint="eastAsia" w:hAnsi="宋体" w:eastAsia="方正仿宋_GBK" w:cs="宋体"/>
          <w:sz w:val="28"/>
          <w:szCs w:val="22"/>
        </w:rPr>
        <w:t>）制定社会各项事业发展计划，发展教育、卫生、科技、民政、广播电视、文化、体育事业；组织实施义务教育和其他各类教育；加强计划生育工作</w:t>
      </w:r>
      <w:r>
        <w:rPr>
          <w:rFonts w:hAnsi="Calibri" w:eastAsia="方正仿宋_GBK"/>
          <w:sz w:val="28"/>
          <w:szCs w:val="22"/>
        </w:rPr>
        <w:t>;</w:t>
      </w:r>
      <w:r>
        <w:rPr>
          <w:rFonts w:hint="eastAsia" w:hAnsi="宋体" w:eastAsia="方正仿宋_GBK" w:cs="宋体"/>
          <w:sz w:val="28"/>
          <w:szCs w:val="22"/>
        </w:rPr>
        <w:t>推进社会保障、社会福利事业和养老保险工作；做好劳动管理、科普、老龄及宗教、侨务等工作。</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6</w:t>
      </w:r>
      <w:r>
        <w:rPr>
          <w:rFonts w:hint="eastAsia" w:hAnsi="宋体" w:eastAsia="方正仿宋_GBK" w:cs="宋体"/>
          <w:sz w:val="28"/>
          <w:szCs w:val="22"/>
        </w:rPr>
        <w:t>）加强镇级财政的监督和管理，按计划组织、管理镇财政收入和支出，执行国家有关财经纪律和政策，保证国家财政收入的完成，做好统计工作。</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7</w:t>
      </w:r>
      <w:r>
        <w:rPr>
          <w:rFonts w:hint="eastAsia" w:hAnsi="宋体" w:eastAsia="方正仿宋_GBK" w:cs="宋体"/>
          <w:sz w:val="28"/>
          <w:szCs w:val="22"/>
        </w:rPr>
        <w:t>）指导、支持、帮助村民委员会的组织制度建设和业务建设，促进村民委员会民主自治。</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8</w:t>
      </w:r>
      <w:r>
        <w:rPr>
          <w:rFonts w:hint="eastAsia" w:hAnsi="宋体" w:eastAsia="方正仿宋_GBK" w:cs="宋体"/>
          <w:sz w:val="28"/>
          <w:szCs w:val="22"/>
        </w:rPr>
        <w:t>）制定和组织实施镇村建设规划；加强公用、市政设施、水利建设和管理以及房屋土地管理和环境综合整治工作，保护和改善生活环境和生态环境。</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9</w:t>
      </w:r>
      <w:r>
        <w:rPr>
          <w:rFonts w:hint="eastAsia" w:hAnsi="宋体" w:eastAsia="方正仿宋_GBK" w:cs="宋体"/>
          <w:sz w:val="28"/>
          <w:szCs w:val="22"/>
        </w:rPr>
        <w:t>）协助和支持设置在本行政区域内不隶属于乡镇的国家机关和企事业单位工作，监督其遵守和执行国家的法律、法规和政策。</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10</w:t>
      </w:r>
      <w:r>
        <w:rPr>
          <w:rFonts w:hint="eastAsia" w:hAnsi="宋体" w:eastAsia="方正仿宋_GBK" w:cs="宋体"/>
          <w:sz w:val="28"/>
          <w:szCs w:val="22"/>
        </w:rPr>
        <w:t>）承办区政府交办的其它事项。</w:t>
      </w:r>
    </w:p>
    <w:p>
      <w:pPr>
        <w:spacing w:line="500" w:lineRule="exact"/>
        <w:ind w:firstLine="560" w:firstLineChars="200"/>
        <w:jc w:val="left"/>
        <w:rPr>
          <w:rFonts w:hAnsi="Calibri" w:eastAsia="方正仿宋_GBK"/>
          <w:sz w:val="28"/>
          <w:szCs w:val="22"/>
        </w:rPr>
      </w:pPr>
    </w:p>
    <w:p>
      <w:pPr>
        <w:spacing w:line="500" w:lineRule="exact"/>
        <w:ind w:firstLine="560" w:firstLineChars="200"/>
        <w:jc w:val="left"/>
        <w:outlineLvl w:val="1"/>
        <w:rPr>
          <w:rFonts w:hAnsi="宋体"/>
          <w:sz w:val="28"/>
          <w:szCs w:val="22"/>
        </w:rPr>
      </w:pPr>
      <w:r>
        <w:rPr>
          <w:rFonts w:hint="eastAsia" w:ascii="方正黑体_GBK" w:hAnsi="Calibri" w:eastAsia="方正黑体_GBK"/>
          <w:sz w:val="28"/>
          <w:szCs w:val="22"/>
        </w:rPr>
        <w:t>二、分项绩效目标</w:t>
      </w:r>
      <w:r>
        <w:rPr>
          <w:rFonts w:ascii="方正黑体_GBK" w:hAnsi="Calibri" w:eastAsia="方正黑体_GBK"/>
          <w:sz w:val="28"/>
          <w:szCs w:val="22"/>
        </w:rPr>
        <w:fldChar w:fldCharType="begin"/>
      </w:r>
      <w:r>
        <w:rPr>
          <w:rFonts w:ascii="方正黑体_GBK" w:hAnsi="Calibri" w:eastAsia="方正黑体_GBK"/>
          <w:sz w:val="28"/>
          <w:szCs w:val="22"/>
        </w:rPr>
        <w:instrText xml:space="preserve"> </w:instrText>
      </w:r>
      <w:r>
        <w:rPr>
          <w:rFonts w:hint="eastAsia" w:ascii="方正黑体_GBK" w:hAnsi="Calibri" w:eastAsia="方正黑体_GBK"/>
          <w:sz w:val="28"/>
          <w:szCs w:val="22"/>
        </w:rPr>
        <w:instrText xml:space="preserve">TC </w:instrText>
      </w:r>
      <w:bookmarkStart w:id="3" w:name="_Toc42868121"/>
      <w:r>
        <w:rPr>
          <w:rFonts w:hint="eastAsia" w:ascii="方正黑体_GBK" w:hAnsi="Calibri" w:eastAsia="方正黑体_GBK"/>
          <w:sz w:val="28"/>
          <w:szCs w:val="22"/>
        </w:rPr>
        <w:instrText xml:space="preserve">分项绩效目标</w:instrText>
      </w:r>
      <w:bookmarkEnd w:id="3"/>
      <w:r>
        <w:rPr>
          <w:rFonts w:hint="eastAsia" w:ascii="方正黑体_GBK" w:hAnsi="Calibri" w:eastAsia="方正黑体_GBK"/>
          <w:sz w:val="28"/>
          <w:szCs w:val="22"/>
        </w:rPr>
        <w:instrText xml:space="preserve"> \f A \l 1</w:instrText>
      </w:r>
      <w:r>
        <w:rPr>
          <w:rFonts w:ascii="方正黑体_GBK" w:hAnsi="Calibri" w:eastAsia="方正黑体_GBK"/>
          <w:sz w:val="28"/>
          <w:szCs w:val="22"/>
        </w:rPr>
        <w:instrText xml:space="preserve"> </w:instrText>
      </w:r>
      <w:r>
        <w:rPr>
          <w:rFonts w:ascii="方正黑体_GBK" w:hAnsi="Calibri" w:eastAsia="方正黑体_GBK"/>
          <w:sz w:val="28"/>
          <w:szCs w:val="22"/>
        </w:rPr>
        <w:fldChar w:fldCharType="end"/>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职责分类绩效目标：</w:t>
      </w:r>
    </w:p>
    <w:p>
      <w:pPr>
        <w:spacing w:line="500" w:lineRule="exact"/>
        <w:ind w:firstLine="560" w:firstLineChars="200"/>
        <w:jc w:val="left"/>
        <w:rPr>
          <w:rFonts w:hAnsi="Calibri" w:eastAsia="方正仿宋_GBK"/>
          <w:sz w:val="28"/>
          <w:szCs w:val="22"/>
        </w:rPr>
      </w:pPr>
      <w:r>
        <w:rPr>
          <w:rFonts w:hAnsi="Calibri" w:eastAsia="方正仿宋_GBK"/>
          <w:sz w:val="28"/>
          <w:szCs w:val="22"/>
        </w:rPr>
        <w:t>2019</w:t>
      </w:r>
      <w:r>
        <w:rPr>
          <w:rFonts w:hint="eastAsia" w:hAnsi="宋体" w:eastAsia="方正仿宋_GBK" w:cs="宋体"/>
          <w:sz w:val="28"/>
          <w:szCs w:val="22"/>
        </w:rPr>
        <w:t>年部门职责分类绩效目标情况说明</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（一）预算绩效管理工作开展情况</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根据上级预算绩效管理要求，我镇以</w:t>
      </w:r>
      <w:r>
        <w:rPr>
          <w:rFonts w:hAnsi="Calibri" w:eastAsia="方正仿宋_GBK"/>
          <w:sz w:val="28"/>
          <w:szCs w:val="22"/>
        </w:rPr>
        <w:t>“</w:t>
      </w:r>
      <w:r>
        <w:rPr>
          <w:rFonts w:hint="eastAsia" w:hAnsi="宋体" w:eastAsia="方正仿宋_GBK" w:cs="宋体"/>
          <w:sz w:val="28"/>
          <w:szCs w:val="22"/>
        </w:rPr>
        <w:t>部门职责</w:t>
      </w:r>
      <w:r>
        <w:rPr>
          <w:rFonts w:hAnsi="Calibri" w:eastAsia="方正仿宋_GBK"/>
          <w:sz w:val="28"/>
          <w:szCs w:val="22"/>
        </w:rPr>
        <w:t>---</w:t>
      </w:r>
      <w:r>
        <w:rPr>
          <w:rFonts w:hint="eastAsia" w:hAnsi="宋体" w:eastAsia="方正仿宋_GBK" w:cs="宋体"/>
          <w:sz w:val="28"/>
          <w:szCs w:val="22"/>
        </w:rPr>
        <w:t>工作活动</w:t>
      </w:r>
      <w:r>
        <w:rPr>
          <w:rFonts w:hAnsi="Calibri" w:eastAsia="方正仿宋_GBK"/>
          <w:sz w:val="28"/>
          <w:szCs w:val="22"/>
        </w:rPr>
        <w:t>”</w:t>
      </w:r>
      <w:r>
        <w:rPr>
          <w:rFonts w:hint="eastAsia" w:hAnsi="宋体" w:eastAsia="方正仿宋_GBK" w:cs="宋体"/>
          <w:sz w:val="28"/>
          <w:szCs w:val="22"/>
        </w:rPr>
        <w:t>为依据，确定部门预算项目和预算额度，清晰描述预算项目开支范围和内容，确定预算项目的绩效目标、绩效指标和评价标准，为预算绩效控制、绩效分析、绩效评价打下好的基础。</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（二）预算项目绩效评价开展情况</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按照省财政预算绩效管理要求，我镇对确定的一般公共预算支出项目全面开展了绩效自评，覆盖率达到</w:t>
      </w:r>
      <w:r>
        <w:rPr>
          <w:rFonts w:hAnsi="Calibri" w:eastAsia="方正仿宋_GBK"/>
          <w:sz w:val="28"/>
          <w:szCs w:val="22"/>
        </w:rPr>
        <w:t>100%</w:t>
      </w:r>
      <w:r>
        <w:rPr>
          <w:rFonts w:hint="eastAsia" w:hAnsi="宋体" w:eastAsia="方正仿宋_GBK" w:cs="宋体"/>
          <w:sz w:val="28"/>
          <w:szCs w:val="22"/>
        </w:rPr>
        <w:t>。</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（三）预算绩效自评选例</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城乡居民最低生活保障、临时生活救助、医疗救助、低收入家庭核查认定；文化组织和宣传、综合数据统计、宣传普及科学知识、发展公共服务和福利事业，较好地实现了预算项目绩效目标。</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（四）开展预算项目绩效评价发现的主要问题及对策</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通过实施预算项目绩效评价发现，预算项目绩效目标设定还需进一步详尽，绩效指标应充分体现</w:t>
      </w:r>
      <w:r>
        <w:rPr>
          <w:rFonts w:hAnsi="Calibri" w:eastAsia="方正仿宋_GBK"/>
          <w:sz w:val="28"/>
          <w:szCs w:val="22"/>
        </w:rPr>
        <w:t>“</w:t>
      </w:r>
      <w:r>
        <w:rPr>
          <w:rFonts w:hint="eastAsia" w:hAnsi="宋体" w:eastAsia="方正仿宋_GBK" w:cs="宋体"/>
          <w:sz w:val="28"/>
          <w:szCs w:val="22"/>
        </w:rPr>
        <w:t>结果</w:t>
      </w:r>
      <w:r>
        <w:rPr>
          <w:rFonts w:hAnsi="Calibri" w:eastAsia="方正仿宋_GBK"/>
          <w:sz w:val="28"/>
          <w:szCs w:val="22"/>
        </w:rPr>
        <w:t>”</w:t>
      </w:r>
      <w:r>
        <w:rPr>
          <w:rFonts w:hint="eastAsia" w:hAnsi="宋体" w:eastAsia="方正仿宋_GBK" w:cs="宋体"/>
          <w:sz w:val="28"/>
          <w:szCs w:val="22"/>
        </w:rPr>
        <w:t>导向原则。进一步改进完善的措施：一是按照</w:t>
      </w:r>
      <w:r>
        <w:rPr>
          <w:rFonts w:hAnsi="Calibri" w:eastAsia="方正仿宋_GBK"/>
          <w:sz w:val="28"/>
          <w:szCs w:val="22"/>
        </w:rPr>
        <w:t>“</w:t>
      </w:r>
      <w:r>
        <w:rPr>
          <w:rFonts w:hint="eastAsia" w:hAnsi="宋体" w:eastAsia="方正仿宋_GBK" w:cs="宋体"/>
          <w:sz w:val="28"/>
          <w:szCs w:val="22"/>
        </w:rPr>
        <w:t>结果</w:t>
      </w:r>
      <w:r>
        <w:rPr>
          <w:rFonts w:hAnsi="Calibri" w:eastAsia="方正仿宋_GBK"/>
          <w:sz w:val="28"/>
          <w:szCs w:val="22"/>
        </w:rPr>
        <w:t>”</w:t>
      </w:r>
      <w:r>
        <w:rPr>
          <w:rFonts w:hint="eastAsia" w:hAnsi="宋体" w:eastAsia="方正仿宋_GBK" w:cs="宋体"/>
          <w:sz w:val="28"/>
          <w:szCs w:val="22"/>
        </w:rPr>
        <w:t>导向原则做好项目目标设定工作，将绩效目标设定从</w:t>
      </w:r>
      <w:r>
        <w:rPr>
          <w:rFonts w:hAnsi="Calibri" w:eastAsia="方正仿宋_GBK"/>
          <w:sz w:val="28"/>
          <w:szCs w:val="22"/>
        </w:rPr>
        <w:t>“</w:t>
      </w:r>
      <w:r>
        <w:rPr>
          <w:rFonts w:hint="eastAsia" w:hAnsi="宋体" w:eastAsia="方正仿宋_GBK" w:cs="宋体"/>
          <w:sz w:val="28"/>
          <w:szCs w:val="22"/>
        </w:rPr>
        <w:t>支出完成</w:t>
      </w:r>
      <w:r>
        <w:rPr>
          <w:rFonts w:hAnsi="Calibri" w:eastAsia="方正仿宋_GBK"/>
          <w:sz w:val="28"/>
          <w:szCs w:val="22"/>
        </w:rPr>
        <w:t>”</w:t>
      </w:r>
      <w:r>
        <w:rPr>
          <w:rFonts w:hint="eastAsia" w:hAnsi="宋体" w:eastAsia="方正仿宋_GBK" w:cs="宋体"/>
          <w:sz w:val="28"/>
          <w:szCs w:val="22"/>
        </w:rPr>
        <w:t>和</w:t>
      </w:r>
      <w:r>
        <w:rPr>
          <w:rFonts w:hAnsi="Calibri" w:eastAsia="方正仿宋_GBK"/>
          <w:sz w:val="28"/>
          <w:szCs w:val="22"/>
        </w:rPr>
        <w:t>“</w:t>
      </w:r>
      <w:r>
        <w:rPr>
          <w:rFonts w:hint="eastAsia" w:hAnsi="宋体" w:eastAsia="方正仿宋_GBK" w:cs="宋体"/>
          <w:sz w:val="28"/>
          <w:szCs w:val="22"/>
        </w:rPr>
        <w:t>实现产出</w:t>
      </w:r>
      <w:r>
        <w:rPr>
          <w:rFonts w:hAnsi="Calibri" w:eastAsia="方正仿宋_GBK"/>
          <w:sz w:val="28"/>
          <w:szCs w:val="22"/>
        </w:rPr>
        <w:t>”</w:t>
      </w:r>
      <w:r>
        <w:rPr>
          <w:rFonts w:hint="eastAsia" w:hAnsi="宋体" w:eastAsia="方正仿宋_GBK" w:cs="宋体"/>
          <w:sz w:val="28"/>
          <w:szCs w:val="22"/>
        </w:rPr>
        <w:t>向注重</w:t>
      </w:r>
      <w:r>
        <w:rPr>
          <w:rFonts w:hAnsi="Calibri" w:eastAsia="方正仿宋_GBK"/>
          <w:sz w:val="28"/>
          <w:szCs w:val="22"/>
        </w:rPr>
        <w:t>“</w:t>
      </w:r>
      <w:r>
        <w:rPr>
          <w:rFonts w:hint="eastAsia" w:hAnsi="宋体" w:eastAsia="方正仿宋_GBK" w:cs="宋体"/>
          <w:sz w:val="28"/>
          <w:szCs w:val="22"/>
        </w:rPr>
        <w:t>全面结果</w:t>
      </w:r>
      <w:r>
        <w:rPr>
          <w:rFonts w:hAnsi="Calibri" w:eastAsia="方正仿宋_GBK"/>
          <w:sz w:val="28"/>
          <w:szCs w:val="22"/>
        </w:rPr>
        <w:t>”</w:t>
      </w:r>
      <w:r>
        <w:rPr>
          <w:rFonts w:hint="eastAsia" w:hAnsi="宋体" w:eastAsia="方正仿宋_GBK" w:cs="宋体"/>
          <w:sz w:val="28"/>
          <w:szCs w:val="22"/>
        </w:rPr>
        <w:t>的评价重点转变；二是完善项目绩效指标设定，进一步探索更具科学性和可操作性的绩效分析、绩效考核指标体系。</w:t>
      </w:r>
    </w:p>
    <w:p>
      <w:pPr>
        <w:spacing w:line="500" w:lineRule="exact"/>
        <w:ind w:firstLine="560" w:firstLineChars="200"/>
        <w:jc w:val="left"/>
        <w:rPr>
          <w:rFonts w:hAnsi="Calibri" w:eastAsia="方正仿宋_GBK"/>
          <w:sz w:val="28"/>
          <w:szCs w:val="22"/>
        </w:rPr>
      </w:pPr>
    </w:p>
    <w:p>
      <w:pPr>
        <w:spacing w:line="500" w:lineRule="exact"/>
        <w:ind w:firstLine="560" w:firstLineChars="200"/>
        <w:jc w:val="left"/>
        <w:outlineLvl w:val="1"/>
        <w:rPr>
          <w:rFonts w:hAnsi="宋体"/>
          <w:sz w:val="28"/>
          <w:szCs w:val="22"/>
        </w:rPr>
      </w:pPr>
      <w:r>
        <w:rPr>
          <w:rFonts w:hint="eastAsia" w:ascii="方正黑体_GBK" w:hAnsi="Calibri" w:eastAsia="方正黑体_GBK"/>
          <w:sz w:val="28"/>
          <w:szCs w:val="22"/>
        </w:rPr>
        <w:t>三、工作保障措施</w:t>
      </w:r>
      <w:r>
        <w:rPr>
          <w:rFonts w:ascii="方正黑体_GBK" w:hAnsi="Calibri" w:eastAsia="方正黑体_GBK"/>
          <w:sz w:val="28"/>
          <w:szCs w:val="22"/>
        </w:rPr>
        <w:fldChar w:fldCharType="begin"/>
      </w:r>
      <w:r>
        <w:rPr>
          <w:rFonts w:ascii="方正黑体_GBK" w:hAnsi="Calibri" w:eastAsia="方正黑体_GBK"/>
          <w:sz w:val="28"/>
          <w:szCs w:val="22"/>
        </w:rPr>
        <w:instrText xml:space="preserve"> </w:instrText>
      </w:r>
      <w:r>
        <w:rPr>
          <w:rFonts w:hint="eastAsia" w:ascii="方正黑体_GBK" w:hAnsi="Calibri" w:eastAsia="方正黑体_GBK"/>
          <w:sz w:val="28"/>
          <w:szCs w:val="22"/>
        </w:rPr>
        <w:instrText xml:space="preserve">TC </w:instrText>
      </w:r>
      <w:bookmarkStart w:id="4" w:name="_Toc42868122"/>
      <w:r>
        <w:rPr>
          <w:rFonts w:hint="eastAsia" w:ascii="方正黑体_GBK" w:hAnsi="Calibri" w:eastAsia="方正黑体_GBK"/>
          <w:sz w:val="28"/>
          <w:szCs w:val="22"/>
        </w:rPr>
        <w:instrText xml:space="preserve">工作保障措施</w:instrText>
      </w:r>
      <w:bookmarkEnd w:id="4"/>
      <w:r>
        <w:rPr>
          <w:rFonts w:hint="eastAsia" w:ascii="方正黑体_GBK" w:hAnsi="Calibri" w:eastAsia="方正黑体_GBK"/>
          <w:sz w:val="28"/>
          <w:szCs w:val="22"/>
        </w:rPr>
        <w:instrText xml:space="preserve"> \f A \l 1</w:instrText>
      </w:r>
      <w:r>
        <w:rPr>
          <w:rFonts w:ascii="方正黑体_GBK" w:hAnsi="Calibri" w:eastAsia="方正黑体_GBK"/>
          <w:sz w:val="28"/>
          <w:szCs w:val="22"/>
        </w:rPr>
        <w:instrText xml:space="preserve"> </w:instrText>
      </w:r>
      <w:r>
        <w:rPr>
          <w:rFonts w:ascii="方正黑体_GBK" w:hAnsi="Calibri" w:eastAsia="方正黑体_GBK"/>
          <w:sz w:val="28"/>
          <w:szCs w:val="22"/>
        </w:rPr>
        <w:fldChar w:fldCharType="end"/>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实现本年度发展规划目标保障措施</w:t>
      </w:r>
    </w:p>
    <w:p>
      <w:pPr>
        <w:spacing w:line="500" w:lineRule="exact"/>
        <w:ind w:firstLine="560" w:firstLineChars="200"/>
        <w:jc w:val="left"/>
        <w:rPr>
          <w:rFonts w:hAnsi="Calibri" w:eastAsia="方正仿宋_GBK"/>
          <w:sz w:val="28"/>
          <w:szCs w:val="22"/>
        </w:rPr>
      </w:pPr>
      <w:r>
        <w:rPr>
          <w:rFonts w:hAnsi="Calibri" w:eastAsia="方正仿宋_GBK"/>
          <w:sz w:val="28"/>
          <w:szCs w:val="22"/>
        </w:rPr>
        <w:t>1</w:t>
      </w:r>
      <w:r>
        <w:rPr>
          <w:rFonts w:hint="eastAsia" w:hAnsi="宋体" w:eastAsia="方正仿宋_GBK" w:cs="宋体"/>
          <w:sz w:val="28"/>
          <w:szCs w:val="22"/>
        </w:rPr>
        <w:t>、按照公共财政改革和稳健财政政策的要求，逐步规范公共财政供给和保障范围，大力压缩政府一般性支出。</w:t>
      </w:r>
    </w:p>
    <w:p>
      <w:pPr>
        <w:spacing w:line="500" w:lineRule="exact"/>
        <w:ind w:firstLine="560" w:firstLineChars="200"/>
        <w:jc w:val="left"/>
        <w:rPr>
          <w:rFonts w:hAnsi="Calibri" w:eastAsia="方正仿宋_GBK"/>
          <w:sz w:val="28"/>
          <w:szCs w:val="22"/>
        </w:rPr>
      </w:pPr>
      <w:r>
        <w:rPr>
          <w:rFonts w:hAnsi="Calibri" w:eastAsia="方正仿宋_GBK"/>
          <w:sz w:val="28"/>
          <w:szCs w:val="22"/>
        </w:rPr>
        <w:t>2</w:t>
      </w:r>
      <w:r>
        <w:rPr>
          <w:rFonts w:hint="eastAsia" w:hAnsi="宋体" w:eastAsia="方正仿宋_GBK" w:cs="宋体"/>
          <w:sz w:val="28"/>
          <w:szCs w:val="22"/>
        </w:rPr>
        <w:t>、深化预算编制制度改革，提高预算编制和执行质量，按照公共财政的要求，进一步完善预算编制内容，规范预算编制程序，改进预算编制和管理办法，逐步建立公平、透明、规范、高效的政府预算管理制度。通过提高预算编制的透明度、接受人大和审计等部门和社会公众的外部监督，促进预算编制质量和执行效率的提高。进一步完善综合预算改革，全面推行政府收支分类改革。大力推进以财政评审为载体的财政支出预算绩效考评制度，衡量预算支出编制和执行的经济性、有效性和效率性，及时发现问题、提出改进和加强财政支出预算管理的意见和措施，在此基础上探索绩效预算改革思路和办法。</w:t>
      </w:r>
    </w:p>
    <w:p>
      <w:pPr>
        <w:spacing w:line="500" w:lineRule="exact"/>
        <w:ind w:firstLine="560" w:firstLineChars="200"/>
        <w:jc w:val="left"/>
        <w:rPr>
          <w:rFonts w:hAnsi="宋体" w:eastAsia="方正仿宋_GBK" w:cs="宋体"/>
          <w:sz w:val="28"/>
          <w:szCs w:val="22"/>
        </w:rPr>
      </w:pPr>
      <w:r>
        <w:rPr>
          <w:rFonts w:hAnsi="Calibri" w:eastAsia="方正仿宋_GBK"/>
          <w:sz w:val="28"/>
          <w:szCs w:val="22"/>
        </w:rPr>
        <w:t>3</w:t>
      </w:r>
      <w:r>
        <w:rPr>
          <w:rFonts w:hint="eastAsia" w:hAnsi="宋体" w:eastAsia="方正仿宋_GBK" w:cs="宋体"/>
          <w:sz w:val="28"/>
          <w:szCs w:val="22"/>
        </w:rPr>
        <w:t>、继续完善政府支出制度，积极推进公务用车制度改革。为节约一般性支出，通过强化部门综合预算管理，加强公务车和会议管理，实行公务车维修、加油和会议由办公室统一管理安排制度。</w:t>
      </w:r>
    </w:p>
    <w:p>
      <w:pPr>
        <w:spacing w:line="500" w:lineRule="exact"/>
        <w:ind w:firstLine="560" w:firstLineChars="200"/>
        <w:jc w:val="left"/>
        <w:rPr>
          <w:rFonts w:hAnsi="宋体" w:eastAsia="方正仿宋_GBK" w:cs="宋体"/>
          <w:sz w:val="28"/>
          <w:szCs w:val="22"/>
        </w:rPr>
      </w:pPr>
    </w:p>
    <w:p>
      <w:pPr>
        <w:spacing w:line="500" w:lineRule="exact"/>
        <w:ind w:firstLine="560" w:firstLineChars="200"/>
        <w:jc w:val="left"/>
        <w:rPr>
          <w:rFonts w:hAnsi="宋体" w:eastAsia="方正仿宋_GBK" w:cs="宋体"/>
          <w:sz w:val="28"/>
          <w:szCs w:val="22"/>
        </w:rPr>
      </w:pPr>
    </w:p>
    <w:p>
      <w:pPr>
        <w:widowControl/>
        <w:spacing w:line="300" w:lineRule="exact"/>
        <w:jc w:val="center"/>
        <w:outlineLvl w:val="0"/>
        <w:rPr>
          <w:b/>
          <w:bCs/>
          <w:sz w:val="32"/>
          <w:szCs w:val="32"/>
        </w:rPr>
      </w:pPr>
      <w:r>
        <w:rPr>
          <w:rFonts w:hint="eastAsia"/>
          <w:b/>
          <w:bCs/>
          <w:sz w:val="32"/>
          <w:szCs w:val="32"/>
        </w:rPr>
        <w:t>部门职责-工作活动绩效目标</w:t>
      </w:r>
    </w:p>
    <w:tbl>
      <w:tblPr>
        <w:tblStyle w:val="5"/>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87"/>
        <w:gridCol w:w="29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tblHeader/>
          <w:jc w:val="center"/>
        </w:trPr>
        <w:tc>
          <w:tcPr>
            <w:tcW w:w="10986" w:type="dxa"/>
            <w:tcBorders>
              <w:top w:val="single" w:color="FFFFFF" w:sz="6" w:space="0"/>
              <w:left w:val="single" w:color="FFFFFF" w:sz="6" w:space="0"/>
              <w:bottom w:val="single" w:color="000000" w:sz="6" w:space="0"/>
              <w:right w:val="single" w:color="FFFFFF" w:sz="6" w:space="0"/>
            </w:tcBorders>
            <w:vAlign w:val="center"/>
          </w:tcPr>
          <w:p>
            <w:pPr>
              <w:widowControl/>
              <w:spacing w:line="300" w:lineRule="exact"/>
              <w:jc w:val="left"/>
              <w:outlineLvl w:val="0"/>
            </w:pPr>
            <w:r>
              <w:rPr>
                <w:rFonts w:hint="eastAsia"/>
              </w:rPr>
              <w:t xml:space="preserve">474丰润区泉河头镇人民政府 </w:t>
            </w:r>
            <w:r>
              <w:t xml:space="preserve">                                                                              </w:t>
            </w:r>
          </w:p>
        </w:tc>
        <w:tc>
          <w:tcPr>
            <w:tcW w:w="2948" w:type="dxa"/>
            <w:tcBorders>
              <w:top w:val="single" w:color="FFFFFF" w:sz="6" w:space="0"/>
              <w:left w:val="single" w:color="FFFFFF" w:sz="6" w:space="0"/>
              <w:bottom w:val="single" w:color="000000" w:sz="6" w:space="0"/>
              <w:right w:val="single" w:color="FFFFFF" w:sz="6" w:space="0"/>
            </w:tcBorders>
            <w:vAlign w:val="center"/>
          </w:tcPr>
          <w:p>
            <w:pPr>
              <w:widowControl/>
              <w:spacing w:line="300" w:lineRule="exact"/>
              <w:ind w:firstLine="1680" w:firstLineChars="800"/>
              <w:jc w:val="left"/>
              <w:outlineLvl w:val="0"/>
            </w:pPr>
            <w:r>
              <w:rPr>
                <w:rFonts w:hint="eastAsia"/>
              </w:rPr>
              <w:t>单位：元</w:t>
            </w:r>
          </w:p>
        </w:tc>
      </w:tr>
    </w:tbl>
    <w:p>
      <w:pPr>
        <w:widowControl/>
        <w:spacing w:line="300" w:lineRule="exact"/>
        <w:jc w:val="left"/>
        <w:outlineLvl w:val="0"/>
      </w:pPr>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一、党员和党组织建设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负责全镇党组织建设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加强基层领导班子建设；加强全县大学生村官队伍建设</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、基层党建</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负责全镇党组织建设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加强党组织建设和党员管理</w:t>
            </w:r>
          </w:p>
        </w:tc>
        <w:tc>
          <w:tcPr>
            <w:tcW w:w="1417" w:type="dxa"/>
            <w:shd w:val="clear" w:color="auto" w:fill="auto"/>
            <w:vAlign w:val="center"/>
          </w:tcPr>
          <w:p>
            <w:pPr>
              <w:spacing w:line="300" w:lineRule="exact"/>
              <w:jc w:val="left"/>
              <w:rPr>
                <w:rFonts w:ascii="宋体" w:hAnsi="宋体"/>
              </w:rPr>
            </w:pPr>
            <w:r>
              <w:rPr>
                <w:rFonts w:hint="eastAsia" w:ascii="宋体" w:hAnsi="宋体" w:cs="宋体"/>
              </w:rPr>
              <w:t>开展党员远程教育工作，发挥先进村示范带动作用，创建我镇特色占工作任务的比例大于等于90%。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二、干部管理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负责全镇干部队伍管理，干部教育培训</w:t>
            </w:r>
            <w:r>
              <w:rPr>
                <w:rFonts w:ascii="方正书宋_GBK" w:eastAsia="方正书宋_GBK"/>
              </w:rPr>
              <w:t>;</w:t>
            </w:r>
            <w:r>
              <w:rPr>
                <w:rFonts w:hint="eastAsia" w:ascii="方正书宋_GBK" w:eastAsia="方正书宋_GBK"/>
              </w:rPr>
              <w:t>对领导班子和领导干部的考核工作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落实国家工资政策和涉及领导干部收入分配的相关政策，准确高效办理工资及退休费审批</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、干部队伍管理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负责对全镇组织部门干部监督工作的综合、协调和宏观指导；负责干部的宏观管理和备案审查工作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培养锻炼干部，提高干部整体素质；进一步熟悉基层，更好开展工作。</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Calibri"/>
              </w:rPr>
              <w:t>建立规范的干部教育培训体系，培养锻炼干部，提高干部整体素质；进一步熟悉基层，更好开展工作。</w:t>
            </w:r>
            <w:r>
              <w:rPr>
                <w:rFonts w:hint="eastAsia" w:ascii="宋体" w:hAnsi="宋体" w:cs="宋体"/>
              </w:rPr>
              <w:t>对领导班子和领导干部的考核工作制订干部教育工作的方针、政策、规划，组织党员干部进行理论学习占工作任务的比例大于等于90%。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三、干部管理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干部教育培训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培养锻炼干部，提高干部整体素质；为各级领导班子储配人才</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、干部教育培训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主管全镇的干部教育工作。制订干部教育工作的方针、政策、规划</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建立规范的干部教育培训体系</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Calibri"/>
              </w:rPr>
              <w:t>建立规范的干部教育培训体系，培养锻炼干部，提高干部整体素质；进一步熟悉基层，更好开展工作。</w:t>
            </w:r>
            <w:r>
              <w:rPr>
                <w:rFonts w:hint="eastAsia" w:ascii="宋体" w:hAnsi="宋体" w:cs="宋体"/>
              </w:rPr>
              <w:t>对领导班子和领导干部的考核工作制订干部教育工作的方针、政策、规划，组织党员干部进行理论学习占工作任务的比例大于等于90%。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四、宣传思想工作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加强舆论舆情引导管理；协调互联网宣传和信息内容管理；加强精神文明建设。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弘扬主旋律，汇聚正能量，为经济社会发展提供有力的思想保证、精神动力、舆论支持。</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、思想政治工作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部署思想政治工作任务，践行社会主义核心价值观，宣传推广先进典型，加强爱国主义教育基地建设和全民国防教育，加强基层党员教育，组织开展系列宣传教育活动。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完成思想政治工作重大任务，推进社会主义核心价值观落地生根。</w:t>
            </w:r>
          </w:p>
        </w:tc>
        <w:tc>
          <w:tcPr>
            <w:tcW w:w="1417" w:type="dxa"/>
            <w:shd w:val="clear" w:color="auto" w:fill="auto"/>
            <w:vAlign w:val="center"/>
          </w:tcPr>
          <w:p>
            <w:pPr>
              <w:ind w:firstLine="420" w:firstLineChars="200"/>
              <w:rPr>
                <w:rFonts w:ascii="宋体" w:hAnsi="宋体" w:cs="宋体"/>
                <w:b/>
                <w:bCs/>
              </w:rPr>
            </w:pPr>
            <w:r>
              <w:rPr>
                <w:rFonts w:hint="eastAsia" w:ascii="宋体" w:hAnsi="宋体" w:cs="宋体"/>
                <w:lang w:eastAsia="zh-CN"/>
              </w:rPr>
              <w:t>开展社会主义核心价值观</w:t>
            </w:r>
            <w:r>
              <w:rPr>
                <w:rFonts w:hint="eastAsia" w:ascii="宋体" w:hAnsi="宋体" w:cs="宋体"/>
              </w:rPr>
              <w:t>宣传教育、公益广告宣传、志愿服务等活动占工作任务的比例大于等于95%。</w:t>
            </w:r>
          </w:p>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五、办案问责</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受理信访、举报，集中管理问题线索、组织协调案件查办，调查、审查违纪违法案件，对案件审理提出处理意见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维护党纪国法尊严，坚决惩处腐败分子，有效遏制腐败现象。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、案件查办</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对有关对象违反党纪政纪和违纪违法行为进行处理；组织协调案件查办工作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维护党纪国法尊严，坚决惩处腐败分子，有效遏制腐败现象。</w:t>
            </w:r>
          </w:p>
        </w:tc>
        <w:tc>
          <w:tcPr>
            <w:tcW w:w="1417" w:type="dxa"/>
            <w:shd w:val="clear" w:color="auto" w:fill="auto"/>
            <w:vAlign w:val="center"/>
          </w:tcPr>
          <w:p>
            <w:pPr>
              <w:ind w:firstLine="420" w:firstLineChars="200"/>
              <w:rPr>
                <w:rFonts w:ascii="宋体" w:hAnsi="宋体" w:cs="宋体"/>
                <w:b/>
                <w:bCs/>
                <w:sz w:val="32"/>
                <w:szCs w:val="32"/>
              </w:rPr>
            </w:pPr>
            <w:r>
              <w:rPr>
                <w:rFonts w:hint="eastAsia" w:ascii="宋体" w:hAnsi="宋体" w:cs="宋体"/>
              </w:rPr>
              <w:t>镇党政领导包联化解信访事项全年不少于5件，认真落实初信初访首接首办责任，力争初信初访化解占工作任务的比例大于等于100%。</w:t>
            </w:r>
          </w:p>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六、党风廉政建设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组织协调全镇党风廉政建设和反腐败宣传、教育、课题研究、法规起草修订等工作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、党风廉政建设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组织协调全镇党风廉政建设和反腐败宣传教育工作，开展对党员、公务员的廉洁自律教育。</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Calibri"/>
              </w:rPr>
              <w:t>实际开展教育活动次数占计划组织活动次数比重大于等于95%。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七、推进新农村建设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237000.00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通过实施农村面貌改造提升行动，加快建设社会主义新农村。</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、农村面貌改造提升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237000.00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按照统筹城镇发展要求，组织实施农村面貌改造提升行动。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突出重点，因地制宜，开展农村面貌改造提升。保障村委会正常运转。</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Calibri"/>
              </w:rPr>
              <w:t>当年完成建设任务的重点村占全部重点村的比例大于等于95%。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八、双拥优抚安置政策及管理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承担社会救助体系建设，组织对优抚对象的优待、抚恤的政策落实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、优待抚恤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负责镇级优抚对象优待、抚恤工作；负责优抚对象数据更新管理；承担优抚对象巡诊工作。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优抚对象的生活、住房、医疗困难得到有效解决，义务兵家庭优待工作全面落实。</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Calibri"/>
              </w:rPr>
              <w:t>优抚对象生活抚恤对付资金占应兑付额的比例大于等于95%。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九、社会管理与服务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组织指导基层政权建设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建立健全城镇基层群众自治组织，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、基层政权建设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组织指导农村干部培训；指导村（居）民委员会民主选举、民主决策、民主管理和民主监督，村（居）务公开</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建立健全基层群众自治组织，在村（居）民委员会实行</w:t>
            </w:r>
            <w:r>
              <w:rPr>
                <w:rFonts w:hint="cs" w:ascii="方正书宋_GBK" w:eastAsia="方正书宋_GBK"/>
              </w:rPr>
              <w:t>“</w:t>
            </w:r>
            <w:r>
              <w:rPr>
                <w:rFonts w:hint="eastAsia" w:ascii="方正书宋_GBK" w:eastAsia="方正书宋_GBK"/>
              </w:rPr>
              <w:t>四个民主</w:t>
            </w:r>
            <w:r>
              <w:rPr>
                <w:rFonts w:hint="cs" w:ascii="方正书宋_GBK" w:eastAsia="方正书宋_GBK"/>
              </w:rPr>
              <w:t>”</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宋体"/>
              </w:rPr>
              <w:t>指导17个村民委员会民主选举，指导村民主决策、民主管理、民主监督以及居务公开占工作任务的比例大于等于90%。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十、卫计政务管理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监督指导卫生计生相关法律法规落实情况，承担政务公开和业务宣传工作，加强卫生计生能力建设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保障卫生计生事业顺利发展。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开展卫生计生规划、统计、法制、政策研究、宣传教育、行业改革，拟定行业标准，监督政策落实等各项综合业务工作。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保障卫生计生法律法规的落实，提升卫生计生工作规范化和法制化水平。</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宋体"/>
              </w:rPr>
              <w:t>开展卫生计生规划、统计、法制、政策研究、宣传教育占工作任务的比例大于等于85%。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十一、政务服务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完成政务信息公开工作的指导监督工作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、政务公开</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指导和协调全镇政务公开及政务服务中心建设、推进行政服务体系标准化建设工作。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通过完成政务信息公开工作的指导监督工作，使政府信息公开业务队伍素质不断提高</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Calibri"/>
              </w:rPr>
              <w:t>全镇政务公开数量占全年政务公开任务的比例大于等于95%。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十二、政务服务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镇政府会议管理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做好镇政府会议保障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、会议管理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镇政府会议的准备和服务工作，协助镇政府领导组织会议决定事项的落实。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做好镇政府会议保障；控制会议费开支规模。</w:t>
            </w:r>
          </w:p>
        </w:tc>
        <w:tc>
          <w:tcPr>
            <w:tcW w:w="1417" w:type="dxa"/>
            <w:shd w:val="clear" w:color="auto" w:fill="auto"/>
            <w:vAlign w:val="center"/>
          </w:tcPr>
          <w:p>
            <w:pPr>
              <w:spacing w:line="300" w:lineRule="exact"/>
              <w:jc w:val="left"/>
              <w:rPr>
                <w:rFonts w:ascii="方正书宋_GBK" w:eastAsia="方正书宋_GBK"/>
              </w:rPr>
            </w:pPr>
            <w:r>
              <w:rPr>
                <w:rFonts w:hint="eastAsia"/>
                <w:bCs/>
              </w:rPr>
              <w:t>全镇会议质量的优良率达到90%。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十三、政务服务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机关后勤工作、督察督办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基础工作有创新、常规工作见特色</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保障机关后勤工作；组织实施机关事务工作人员岗位培训，。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推进机关事务管理工作科学发展；提高管理、保障、服务水平</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Calibri"/>
              </w:rPr>
              <w:t>全镇机关事务管理综合业务工作完成率大于等于95%。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十四、应急管理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镇政府值班工作，及时报告重要情况，传达和督促落实镇政府领导指示。</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有效保证镇政府日常应急值守和突发事件应对处置工作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、应急管理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镇政府值班工作，及时报告重要情况，传达和督促落实镇政府领导指示。</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确保全镇应急工作顺利完成；各类突发事件得到及时妥善处置</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宋体"/>
              </w:rPr>
              <w:t>有效保证办事处日常应急值守和突发事件应对处置工作等，各项综合业务工作完成占工作任务的比例大于等于95%。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&lt;75%</w:t>
            </w:r>
          </w:p>
        </w:tc>
      </w:tr>
    </w:tbl>
    <w:p>
      <w:pPr>
        <w:widowControl/>
        <w:spacing w:line="300" w:lineRule="exact"/>
        <w:jc w:val="left"/>
        <w:outlineLvl w:val="0"/>
      </w:pPr>
    </w:p>
    <w:p>
      <w:pPr>
        <w:widowControl/>
        <w:spacing w:line="300" w:lineRule="exact"/>
        <w:jc w:val="left"/>
        <w:outlineLvl w:val="0"/>
      </w:pPr>
      <w:r>
        <w:rPr>
          <w:rFonts w:hint="eastAsia"/>
        </w:rPr>
        <w:t>备注：表中的年度预算数为项目支出，部门工作活动虽未安排项目支出，但由基本支出保障，由于基本支出无法拆分到相应的工作活动，因此部分工作活动没有列示年度预算数。</w:t>
      </w:r>
    </w:p>
    <w:p>
      <w:pPr>
        <w:widowControl/>
        <w:spacing w:line="300" w:lineRule="exact"/>
        <w:jc w:val="left"/>
        <w:outlineLvl w:val="0"/>
        <w:sectPr>
          <w:pgSz w:w="16839" w:h="11907" w:orient="landscape"/>
          <w:pgMar w:top="1020" w:right="1361" w:bottom="1020" w:left="1361" w:header="851" w:footer="992" w:gutter="0"/>
          <w:cols w:space="720" w:num="1"/>
          <w:docGrid w:type="lines" w:linePitch="312" w:charSpace="0"/>
        </w:sectPr>
      </w:pPr>
    </w:p>
    <w:p>
      <w:pPr>
        <w:snapToGrid w:val="0"/>
        <w:spacing w:line="588" w:lineRule="exact"/>
        <w:rPr>
          <w:rFonts w:ascii="宋体" w:hAnsi="宋体"/>
          <w:b/>
          <w:sz w:val="32"/>
          <w:szCs w:val="32"/>
        </w:rPr>
      </w:pPr>
      <w:r>
        <w:rPr>
          <w:rFonts w:hint="eastAsia" w:ascii="宋体" w:hAnsi="宋体"/>
          <w:sz w:val="32"/>
          <w:szCs w:val="32"/>
        </w:rPr>
        <w:t xml:space="preserve">   </w:t>
      </w:r>
      <w:r>
        <w:rPr>
          <w:rFonts w:hint="eastAsia" w:ascii="宋体" w:hAnsi="宋体"/>
          <w:b/>
          <w:sz w:val="32"/>
          <w:szCs w:val="32"/>
        </w:rPr>
        <w:t xml:space="preserve"> </w:t>
      </w:r>
    </w:p>
    <w:p>
      <w:pPr>
        <w:snapToGrid w:val="0"/>
        <w:spacing w:line="588" w:lineRule="exact"/>
        <w:ind w:firstLine="321" w:firstLineChars="100"/>
        <w:rPr>
          <w:rFonts w:ascii="宋体" w:hAnsi="宋体"/>
          <w:b/>
          <w:sz w:val="32"/>
          <w:szCs w:val="32"/>
        </w:rPr>
      </w:pPr>
      <w:r>
        <w:rPr>
          <w:rFonts w:hint="eastAsia" w:ascii="宋体" w:hAnsi="宋体"/>
          <w:b/>
          <w:sz w:val="32"/>
          <w:szCs w:val="32"/>
        </w:rPr>
        <w:t>六、政府采购预算情况</w:t>
      </w:r>
    </w:p>
    <w:p>
      <w:pPr>
        <w:snapToGrid w:val="0"/>
        <w:spacing w:line="588" w:lineRule="exact"/>
        <w:ind w:firstLine="313" w:firstLineChars="98"/>
        <w:rPr>
          <w:rFonts w:ascii="宋体" w:hAnsi="宋体"/>
          <w:sz w:val="32"/>
          <w:szCs w:val="32"/>
        </w:rPr>
      </w:pPr>
      <w:r>
        <w:rPr>
          <w:rFonts w:hint="eastAsia" w:ascii="宋体" w:hAnsi="宋体"/>
          <w:sz w:val="32"/>
          <w:szCs w:val="32"/>
        </w:rPr>
        <w:t>2019年无政府采购预算。</w:t>
      </w:r>
    </w:p>
    <w:p>
      <w:pPr>
        <w:snapToGrid w:val="0"/>
        <w:spacing w:line="588" w:lineRule="exact"/>
        <w:ind w:firstLine="321" w:firstLineChars="100"/>
        <w:rPr>
          <w:rFonts w:ascii="仿宋" w:hAnsi="仿宋" w:eastAsia="仿宋"/>
          <w:b/>
          <w:sz w:val="32"/>
          <w:szCs w:val="32"/>
        </w:rPr>
      </w:pPr>
      <w:r>
        <w:rPr>
          <w:rFonts w:hint="eastAsia" w:ascii="仿宋" w:hAnsi="仿宋" w:eastAsia="仿宋"/>
          <w:b/>
          <w:sz w:val="32"/>
          <w:szCs w:val="32"/>
        </w:rPr>
        <w:t>七、国有资产情况</w:t>
      </w:r>
    </w:p>
    <w:p>
      <w:pPr>
        <w:snapToGrid w:val="0"/>
        <w:spacing w:line="588" w:lineRule="exact"/>
        <w:ind w:firstLine="321" w:firstLineChars="100"/>
        <w:rPr>
          <w:rFonts w:ascii="仿宋" w:hAnsi="仿宋" w:eastAsia="仿宋"/>
          <w:sz w:val="32"/>
          <w:szCs w:val="32"/>
        </w:rPr>
      </w:pPr>
      <w:r>
        <w:rPr>
          <w:rFonts w:hint="eastAsia" w:ascii="仿宋" w:hAnsi="仿宋" w:eastAsia="仿宋"/>
          <w:b/>
          <w:sz w:val="32"/>
          <w:szCs w:val="32"/>
        </w:rPr>
        <w:t xml:space="preserve"> </w:t>
      </w:r>
      <w:r>
        <w:rPr>
          <w:rFonts w:ascii="仿宋" w:hAnsi="仿宋" w:eastAsia="仿宋"/>
          <w:sz w:val="32"/>
          <w:szCs w:val="32"/>
        </w:rPr>
        <w:t xml:space="preserve"> </w:t>
      </w:r>
      <w:r>
        <w:rPr>
          <w:rFonts w:hint="eastAsia" w:ascii="仿宋" w:hAnsi="仿宋" w:eastAsia="仿宋"/>
          <w:sz w:val="32"/>
          <w:szCs w:val="32"/>
        </w:rPr>
        <w:t>2019年无固定资产购置安排。</w:t>
      </w:r>
    </w:p>
    <w:p>
      <w:pPr>
        <w:widowControl/>
        <w:ind w:firstLine="640" w:firstLineChars="200"/>
        <w:jc w:val="left"/>
        <w:rPr>
          <w:rFonts w:ascii="宋体" w:hAnsi="宋体" w:cs="Courier New"/>
          <w:kern w:val="0"/>
          <w:sz w:val="32"/>
          <w:szCs w:val="32"/>
        </w:rPr>
      </w:pPr>
      <w:r>
        <w:rPr>
          <w:rFonts w:ascii="宋体" w:hAnsi="宋体" w:cs="Courier New"/>
          <w:color w:val="000000"/>
          <w:kern w:val="0"/>
          <w:sz w:val="32"/>
          <w:szCs w:val="32"/>
        </w:rPr>
        <w:t>201</w:t>
      </w:r>
      <w:r>
        <w:rPr>
          <w:rFonts w:hint="eastAsia" w:ascii="宋体" w:hAnsi="宋体" w:cs="Courier New"/>
          <w:color w:val="000000"/>
          <w:kern w:val="0"/>
          <w:sz w:val="32"/>
          <w:szCs w:val="32"/>
        </w:rPr>
        <w:t>8年底固定资产原值1579863.65元，比</w:t>
      </w:r>
      <w:r>
        <w:rPr>
          <w:rFonts w:ascii="宋体" w:hAnsi="宋体" w:cs="Courier New"/>
          <w:color w:val="000000"/>
          <w:kern w:val="0"/>
          <w:sz w:val="32"/>
          <w:szCs w:val="32"/>
        </w:rPr>
        <w:t>201</w:t>
      </w:r>
      <w:r>
        <w:rPr>
          <w:rFonts w:hint="eastAsia" w:ascii="宋体" w:hAnsi="宋体" w:cs="Courier New"/>
          <w:color w:val="000000"/>
          <w:kern w:val="0"/>
          <w:sz w:val="32"/>
          <w:szCs w:val="32"/>
        </w:rPr>
        <w:t>7年固定资产原值1466217.2</w:t>
      </w:r>
      <w:r>
        <w:rPr>
          <w:rFonts w:hint="eastAsia" w:ascii="宋体" w:hAnsi="宋体" w:cs="Courier New"/>
          <w:kern w:val="0"/>
          <w:sz w:val="32"/>
          <w:szCs w:val="32"/>
        </w:rPr>
        <w:t>元增加了113646.45元。增加固定资产主要为环保所购置车辆、电脑主机、打印机、传真机，纪检划拨记录仪、打印机、电脑和财政所购置电脑等。</w:t>
      </w:r>
    </w:p>
    <w:p>
      <w:pPr>
        <w:snapToGrid w:val="0"/>
        <w:spacing w:line="588" w:lineRule="exact"/>
        <w:ind w:firstLine="480" w:firstLineChars="150"/>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部门固定资产占用情况表</w:t>
      </w:r>
    </w:p>
    <w:p>
      <w:pPr>
        <w:snapToGrid w:val="0"/>
        <w:spacing w:line="588" w:lineRule="exact"/>
        <w:rPr>
          <w:rFonts w:ascii="仿宋" w:hAnsi="仿宋" w:eastAsia="仿宋"/>
          <w:sz w:val="24"/>
          <w:szCs w:val="24"/>
        </w:rPr>
      </w:pPr>
      <w:r>
        <w:rPr>
          <w:rFonts w:hint="eastAsia" w:ascii="仿宋" w:hAnsi="仿宋" w:eastAsia="仿宋"/>
          <w:sz w:val="24"/>
          <w:szCs w:val="24"/>
        </w:rPr>
        <w:t>编制部门：唐山市丰润区泉河头镇人民政府     截止时间：2018年12月31日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1065"/>
        <w:gridCol w:w="2479"/>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snapToGrid w:val="0"/>
              <w:spacing w:line="588" w:lineRule="exact"/>
              <w:rPr>
                <w:rFonts w:ascii="仿宋" w:hAnsi="仿宋" w:eastAsia="仿宋"/>
                <w:sz w:val="28"/>
                <w:szCs w:val="28"/>
              </w:rPr>
            </w:pPr>
            <w:r>
              <w:rPr>
                <w:rFonts w:hint="eastAsia" w:ascii="仿宋" w:hAnsi="仿宋" w:eastAsia="仿宋"/>
                <w:sz w:val="28"/>
                <w:szCs w:val="28"/>
              </w:rPr>
              <w:t>项目</w:t>
            </w:r>
          </w:p>
        </w:tc>
        <w:tc>
          <w:tcPr>
            <w:tcW w:w="1065" w:type="dxa"/>
          </w:tcPr>
          <w:p>
            <w:pPr>
              <w:snapToGrid w:val="0"/>
              <w:spacing w:line="588" w:lineRule="exact"/>
              <w:rPr>
                <w:rFonts w:ascii="仿宋" w:hAnsi="仿宋" w:eastAsia="仿宋"/>
                <w:sz w:val="28"/>
                <w:szCs w:val="28"/>
              </w:rPr>
            </w:pPr>
            <w:r>
              <w:rPr>
                <w:rFonts w:hint="eastAsia" w:ascii="仿宋" w:hAnsi="仿宋" w:eastAsia="仿宋"/>
                <w:sz w:val="28"/>
                <w:szCs w:val="28"/>
              </w:rPr>
              <w:t>数量</w:t>
            </w:r>
          </w:p>
        </w:tc>
        <w:tc>
          <w:tcPr>
            <w:tcW w:w="2479" w:type="dxa"/>
          </w:tcPr>
          <w:p>
            <w:pPr>
              <w:snapToGrid w:val="0"/>
              <w:spacing w:line="588" w:lineRule="exact"/>
              <w:rPr>
                <w:rFonts w:ascii="仿宋" w:hAnsi="仿宋" w:eastAsia="仿宋"/>
                <w:sz w:val="28"/>
                <w:szCs w:val="28"/>
              </w:rPr>
            </w:pPr>
            <w:r>
              <w:rPr>
                <w:rFonts w:hint="eastAsia" w:ascii="仿宋" w:hAnsi="仿宋" w:eastAsia="仿宋"/>
                <w:sz w:val="28"/>
                <w:szCs w:val="28"/>
              </w:rPr>
              <w:t>价值（金额单位：元）</w:t>
            </w:r>
          </w:p>
        </w:tc>
        <w:tc>
          <w:tcPr>
            <w:tcW w:w="2471" w:type="dxa"/>
          </w:tcPr>
          <w:p>
            <w:pPr>
              <w:snapToGrid w:val="0"/>
              <w:spacing w:line="588"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snapToGrid w:val="0"/>
              <w:spacing w:line="588" w:lineRule="exact"/>
              <w:rPr>
                <w:rFonts w:ascii="仿宋" w:hAnsi="仿宋" w:eastAsia="仿宋"/>
                <w:sz w:val="28"/>
                <w:szCs w:val="28"/>
              </w:rPr>
            </w:pPr>
            <w:r>
              <w:rPr>
                <w:rFonts w:hint="eastAsia" w:ascii="仿宋" w:hAnsi="仿宋" w:eastAsia="仿宋"/>
                <w:sz w:val="28"/>
                <w:szCs w:val="28"/>
              </w:rPr>
              <w:t>资产总额</w:t>
            </w:r>
          </w:p>
        </w:tc>
        <w:tc>
          <w:tcPr>
            <w:tcW w:w="1065" w:type="dxa"/>
          </w:tcPr>
          <w:p>
            <w:pPr>
              <w:snapToGrid w:val="0"/>
              <w:spacing w:line="588" w:lineRule="exact"/>
              <w:jc w:val="center"/>
              <w:rPr>
                <w:rFonts w:ascii="仿宋" w:hAnsi="仿宋" w:eastAsia="仿宋"/>
                <w:sz w:val="28"/>
                <w:szCs w:val="28"/>
              </w:rPr>
            </w:pPr>
            <w:r>
              <w:rPr>
                <w:rFonts w:hint="eastAsia" w:ascii="仿宋" w:hAnsi="仿宋" w:eastAsia="仿宋"/>
                <w:sz w:val="28"/>
                <w:szCs w:val="28"/>
              </w:rPr>
              <w:t>------</w:t>
            </w:r>
          </w:p>
        </w:tc>
        <w:tc>
          <w:tcPr>
            <w:tcW w:w="2479" w:type="dxa"/>
          </w:tcPr>
          <w:p>
            <w:pPr>
              <w:snapToGrid w:val="0"/>
              <w:spacing w:line="588" w:lineRule="exact"/>
              <w:jc w:val="center"/>
              <w:rPr>
                <w:rFonts w:ascii="仿宋" w:hAnsi="仿宋" w:eastAsia="仿宋"/>
                <w:sz w:val="28"/>
                <w:szCs w:val="28"/>
              </w:rPr>
            </w:pPr>
            <w:r>
              <w:rPr>
                <w:rFonts w:hint="eastAsia" w:ascii="仿宋" w:hAnsi="仿宋" w:eastAsia="仿宋"/>
                <w:sz w:val="28"/>
                <w:szCs w:val="28"/>
              </w:rPr>
              <w:t>1579863.65</w:t>
            </w:r>
          </w:p>
        </w:tc>
        <w:tc>
          <w:tcPr>
            <w:tcW w:w="2471" w:type="dxa"/>
          </w:tcPr>
          <w:p>
            <w:pPr>
              <w:snapToGrid w:val="0"/>
              <w:spacing w:line="588"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snapToGrid w:val="0"/>
              <w:spacing w:line="588" w:lineRule="exact"/>
              <w:rPr>
                <w:rFonts w:ascii="仿宋" w:hAnsi="仿宋" w:eastAsia="仿宋"/>
                <w:sz w:val="28"/>
                <w:szCs w:val="28"/>
              </w:rPr>
            </w:pPr>
            <w:r>
              <w:rPr>
                <w:rFonts w:hint="eastAsia" w:ascii="仿宋" w:hAnsi="仿宋" w:eastAsia="仿宋"/>
                <w:sz w:val="28"/>
                <w:szCs w:val="28"/>
              </w:rPr>
              <w:t>1、房屋（平方米）</w:t>
            </w:r>
          </w:p>
        </w:tc>
        <w:tc>
          <w:tcPr>
            <w:tcW w:w="1065" w:type="dxa"/>
          </w:tcPr>
          <w:p>
            <w:pPr>
              <w:snapToGrid w:val="0"/>
              <w:spacing w:line="588" w:lineRule="exact"/>
              <w:jc w:val="center"/>
              <w:rPr>
                <w:rFonts w:ascii="仿宋" w:hAnsi="仿宋" w:eastAsia="仿宋"/>
                <w:sz w:val="28"/>
                <w:szCs w:val="28"/>
              </w:rPr>
            </w:pPr>
          </w:p>
        </w:tc>
        <w:tc>
          <w:tcPr>
            <w:tcW w:w="2479" w:type="dxa"/>
          </w:tcPr>
          <w:p>
            <w:pPr>
              <w:snapToGrid w:val="0"/>
              <w:spacing w:line="588" w:lineRule="exact"/>
              <w:jc w:val="center"/>
              <w:rPr>
                <w:rFonts w:ascii="仿宋" w:hAnsi="仿宋" w:eastAsia="仿宋"/>
                <w:sz w:val="28"/>
                <w:szCs w:val="28"/>
              </w:rPr>
            </w:pPr>
            <w:r>
              <w:rPr>
                <w:rFonts w:hint="eastAsia" w:ascii="仿宋" w:hAnsi="仿宋" w:eastAsia="仿宋"/>
                <w:sz w:val="28"/>
                <w:szCs w:val="28"/>
              </w:rPr>
              <w:t>309698</w:t>
            </w:r>
          </w:p>
        </w:tc>
        <w:tc>
          <w:tcPr>
            <w:tcW w:w="2471" w:type="dxa"/>
          </w:tcPr>
          <w:p>
            <w:pPr>
              <w:snapToGrid w:val="0"/>
              <w:spacing w:line="588"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snapToGrid w:val="0"/>
              <w:spacing w:line="588" w:lineRule="exact"/>
              <w:rPr>
                <w:rFonts w:ascii="仿宋" w:hAnsi="仿宋" w:eastAsia="仿宋"/>
                <w:sz w:val="28"/>
                <w:szCs w:val="28"/>
              </w:rPr>
            </w:pPr>
            <w:r>
              <w:rPr>
                <w:rFonts w:hint="eastAsia" w:ascii="仿宋" w:hAnsi="仿宋" w:eastAsia="仿宋"/>
                <w:sz w:val="28"/>
                <w:szCs w:val="28"/>
              </w:rPr>
              <w:t>2、车辆（台、辆）</w:t>
            </w:r>
          </w:p>
        </w:tc>
        <w:tc>
          <w:tcPr>
            <w:tcW w:w="1065" w:type="dxa"/>
          </w:tcPr>
          <w:p>
            <w:pPr>
              <w:snapToGrid w:val="0"/>
              <w:spacing w:line="588" w:lineRule="exact"/>
              <w:jc w:val="center"/>
              <w:rPr>
                <w:rFonts w:ascii="仿宋" w:hAnsi="仿宋" w:eastAsia="仿宋"/>
                <w:sz w:val="28"/>
                <w:szCs w:val="28"/>
              </w:rPr>
            </w:pPr>
            <w:r>
              <w:rPr>
                <w:rFonts w:hint="eastAsia" w:ascii="仿宋" w:hAnsi="仿宋" w:eastAsia="仿宋"/>
                <w:sz w:val="28"/>
                <w:szCs w:val="28"/>
              </w:rPr>
              <w:t>6</w:t>
            </w:r>
          </w:p>
        </w:tc>
        <w:tc>
          <w:tcPr>
            <w:tcW w:w="2479" w:type="dxa"/>
          </w:tcPr>
          <w:p>
            <w:pPr>
              <w:snapToGrid w:val="0"/>
              <w:spacing w:line="588" w:lineRule="exact"/>
              <w:jc w:val="center"/>
              <w:rPr>
                <w:rFonts w:ascii="仿宋" w:hAnsi="仿宋" w:eastAsia="仿宋"/>
                <w:sz w:val="28"/>
                <w:szCs w:val="28"/>
              </w:rPr>
            </w:pPr>
            <w:r>
              <w:rPr>
                <w:rFonts w:hint="eastAsia" w:ascii="仿宋" w:hAnsi="仿宋" w:eastAsia="仿宋"/>
                <w:sz w:val="28"/>
                <w:szCs w:val="28"/>
              </w:rPr>
              <w:t>656728.65</w:t>
            </w:r>
          </w:p>
        </w:tc>
        <w:tc>
          <w:tcPr>
            <w:tcW w:w="2471" w:type="dxa"/>
          </w:tcPr>
          <w:p>
            <w:pPr>
              <w:snapToGrid w:val="0"/>
              <w:spacing w:line="588"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snapToGrid w:val="0"/>
              <w:spacing w:line="588" w:lineRule="exact"/>
              <w:rPr>
                <w:rFonts w:ascii="仿宋" w:hAnsi="仿宋" w:eastAsia="仿宋"/>
                <w:sz w:val="28"/>
                <w:szCs w:val="28"/>
              </w:rPr>
            </w:pPr>
            <w:r>
              <w:rPr>
                <w:rFonts w:hint="eastAsia" w:ascii="仿宋" w:hAnsi="仿宋" w:eastAsia="仿宋"/>
                <w:sz w:val="28"/>
                <w:szCs w:val="28"/>
              </w:rPr>
              <w:t>3、单价在20万元以上设备</w:t>
            </w:r>
          </w:p>
        </w:tc>
        <w:tc>
          <w:tcPr>
            <w:tcW w:w="1065" w:type="dxa"/>
          </w:tcPr>
          <w:p>
            <w:pPr>
              <w:snapToGrid w:val="0"/>
              <w:spacing w:line="588" w:lineRule="exact"/>
              <w:jc w:val="center"/>
              <w:rPr>
                <w:rFonts w:ascii="仿宋" w:hAnsi="仿宋" w:eastAsia="仿宋"/>
                <w:sz w:val="28"/>
                <w:szCs w:val="28"/>
              </w:rPr>
            </w:pPr>
            <w:r>
              <w:rPr>
                <w:rFonts w:hint="eastAsia" w:ascii="仿宋" w:hAnsi="仿宋" w:eastAsia="仿宋"/>
                <w:sz w:val="28"/>
                <w:szCs w:val="28"/>
              </w:rPr>
              <w:t>------</w:t>
            </w:r>
          </w:p>
        </w:tc>
        <w:tc>
          <w:tcPr>
            <w:tcW w:w="2479" w:type="dxa"/>
          </w:tcPr>
          <w:p>
            <w:pPr>
              <w:snapToGrid w:val="0"/>
              <w:spacing w:line="588" w:lineRule="exact"/>
              <w:jc w:val="center"/>
              <w:rPr>
                <w:rFonts w:ascii="仿宋" w:hAnsi="仿宋" w:eastAsia="仿宋"/>
                <w:sz w:val="28"/>
                <w:szCs w:val="28"/>
              </w:rPr>
            </w:pPr>
          </w:p>
        </w:tc>
        <w:tc>
          <w:tcPr>
            <w:tcW w:w="2471" w:type="dxa"/>
          </w:tcPr>
          <w:p>
            <w:pPr>
              <w:snapToGrid w:val="0"/>
              <w:spacing w:line="588"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snapToGrid w:val="0"/>
              <w:spacing w:line="588" w:lineRule="exact"/>
              <w:rPr>
                <w:rFonts w:ascii="仿宋" w:hAnsi="仿宋" w:eastAsia="仿宋"/>
                <w:sz w:val="28"/>
                <w:szCs w:val="28"/>
              </w:rPr>
            </w:pPr>
            <w:r>
              <w:rPr>
                <w:rFonts w:hint="eastAsia" w:ascii="仿宋" w:hAnsi="仿宋" w:eastAsia="仿宋"/>
                <w:sz w:val="28"/>
                <w:szCs w:val="28"/>
              </w:rPr>
              <w:t>4、其他固定资产</w:t>
            </w:r>
          </w:p>
        </w:tc>
        <w:tc>
          <w:tcPr>
            <w:tcW w:w="1065" w:type="dxa"/>
          </w:tcPr>
          <w:p>
            <w:pPr>
              <w:snapToGrid w:val="0"/>
              <w:spacing w:line="588" w:lineRule="exact"/>
              <w:jc w:val="center"/>
              <w:rPr>
                <w:rFonts w:ascii="仿宋" w:hAnsi="仿宋" w:eastAsia="仿宋"/>
                <w:sz w:val="28"/>
                <w:szCs w:val="28"/>
              </w:rPr>
            </w:pPr>
          </w:p>
        </w:tc>
        <w:tc>
          <w:tcPr>
            <w:tcW w:w="2479" w:type="dxa"/>
          </w:tcPr>
          <w:p>
            <w:pPr>
              <w:snapToGrid w:val="0"/>
              <w:spacing w:line="588" w:lineRule="exact"/>
              <w:jc w:val="center"/>
              <w:rPr>
                <w:rFonts w:ascii="仿宋" w:hAnsi="仿宋" w:eastAsia="仿宋"/>
                <w:sz w:val="28"/>
                <w:szCs w:val="28"/>
              </w:rPr>
            </w:pPr>
            <w:r>
              <w:rPr>
                <w:rFonts w:hint="eastAsia" w:ascii="仿宋" w:hAnsi="仿宋" w:eastAsia="仿宋"/>
                <w:sz w:val="28"/>
                <w:szCs w:val="28"/>
              </w:rPr>
              <w:t>613437</w:t>
            </w:r>
          </w:p>
        </w:tc>
        <w:tc>
          <w:tcPr>
            <w:tcW w:w="2471" w:type="dxa"/>
          </w:tcPr>
          <w:p>
            <w:pPr>
              <w:snapToGrid w:val="0"/>
              <w:spacing w:line="588" w:lineRule="exact"/>
              <w:jc w:val="center"/>
              <w:rPr>
                <w:rFonts w:ascii="仿宋" w:hAnsi="仿宋" w:eastAsia="仿宋"/>
                <w:sz w:val="28"/>
                <w:szCs w:val="28"/>
              </w:rPr>
            </w:pPr>
          </w:p>
        </w:tc>
      </w:tr>
    </w:tbl>
    <w:p>
      <w:pPr>
        <w:widowControl/>
        <w:ind w:firstLine="643" w:firstLineChars="200"/>
        <w:jc w:val="left"/>
        <w:rPr>
          <w:rFonts w:ascii="宋体" w:cs="Courier New"/>
          <w:b/>
          <w:kern w:val="0"/>
          <w:sz w:val="32"/>
          <w:szCs w:val="32"/>
        </w:rPr>
      </w:pPr>
    </w:p>
    <w:p>
      <w:pPr>
        <w:spacing w:line="500" w:lineRule="exact"/>
        <w:ind w:firstLine="560"/>
        <w:rPr>
          <w:rFonts w:ascii="方正仿宋_GBK" w:eastAsia="方正仿宋_GBK"/>
          <w:sz w:val="28"/>
        </w:rPr>
      </w:pPr>
      <w:r>
        <w:rPr>
          <w:rFonts w:ascii="方正仿宋_GBK" w:eastAsia="方正仿宋_GBK"/>
          <w:sz w:val="28"/>
        </w:rPr>
        <w:t xml:space="preserve">              </w:t>
      </w:r>
    </w:p>
    <w:p>
      <w:pPr>
        <w:snapToGrid w:val="0"/>
        <w:spacing w:line="588" w:lineRule="exact"/>
        <w:ind w:firstLine="643" w:firstLineChars="200"/>
        <w:rPr>
          <w:rFonts w:ascii="仿宋" w:hAnsi="仿宋" w:eastAsia="仿宋"/>
          <w:b/>
          <w:sz w:val="32"/>
          <w:szCs w:val="32"/>
        </w:rPr>
      </w:pPr>
      <w:r>
        <w:rPr>
          <w:rFonts w:hint="eastAsia" w:ascii="仿宋" w:hAnsi="仿宋" w:eastAsia="仿宋"/>
          <w:b/>
          <w:sz w:val="32"/>
          <w:szCs w:val="32"/>
        </w:rPr>
        <w:t>八、专业名词解释</w:t>
      </w:r>
    </w:p>
    <w:p>
      <w:pPr>
        <w:ind w:firstLine="640" w:firstLineChars="200"/>
        <w:jc w:val="left"/>
        <w:rPr>
          <w:rFonts w:ascii="仿宋" w:hAnsi="仿宋" w:eastAsia="仿宋"/>
          <w:sz w:val="32"/>
          <w:szCs w:val="32"/>
        </w:rPr>
      </w:pPr>
      <w:r>
        <w:rPr>
          <w:rFonts w:hint="eastAsia" w:ascii="仿宋" w:hAnsi="仿宋" w:eastAsia="仿宋"/>
          <w:sz w:val="32"/>
          <w:szCs w:val="32"/>
        </w:rPr>
        <w:t>（1）财政拨款收入：指中央或区财政当年拨付的资金，包含一般公共预算财政拨款和政府性基金预算财政拨款。</w:t>
      </w:r>
    </w:p>
    <w:p>
      <w:pPr>
        <w:ind w:firstLine="640" w:firstLineChars="200"/>
        <w:jc w:val="left"/>
        <w:rPr>
          <w:rFonts w:ascii="仿宋" w:hAnsi="仿宋" w:eastAsia="仿宋"/>
          <w:sz w:val="32"/>
          <w:szCs w:val="32"/>
        </w:rPr>
      </w:pPr>
      <w:r>
        <w:rPr>
          <w:rFonts w:hint="eastAsia" w:ascii="仿宋" w:hAnsi="仿宋" w:eastAsia="仿宋"/>
          <w:sz w:val="32"/>
          <w:szCs w:val="32"/>
        </w:rPr>
        <w:t>（2）基本支出：指为保障机构正常运转、完成日常工作任务而发生的人员支出和公用支出。</w:t>
      </w:r>
    </w:p>
    <w:p>
      <w:pPr>
        <w:ind w:firstLine="640" w:firstLineChars="200"/>
        <w:jc w:val="left"/>
        <w:rPr>
          <w:rFonts w:ascii="仿宋" w:hAnsi="仿宋" w:eastAsia="仿宋"/>
          <w:b/>
          <w:sz w:val="32"/>
          <w:szCs w:val="32"/>
        </w:rPr>
      </w:pPr>
      <w:r>
        <w:rPr>
          <w:rFonts w:hint="eastAsia" w:ascii="仿宋" w:hAnsi="仿宋" w:eastAsia="仿宋"/>
          <w:sz w:val="32"/>
          <w:szCs w:val="32"/>
        </w:rPr>
        <w:t>（3）项目支出：指在基本支出之外为完成特定行政任务和事业发展目标所发生的支出。</w:t>
      </w:r>
    </w:p>
    <w:p>
      <w:pPr>
        <w:snapToGrid w:val="0"/>
        <w:spacing w:line="588" w:lineRule="exact"/>
        <w:ind w:firstLine="643" w:firstLineChars="200"/>
        <w:rPr>
          <w:rFonts w:ascii="仿宋" w:hAnsi="仿宋" w:eastAsia="仿宋"/>
          <w:b/>
          <w:sz w:val="32"/>
          <w:szCs w:val="32"/>
        </w:rPr>
      </w:pPr>
      <w:r>
        <w:rPr>
          <w:rFonts w:hint="eastAsia" w:ascii="仿宋" w:hAnsi="仿宋" w:eastAsia="仿宋"/>
          <w:b/>
          <w:sz w:val="32"/>
          <w:szCs w:val="32"/>
        </w:rPr>
        <w:t>九、其他情况说明</w:t>
      </w:r>
    </w:p>
    <w:p>
      <w:pPr>
        <w:snapToGrid w:val="0"/>
        <w:spacing w:line="588" w:lineRule="exact"/>
        <w:ind w:firstLine="640" w:firstLineChars="200"/>
        <w:rPr>
          <w:rFonts w:ascii="仿宋" w:hAnsi="仿宋" w:eastAsia="仿宋"/>
          <w:sz w:val="32"/>
          <w:szCs w:val="32"/>
        </w:rPr>
      </w:pPr>
      <w:r>
        <w:rPr>
          <w:rFonts w:hint="eastAsia" w:ascii="仿宋" w:hAnsi="仿宋" w:eastAsia="仿宋"/>
          <w:sz w:val="32"/>
          <w:szCs w:val="32"/>
        </w:rPr>
        <w:t>政府性性基金支出和国有资本经营支出：无</w:t>
      </w:r>
    </w:p>
    <w:p>
      <w:pPr>
        <w:snapToGrid w:val="0"/>
        <w:spacing w:line="588" w:lineRule="exact"/>
        <w:ind w:firstLine="640" w:firstLineChars="200"/>
        <w:rPr>
          <w:rFonts w:ascii="宋体" w:hAnsi="宋体"/>
          <w:sz w:val="32"/>
          <w:szCs w:val="32"/>
        </w:rPr>
      </w:pPr>
      <w:r>
        <w:rPr>
          <w:rFonts w:hint="eastAsia" w:ascii="仿宋" w:hAnsi="仿宋" w:eastAsia="仿宋"/>
          <w:sz w:val="32"/>
          <w:szCs w:val="32"/>
        </w:rPr>
        <w:t xml:space="preserve">  </w:t>
      </w:r>
      <w:r>
        <w:rPr>
          <w:rFonts w:ascii="宋体" w:hAnsi="宋体"/>
          <w:sz w:val="32"/>
          <w:szCs w:val="32"/>
        </w:rPr>
        <w:t xml:space="preserve">                        </w:t>
      </w:r>
    </w:p>
    <w:p>
      <w:pPr>
        <w:snapToGrid w:val="0"/>
        <w:spacing w:line="588" w:lineRule="exact"/>
        <w:ind w:firstLine="4800" w:firstLineChars="1500"/>
        <w:rPr>
          <w:rFonts w:ascii="宋体" w:hAnsi="宋体"/>
          <w:sz w:val="32"/>
          <w:szCs w:val="32"/>
        </w:rPr>
      </w:pPr>
    </w:p>
    <w:p>
      <w:pPr>
        <w:snapToGrid w:val="0"/>
        <w:spacing w:line="588" w:lineRule="exact"/>
        <w:ind w:firstLine="4800" w:firstLineChars="1500"/>
        <w:rPr>
          <w:rFonts w:ascii="仿宋" w:hAnsi="仿宋" w:eastAsia="仿宋"/>
          <w:sz w:val="32"/>
          <w:szCs w:val="32"/>
        </w:rPr>
      </w:pPr>
      <w:r>
        <w:rPr>
          <w:rFonts w:hint="eastAsia" w:ascii="宋体" w:hAnsi="宋体"/>
          <w:sz w:val="32"/>
          <w:szCs w:val="32"/>
        </w:rPr>
        <w:t>泉河头镇人民政府</w:t>
      </w:r>
    </w:p>
    <w:p>
      <w:pPr>
        <w:rPr>
          <w:rFonts w:ascii="宋体" w:hAnsi="宋体"/>
          <w:sz w:val="32"/>
          <w:szCs w:val="32"/>
        </w:rPr>
      </w:pPr>
      <w:r>
        <w:rPr>
          <w:rFonts w:hint="eastAsia" w:ascii="宋体" w:hAnsi="宋体"/>
          <w:sz w:val="32"/>
          <w:szCs w:val="32"/>
        </w:rPr>
        <w:t xml:space="preserve"> </w:t>
      </w:r>
      <w:r>
        <w:rPr>
          <w:rFonts w:ascii="宋体" w:hAnsi="宋体"/>
          <w:sz w:val="32"/>
          <w:szCs w:val="32"/>
        </w:rPr>
        <w:t xml:space="preserve">                             </w:t>
      </w:r>
      <w:r>
        <w:rPr>
          <w:rFonts w:hint="eastAsia" w:ascii="宋体" w:hAnsi="宋体"/>
          <w:sz w:val="32"/>
          <w:szCs w:val="32"/>
        </w:rPr>
        <w:t xml:space="preserve">2019年2月15日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auto"/>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WRkOTU0OGVkNWM2NjhiM2QzZTAyMzE3NzYwNGQyNzgifQ=="/>
  </w:docVars>
  <w:rsids>
    <w:rsidRoot w:val="00951D86"/>
    <w:rsid w:val="00010B79"/>
    <w:rsid w:val="000201FB"/>
    <w:rsid w:val="00036C9A"/>
    <w:rsid w:val="000651CB"/>
    <w:rsid w:val="00067572"/>
    <w:rsid w:val="00090FA3"/>
    <w:rsid w:val="000A3082"/>
    <w:rsid w:val="000A5115"/>
    <w:rsid w:val="000B3632"/>
    <w:rsid w:val="000B6247"/>
    <w:rsid w:val="000C3937"/>
    <w:rsid w:val="000C399B"/>
    <w:rsid w:val="000C6439"/>
    <w:rsid w:val="000E16F6"/>
    <w:rsid w:val="00105A43"/>
    <w:rsid w:val="00117C60"/>
    <w:rsid w:val="001248EF"/>
    <w:rsid w:val="0016044C"/>
    <w:rsid w:val="00171786"/>
    <w:rsid w:val="00172F2A"/>
    <w:rsid w:val="00182C28"/>
    <w:rsid w:val="001931ED"/>
    <w:rsid w:val="00193E43"/>
    <w:rsid w:val="00195E38"/>
    <w:rsid w:val="001A7F8D"/>
    <w:rsid w:val="001B0841"/>
    <w:rsid w:val="001B1BFC"/>
    <w:rsid w:val="001B345B"/>
    <w:rsid w:val="001C53FC"/>
    <w:rsid w:val="001C607F"/>
    <w:rsid w:val="001D2343"/>
    <w:rsid w:val="001F41F5"/>
    <w:rsid w:val="001F780E"/>
    <w:rsid w:val="00210CAB"/>
    <w:rsid w:val="0021277D"/>
    <w:rsid w:val="002132D8"/>
    <w:rsid w:val="00225045"/>
    <w:rsid w:val="00240EFA"/>
    <w:rsid w:val="002457CE"/>
    <w:rsid w:val="002622DC"/>
    <w:rsid w:val="00274FAC"/>
    <w:rsid w:val="002D1816"/>
    <w:rsid w:val="002D25A4"/>
    <w:rsid w:val="003022C9"/>
    <w:rsid w:val="00324790"/>
    <w:rsid w:val="00327EF4"/>
    <w:rsid w:val="00357DB2"/>
    <w:rsid w:val="00375DA3"/>
    <w:rsid w:val="003A5D63"/>
    <w:rsid w:val="003D334A"/>
    <w:rsid w:val="003D7B10"/>
    <w:rsid w:val="003E216F"/>
    <w:rsid w:val="003E2D95"/>
    <w:rsid w:val="003F4222"/>
    <w:rsid w:val="00411797"/>
    <w:rsid w:val="0042650C"/>
    <w:rsid w:val="004266A9"/>
    <w:rsid w:val="00430792"/>
    <w:rsid w:val="00433B10"/>
    <w:rsid w:val="00435014"/>
    <w:rsid w:val="00437CC4"/>
    <w:rsid w:val="00453D5B"/>
    <w:rsid w:val="004555D5"/>
    <w:rsid w:val="00466333"/>
    <w:rsid w:val="0047635F"/>
    <w:rsid w:val="00476513"/>
    <w:rsid w:val="00494BFD"/>
    <w:rsid w:val="004A2735"/>
    <w:rsid w:val="004D03CA"/>
    <w:rsid w:val="004F20AD"/>
    <w:rsid w:val="004F684D"/>
    <w:rsid w:val="00505055"/>
    <w:rsid w:val="00524950"/>
    <w:rsid w:val="00524D74"/>
    <w:rsid w:val="0052661E"/>
    <w:rsid w:val="00536215"/>
    <w:rsid w:val="005455A2"/>
    <w:rsid w:val="0055316A"/>
    <w:rsid w:val="00557E9B"/>
    <w:rsid w:val="005630F2"/>
    <w:rsid w:val="00580FDE"/>
    <w:rsid w:val="00582938"/>
    <w:rsid w:val="005846F8"/>
    <w:rsid w:val="00586C8B"/>
    <w:rsid w:val="005911FB"/>
    <w:rsid w:val="005A71B7"/>
    <w:rsid w:val="005A7562"/>
    <w:rsid w:val="005C285B"/>
    <w:rsid w:val="005C37B4"/>
    <w:rsid w:val="005D723E"/>
    <w:rsid w:val="005E2BC4"/>
    <w:rsid w:val="005E333B"/>
    <w:rsid w:val="005F66A2"/>
    <w:rsid w:val="00603515"/>
    <w:rsid w:val="00605FE9"/>
    <w:rsid w:val="00612F40"/>
    <w:rsid w:val="00613E15"/>
    <w:rsid w:val="0064020E"/>
    <w:rsid w:val="006569D0"/>
    <w:rsid w:val="006A62D1"/>
    <w:rsid w:val="006C59A8"/>
    <w:rsid w:val="006D0E61"/>
    <w:rsid w:val="006D4849"/>
    <w:rsid w:val="006D4D38"/>
    <w:rsid w:val="006E4611"/>
    <w:rsid w:val="006F4B97"/>
    <w:rsid w:val="00717702"/>
    <w:rsid w:val="00717C2E"/>
    <w:rsid w:val="00720416"/>
    <w:rsid w:val="00724AF1"/>
    <w:rsid w:val="007378C6"/>
    <w:rsid w:val="007430AE"/>
    <w:rsid w:val="007738D7"/>
    <w:rsid w:val="007745C3"/>
    <w:rsid w:val="007A68A5"/>
    <w:rsid w:val="007B070A"/>
    <w:rsid w:val="007B1F7D"/>
    <w:rsid w:val="007B2C4D"/>
    <w:rsid w:val="007C5053"/>
    <w:rsid w:val="007D436A"/>
    <w:rsid w:val="007F1A99"/>
    <w:rsid w:val="0081119C"/>
    <w:rsid w:val="00813C55"/>
    <w:rsid w:val="008177FA"/>
    <w:rsid w:val="00823F87"/>
    <w:rsid w:val="008240AE"/>
    <w:rsid w:val="00834319"/>
    <w:rsid w:val="00835B61"/>
    <w:rsid w:val="00842080"/>
    <w:rsid w:val="00845E48"/>
    <w:rsid w:val="00854AAF"/>
    <w:rsid w:val="00865B38"/>
    <w:rsid w:val="00867981"/>
    <w:rsid w:val="00867F04"/>
    <w:rsid w:val="00880B3D"/>
    <w:rsid w:val="008C1CE3"/>
    <w:rsid w:val="008F2247"/>
    <w:rsid w:val="00904CD9"/>
    <w:rsid w:val="009111D9"/>
    <w:rsid w:val="0091137C"/>
    <w:rsid w:val="00911808"/>
    <w:rsid w:val="00951D86"/>
    <w:rsid w:val="009618AE"/>
    <w:rsid w:val="00974847"/>
    <w:rsid w:val="009A4997"/>
    <w:rsid w:val="009C5DA3"/>
    <w:rsid w:val="009E14C2"/>
    <w:rsid w:val="009E7F91"/>
    <w:rsid w:val="009F031B"/>
    <w:rsid w:val="009F44C6"/>
    <w:rsid w:val="00A07DD9"/>
    <w:rsid w:val="00A23FF0"/>
    <w:rsid w:val="00A34504"/>
    <w:rsid w:val="00A473A5"/>
    <w:rsid w:val="00A61E9A"/>
    <w:rsid w:val="00A8758F"/>
    <w:rsid w:val="00AB4BA9"/>
    <w:rsid w:val="00AB6410"/>
    <w:rsid w:val="00AC0076"/>
    <w:rsid w:val="00AD0E79"/>
    <w:rsid w:val="00AF21C3"/>
    <w:rsid w:val="00B723F1"/>
    <w:rsid w:val="00B80A4B"/>
    <w:rsid w:val="00B955D1"/>
    <w:rsid w:val="00BB4F8A"/>
    <w:rsid w:val="00BB65C0"/>
    <w:rsid w:val="00BC10A5"/>
    <w:rsid w:val="00BC3A3C"/>
    <w:rsid w:val="00C24B99"/>
    <w:rsid w:val="00C744D9"/>
    <w:rsid w:val="00C826DC"/>
    <w:rsid w:val="00CB581F"/>
    <w:rsid w:val="00CB60A5"/>
    <w:rsid w:val="00CB62DE"/>
    <w:rsid w:val="00CB6C96"/>
    <w:rsid w:val="00D05755"/>
    <w:rsid w:val="00D11F51"/>
    <w:rsid w:val="00D16336"/>
    <w:rsid w:val="00D21A55"/>
    <w:rsid w:val="00D24C19"/>
    <w:rsid w:val="00D26F28"/>
    <w:rsid w:val="00D27C93"/>
    <w:rsid w:val="00D42CAD"/>
    <w:rsid w:val="00D440A7"/>
    <w:rsid w:val="00D46D37"/>
    <w:rsid w:val="00D57591"/>
    <w:rsid w:val="00D728E3"/>
    <w:rsid w:val="00D72B03"/>
    <w:rsid w:val="00D75930"/>
    <w:rsid w:val="00D808DD"/>
    <w:rsid w:val="00D90C1F"/>
    <w:rsid w:val="00DE7097"/>
    <w:rsid w:val="00E00EE7"/>
    <w:rsid w:val="00E22538"/>
    <w:rsid w:val="00E31DAB"/>
    <w:rsid w:val="00E402AA"/>
    <w:rsid w:val="00E46D06"/>
    <w:rsid w:val="00E76E6C"/>
    <w:rsid w:val="00E87706"/>
    <w:rsid w:val="00EA43FC"/>
    <w:rsid w:val="00EA686F"/>
    <w:rsid w:val="00EA7AF5"/>
    <w:rsid w:val="00EB277D"/>
    <w:rsid w:val="00EB404F"/>
    <w:rsid w:val="00EB4213"/>
    <w:rsid w:val="00ED0BD0"/>
    <w:rsid w:val="00ED7EDB"/>
    <w:rsid w:val="00EE013A"/>
    <w:rsid w:val="00EF46AE"/>
    <w:rsid w:val="00EF659C"/>
    <w:rsid w:val="00F052F5"/>
    <w:rsid w:val="00F05460"/>
    <w:rsid w:val="00F06A83"/>
    <w:rsid w:val="00F13A27"/>
    <w:rsid w:val="00F37500"/>
    <w:rsid w:val="00F4264F"/>
    <w:rsid w:val="00F5340A"/>
    <w:rsid w:val="00F61E2C"/>
    <w:rsid w:val="00FD5A91"/>
    <w:rsid w:val="00FE4481"/>
    <w:rsid w:val="071630F2"/>
    <w:rsid w:val="082158A1"/>
    <w:rsid w:val="0B961C07"/>
    <w:rsid w:val="206F747E"/>
    <w:rsid w:val="211E51E2"/>
    <w:rsid w:val="24C63265"/>
    <w:rsid w:val="2B596AC7"/>
    <w:rsid w:val="2D406094"/>
    <w:rsid w:val="2F8F2644"/>
    <w:rsid w:val="36D125F5"/>
    <w:rsid w:val="3751494E"/>
    <w:rsid w:val="38827901"/>
    <w:rsid w:val="3B5234B2"/>
    <w:rsid w:val="3F2A54AE"/>
    <w:rsid w:val="456F04B9"/>
    <w:rsid w:val="4B407EB4"/>
    <w:rsid w:val="4F18736F"/>
    <w:rsid w:val="4FE17B93"/>
    <w:rsid w:val="57EA1292"/>
    <w:rsid w:val="5825047B"/>
    <w:rsid w:val="58C15A72"/>
    <w:rsid w:val="58CE23BE"/>
    <w:rsid w:val="5BC031E5"/>
    <w:rsid w:val="664F1870"/>
    <w:rsid w:val="69C061A4"/>
    <w:rsid w:val="6B29648D"/>
    <w:rsid w:val="6E0254B3"/>
    <w:rsid w:val="6E044471"/>
    <w:rsid w:val="6F5F292A"/>
    <w:rsid w:val="78961F1E"/>
    <w:rsid w:val="79B25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3"/>
    <w:autoRedefine/>
    <w:qFormat/>
    <w:uiPriority w:val="99"/>
    <w:rPr>
      <w:kern w:val="2"/>
      <w:sz w:val="18"/>
      <w:szCs w:val="18"/>
    </w:rPr>
  </w:style>
  <w:style w:type="character" w:customStyle="1" w:styleId="9">
    <w:name w:val="页眉 字符"/>
    <w:basedOn w:val="7"/>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58C90-7C72-46AF-883D-4BB6AB553DAD}">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1104</Words>
  <Characters>6294</Characters>
  <Lines>52</Lines>
  <Paragraphs>14</Paragraphs>
  <TotalTime>316</TotalTime>
  <ScaleCrop>false</ScaleCrop>
  <LinksUpToDate>false</LinksUpToDate>
  <CharactersWithSpaces>7384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2019-01-29T07:49:00Z</dcterms:created>
  <dc:creator>Administrator</dc:creator>
  <cp:lastModifiedBy>邓淯丹</cp:lastModifiedBy>
  <cp:lastPrinted>2019-02-15T08:06:00Z</cp:lastPrinted>
  <dcterms:modified xsi:type="dcterms:W3CDTF">2024-03-19T02:18:11Z</dcterms:modified>
  <dc:title>职责分类绩效目标：</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EF426532B3834ADB8A90FD32D9828EB8_12</vt:lpwstr>
  </property>
</Properties>
</file>