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bookmarkStart w:id="0" w:name="_Toc_4_4_0000000023"/>
      <w:r>
        <w:rPr>
          <w:rFonts w:ascii="黑体" w:eastAsia="黑体" w:cs="黑体"/>
          <w:b/>
          <w:color w:val="000000"/>
          <w:sz w:val="44"/>
        </w:rPr>
        <w:t>2023年</w:t>
      </w:r>
      <w:r>
        <w:rPr>
          <w:rFonts w:ascii="黑体" w:eastAsia="黑体" w:cs="黑体" w:hint="eastAsia"/>
          <w:b/>
          <w:color w:val="000000"/>
          <w:sz w:val="44"/>
          <w:lang w:eastAsia="zh-CN"/>
        </w:rPr>
        <w:t>单位</w:t>
      </w:r>
      <w:r>
        <w:rPr>
          <w:rFonts w:ascii="黑体" w:eastAsia="黑体" w:cs="黑体"/>
          <w:b/>
          <w:color w:val="000000"/>
          <w:sz w:val="44"/>
        </w:rPr>
        <w:t>预算信息公开目录</w:t>
      </w:r>
    </w:p>
    <w:p>
      <w:pPr>
        <w:jc w:val="center"/>
      </w:pPr>
    </w:p>
    <w:p>
      <w:pPr>
        <w:spacing w:line="300" w:lineRule="exact"/>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预算公开表</w:t>
      </w:r>
    </w:p>
    <w:p>
      <w:pPr>
        <w:pStyle w:val="40"/>
        <w:tabs>
          <w:tab w:val="right" w:leader="dot" w:pos="14562"/>
        </w:tabs>
        <w:spacing w:line="300" w:lineRule="exact"/>
      </w:pPr>
      <w:r>
        <w:fldChar w:fldCharType="begin"/>
      </w:r>
      <w:r>
        <w:instrText xml:space="preserve">TOC \o "2-2" \h \z \u </w:instrText>
      </w:r>
      <w:r>
        <w:fldChar w:fldCharType="separate"/>
      </w:r>
      <w:r>
        <w:fldChar w:fldCharType="begin"/>
      </w:r>
      <w:r>
        <w:instrText>Hyperlink \l "_Toc_2_2_0000000001"</w:instrText>
      </w:r>
      <w:r>
        <w:fldChar w:fldCharType="separate"/>
      </w:r>
      <w:r>
        <w:rPr>
          <w:rFonts w:eastAsia="宋体" w:hint="eastAsia"/>
          <w:lang w:eastAsia="zh-CN"/>
        </w:rPr>
        <w:t>单位</w:t>
      </w:r>
      <w:r>
        <w:t>预算收支总表</w:t>
        <w:tab/>
      </w:r>
      <w:r>
        <w:rPr>
          <w:rFonts w:ascii="宋体" w:eastAsia="宋体" w:hint="eastAsia"/>
          <w:lang w:eastAsia="zh-CN"/>
        </w:rPr>
        <w:t>1</w:t>
      </w:r>
      <w:r>
        <w:fldChar w:fldCharType="end"/>
      </w:r>
    </w:p>
    <w:p>
      <w:pPr>
        <w:pStyle w:val="40"/>
        <w:tabs>
          <w:tab w:val="right" w:leader="dot" w:pos="14562"/>
        </w:tabs>
        <w:spacing w:line="300" w:lineRule="exact"/>
      </w:pPr>
      <w:r>
        <w:fldChar w:fldCharType="begin"/>
      </w:r>
      <w:r>
        <w:instrText>Hyperlink \l "_Toc_2_2_0000000002"</w:instrText>
      </w:r>
      <w:r>
        <w:fldChar w:fldCharType="separate"/>
      </w:r>
      <w:r>
        <w:rPr>
          <w:rFonts w:hint="eastAsia"/>
        </w:rPr>
        <w:t>单位</w:t>
      </w:r>
      <w:r>
        <w:t>预算收入总表</w:t>
        <w:tab/>
      </w:r>
      <w:r>
        <w:rPr>
          <w:rFonts w:ascii="宋体" w:eastAsia="宋体" w:hint="eastAsia"/>
          <w:lang w:eastAsia="zh-CN"/>
        </w:rPr>
        <w:t>3</w:t>
      </w:r>
      <w:r>
        <w:fldChar w:fldCharType="end"/>
      </w:r>
    </w:p>
    <w:p>
      <w:pPr>
        <w:pStyle w:val="40"/>
        <w:tabs>
          <w:tab w:val="right" w:leader="dot" w:pos="14562"/>
        </w:tabs>
        <w:spacing w:line="300" w:lineRule="exact"/>
      </w:pPr>
      <w:r>
        <w:fldChar w:fldCharType="begin"/>
      </w:r>
      <w:r>
        <w:instrText>Hyperlink \l "_Toc_2_2_0000000003"</w:instrText>
      </w:r>
      <w:r>
        <w:fldChar w:fldCharType="separate"/>
      </w:r>
      <w:r>
        <w:rPr>
          <w:rFonts w:hint="eastAsia"/>
        </w:rPr>
        <w:t>单位</w:t>
      </w:r>
      <w:r>
        <w:t>预算支出总表</w:t>
        <w:tab/>
      </w:r>
      <w:r>
        <w:rPr>
          <w:rFonts w:ascii="宋体" w:eastAsia="宋体" w:hint="eastAsia"/>
          <w:lang w:eastAsia="zh-CN"/>
        </w:rPr>
        <w:t>4</w:t>
      </w:r>
      <w:r>
        <w:fldChar w:fldCharType="end"/>
      </w:r>
    </w:p>
    <w:p>
      <w:pPr>
        <w:pStyle w:val="40"/>
        <w:tabs>
          <w:tab w:val="right" w:leader="dot" w:pos="14562"/>
        </w:tabs>
        <w:spacing w:line="300" w:lineRule="exact"/>
      </w:pPr>
      <w:r>
        <w:fldChar w:fldCharType="begin"/>
      </w:r>
      <w:r>
        <w:instrText>Hyperlink \l "_Toc_2_2_0000000004"</w:instrText>
      </w:r>
      <w:r>
        <w:fldChar w:fldCharType="separate"/>
      </w:r>
      <w:r>
        <w:rPr>
          <w:rFonts w:hint="eastAsia"/>
        </w:rPr>
        <w:t>单位</w:t>
      </w:r>
      <w:r>
        <w:t>预算财政拨款收支总表</w:t>
        <w:tab/>
      </w:r>
      <w:r>
        <w:rPr>
          <w:rFonts w:ascii="宋体" w:eastAsia="宋体" w:hint="eastAsia"/>
          <w:lang w:eastAsia="zh-CN"/>
        </w:rPr>
        <w:t>5</w:t>
      </w:r>
      <w:r>
        <w:fldChar w:fldCharType="end"/>
      </w:r>
    </w:p>
    <w:p>
      <w:pPr>
        <w:pStyle w:val="40"/>
        <w:tabs>
          <w:tab w:val="right" w:leader="dot" w:pos="14562"/>
        </w:tabs>
        <w:spacing w:line="300" w:lineRule="exact"/>
      </w:pPr>
      <w:r>
        <w:fldChar w:fldCharType="begin"/>
      </w:r>
      <w:r>
        <w:instrText>Hyperlink \l "_Toc_2_2_0000000005"</w:instrText>
      </w:r>
      <w:r>
        <w:fldChar w:fldCharType="separate"/>
      </w:r>
      <w:r>
        <w:rPr>
          <w:rFonts w:hint="eastAsia"/>
        </w:rPr>
        <w:t>单位</w:t>
      </w:r>
      <w:r>
        <w:t>预算一般公共预算财政拨款支出表</w:t>
        <w:tab/>
      </w:r>
      <w:r>
        <w:rPr>
          <w:rFonts w:ascii="宋体" w:eastAsia="宋体" w:hint="eastAsia"/>
          <w:lang w:eastAsia="zh-CN"/>
        </w:rPr>
        <w:t>8</w:t>
      </w:r>
      <w:r>
        <w:fldChar w:fldCharType="end"/>
      </w:r>
    </w:p>
    <w:p>
      <w:pPr>
        <w:pStyle w:val="40"/>
        <w:tabs>
          <w:tab w:val="right" w:leader="dot" w:pos="14562"/>
        </w:tabs>
        <w:spacing w:line="300" w:lineRule="exact"/>
      </w:pPr>
      <w:r>
        <w:fldChar w:fldCharType="begin"/>
      </w:r>
      <w:r>
        <w:instrText>Hyperlink \l "_Toc_2_2_0000000006"</w:instrText>
      </w:r>
      <w:r>
        <w:fldChar w:fldCharType="separate"/>
      </w:r>
      <w:r>
        <w:rPr>
          <w:rFonts w:hint="eastAsia"/>
        </w:rPr>
        <w:t>单位</w:t>
      </w:r>
      <w:r>
        <w:t>预算一般公共预算财政拨款基本支出表</w:t>
        <w:tab/>
      </w:r>
      <w:r>
        <w:rPr>
          <w:rFonts w:ascii="宋体" w:eastAsia="宋体" w:hint="eastAsia"/>
          <w:lang w:eastAsia="zh-CN"/>
        </w:rPr>
        <w:t>9</w:t>
      </w:r>
      <w:r>
        <w:fldChar w:fldCharType="end"/>
      </w:r>
    </w:p>
    <w:p>
      <w:pPr>
        <w:pStyle w:val="40"/>
        <w:tabs>
          <w:tab w:val="right" w:leader="dot" w:pos="14562"/>
        </w:tabs>
        <w:spacing w:line="300" w:lineRule="exact"/>
      </w:pPr>
      <w:r>
        <w:fldChar w:fldCharType="begin"/>
      </w:r>
      <w:r>
        <w:instrText>Hyperlink \l "_Toc_2_2_0000000007"</w:instrText>
      </w:r>
      <w:r>
        <w:fldChar w:fldCharType="separate"/>
      </w:r>
      <w:r>
        <w:rPr>
          <w:rFonts w:hint="eastAsia"/>
        </w:rPr>
        <w:t>单位</w:t>
      </w:r>
      <w:r>
        <w:t>预算政府基金预算财政拨款支出表</w:t>
        <w:tab/>
      </w:r>
      <w:r>
        <w:rPr>
          <w:rFonts w:ascii="宋体" w:eastAsia="宋体" w:hint="eastAsia"/>
          <w:lang w:eastAsia="zh-CN"/>
        </w:rPr>
        <w:t>11</w:t>
      </w:r>
      <w:r>
        <w:fldChar w:fldCharType="end"/>
      </w:r>
    </w:p>
    <w:p>
      <w:pPr>
        <w:pStyle w:val="40"/>
        <w:tabs>
          <w:tab w:val="right" w:leader="dot" w:pos="14562"/>
        </w:tabs>
        <w:spacing w:line="300" w:lineRule="exact"/>
      </w:pPr>
      <w:r>
        <w:fldChar w:fldCharType="begin"/>
      </w:r>
      <w:r>
        <w:instrText>Hyperlink \l "_Toc_2_2_0000000008"</w:instrText>
      </w:r>
      <w:r>
        <w:fldChar w:fldCharType="separate"/>
      </w:r>
      <w:r>
        <w:rPr>
          <w:rFonts w:hint="eastAsia"/>
        </w:rPr>
        <w:t>单位</w:t>
      </w:r>
      <w:r>
        <w:t>预算国有资本经营预算财政拨款支出表</w:t>
        <w:tab/>
      </w:r>
      <w:r>
        <w:fldChar w:fldCharType="begin"/>
      </w:r>
      <w:r>
        <w:instrText>PAGEREF _Toc_2_2_0000000008 \h</w:instrText>
      </w:r>
      <w:r>
        <w:fldChar w:fldCharType="separate"/>
      </w:r>
      <w:r>
        <w:t>1</w:t>
      </w:r>
      <w:r>
        <w:rPr>
          <w:rFonts w:ascii="宋体" w:eastAsia="宋体" w:hint="eastAsia"/>
          <w:lang w:eastAsia="zh-CN"/>
        </w:rPr>
        <w:t>2</w:t>
      </w:r>
      <w:r>
        <w:fldChar w:fldCharType="end"/>
      </w:r>
      <w:r>
        <w:fldChar w:fldCharType="end"/>
      </w:r>
    </w:p>
    <w:p>
      <w:pPr>
        <w:pStyle w:val="40"/>
        <w:tabs>
          <w:tab w:val="right" w:leader="dot" w:pos="14562"/>
        </w:tabs>
        <w:spacing w:line="300" w:lineRule="exact"/>
      </w:pPr>
      <w:r>
        <w:fldChar w:fldCharType="begin"/>
      </w:r>
      <w:r>
        <w:instrText>Hyperlink \l "_Toc_2_2_0000000009"</w:instrText>
      </w:r>
      <w:r>
        <w:fldChar w:fldCharType="separate"/>
      </w:r>
      <w:r>
        <w:rPr>
          <w:rFonts w:hint="eastAsia"/>
        </w:rPr>
        <w:t>单位</w:t>
      </w:r>
      <w:r>
        <w:t>预算财政拨款“三公”经费支出表</w:t>
        <w:tab/>
      </w:r>
      <w:r>
        <w:fldChar w:fldCharType="begin"/>
      </w:r>
      <w:r>
        <w:instrText>PAGEREF _Toc_2_2_0000000009 \h</w:instrText>
      </w:r>
      <w:r>
        <w:fldChar w:fldCharType="separate"/>
      </w:r>
      <w:r>
        <w:t>1</w:t>
      </w:r>
      <w:r>
        <w:rPr>
          <w:rFonts w:ascii="宋体" w:eastAsia="宋体" w:hint="eastAsia"/>
          <w:lang w:eastAsia="zh-CN"/>
        </w:rPr>
        <w:t>3</w:t>
      </w:r>
      <w:r>
        <w:fldChar w:fldCharType="end"/>
      </w:r>
      <w:r>
        <w:fldChar w:fldCharType="end"/>
      </w:r>
    </w:p>
    <w:p>
      <w:pPr>
        <w:spacing w:line="300" w:lineRule="exact"/>
      </w:pPr>
      <w:r>
        <w:fldChar w:fldCharType="end"/>
      </w:r>
    </w:p>
    <w:p>
      <w:pPr>
        <w:spacing w:line="300" w:lineRule="exact"/>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预算信息公开情况说明</w:t>
      </w:r>
    </w:p>
    <w:p>
      <w:pPr>
        <w:pStyle w:val="40"/>
        <w:tabs>
          <w:tab w:val="right" w:leader="dot" w:pos="14562"/>
        </w:tabs>
        <w:spacing w:line="300" w:lineRule="exact"/>
      </w:pPr>
      <w:r>
        <w:fldChar w:fldCharType="begin"/>
      </w:r>
      <w:r>
        <w:instrText xml:space="preserve">TOC \o "3-3" \h \z \u </w:instrText>
      </w:r>
      <w:r>
        <w:fldChar w:fldCharType="separate"/>
      </w:r>
      <w:r>
        <w:fldChar w:fldCharType="begin"/>
      </w:r>
      <w:r>
        <w:instrText>Hyperlink \l "_Toc_3_3_0000000010"</w:instrText>
      </w:r>
      <w:r>
        <w:fldChar w:fldCharType="separate"/>
      </w:r>
      <w:r>
        <w:t>一、</w:t>
      </w:r>
      <w:r>
        <w:rPr>
          <w:rFonts w:hint="eastAsia"/>
        </w:rPr>
        <w:t>单位</w:t>
      </w:r>
      <w:r>
        <w:t>职责及机构设置情况</w:t>
        <w:tab/>
      </w:r>
      <w:r>
        <w:fldChar w:fldCharType="begin"/>
      </w:r>
      <w:r>
        <w:instrText>PAGEREF _Toc_3_3_0000000010 \h</w:instrText>
      </w:r>
      <w:r>
        <w:fldChar w:fldCharType="separate"/>
      </w:r>
      <w:r>
        <w:t>1</w:t>
      </w:r>
      <w:r>
        <w:rPr>
          <w:rFonts w:ascii="宋体" w:eastAsia="宋体" w:hint="eastAsia"/>
          <w:lang w:eastAsia="zh-CN"/>
        </w:rPr>
        <w:t>4</w:t>
      </w:r>
      <w:r>
        <w:fldChar w:fldCharType="end"/>
      </w:r>
      <w:r>
        <w:fldChar w:fldCharType="end"/>
      </w:r>
    </w:p>
    <w:p>
      <w:pPr>
        <w:pStyle w:val="40"/>
        <w:tabs>
          <w:tab w:val="right" w:leader="dot" w:pos="14562"/>
        </w:tabs>
        <w:spacing w:line="300" w:lineRule="exact"/>
      </w:pPr>
      <w:r>
        <w:fldChar w:fldCharType="begin"/>
      </w:r>
      <w:r>
        <w:instrText>Hyperlink \l "_Toc_3_3_0000000011"</w:instrText>
      </w:r>
      <w:r>
        <w:fldChar w:fldCharType="separate"/>
      </w:r>
      <w:r>
        <w:t>二、</w:t>
      </w:r>
      <w:r>
        <w:rPr>
          <w:rFonts w:hint="eastAsia"/>
        </w:rPr>
        <w:t>单位</w:t>
      </w:r>
      <w:r>
        <w:t>预算安排的总体情况</w:t>
        <w:tab/>
      </w:r>
      <w:r>
        <w:fldChar w:fldCharType="begin"/>
      </w:r>
      <w:r>
        <w:instrText>PAGEREF _Toc_3_3_0000000011 \h</w:instrText>
      </w:r>
      <w:r>
        <w:fldChar w:fldCharType="separate"/>
      </w:r>
      <w:r>
        <w:t>1</w:t>
      </w:r>
      <w:r>
        <w:rPr>
          <w:rFonts w:ascii="宋体" w:eastAsia="宋体" w:hint="eastAsia"/>
          <w:lang w:eastAsia="zh-CN"/>
        </w:rPr>
        <w:t>4</w:t>
      </w:r>
      <w:r>
        <w:fldChar w:fldCharType="end"/>
      </w:r>
      <w:r>
        <w:fldChar w:fldCharType="end"/>
      </w:r>
    </w:p>
    <w:p>
      <w:pPr>
        <w:pStyle w:val="40"/>
        <w:tabs>
          <w:tab w:val="right" w:leader="dot" w:pos="14562"/>
        </w:tabs>
        <w:spacing w:line="300" w:lineRule="exact"/>
      </w:pPr>
      <w:r>
        <w:fldChar w:fldCharType="begin"/>
      </w:r>
      <w:r>
        <w:instrText>Hyperlink \l "_Toc_3_3_0000000012"</w:instrText>
      </w:r>
      <w:r>
        <w:fldChar w:fldCharType="separate"/>
      </w:r>
      <w:r>
        <w:t>三、机关运行经费安排情况</w:t>
        <w:tab/>
      </w:r>
      <w:r>
        <w:rPr>
          <w:rFonts w:ascii="宋体" w:eastAsia="宋体" w:hint="eastAsia"/>
          <w:lang w:eastAsia="zh-CN"/>
        </w:rPr>
        <w:t>15</w:t>
      </w:r>
      <w:r>
        <w:fldChar w:fldCharType="end"/>
      </w:r>
    </w:p>
    <w:p>
      <w:pPr>
        <w:pStyle w:val="40"/>
        <w:tabs>
          <w:tab w:val="right" w:leader="dot" w:pos="14562"/>
        </w:tabs>
        <w:spacing w:line="300" w:lineRule="exact"/>
      </w:pPr>
      <w:r>
        <w:fldChar w:fldCharType="begin"/>
      </w:r>
      <w:r>
        <w:instrText>Hyperlink \l "_Toc_3_3_0000000013"</w:instrText>
      </w:r>
      <w:r>
        <w:fldChar w:fldCharType="separate"/>
      </w:r>
      <w:r>
        <w:t>四、财政拨款“三公”经费预算情况及增减变化原因</w:t>
        <w:tab/>
      </w:r>
      <w:r>
        <w:rPr>
          <w:rFonts w:ascii="宋体" w:eastAsia="宋体" w:hint="eastAsia"/>
          <w:lang w:eastAsia="zh-CN"/>
        </w:rPr>
        <w:t>15</w:t>
      </w:r>
      <w:r>
        <w:fldChar w:fldCharType="end"/>
      </w:r>
    </w:p>
    <w:p>
      <w:pPr>
        <w:pStyle w:val="40"/>
        <w:tabs>
          <w:tab w:val="right" w:leader="dot" w:pos="14562"/>
        </w:tabs>
        <w:spacing w:line="300" w:lineRule="exact"/>
      </w:pPr>
      <w:r>
        <w:fldChar w:fldCharType="begin"/>
      </w:r>
      <w:r>
        <w:instrText>Hyperlink \l "_Toc_3_3_0000000014"</w:instrText>
      </w:r>
      <w:r>
        <w:fldChar w:fldCharType="separate"/>
      </w:r>
      <w:r>
        <w:t>五、预算绩效信息</w:t>
        <w:tab/>
      </w:r>
      <w:r>
        <w:rPr>
          <w:rFonts w:ascii="宋体" w:eastAsia="宋体" w:hint="eastAsia"/>
          <w:lang w:eastAsia="zh-CN"/>
        </w:rPr>
        <w:t>16</w:t>
      </w:r>
      <w:r>
        <w:fldChar w:fldCharType="end"/>
      </w:r>
    </w:p>
    <w:p>
      <w:pPr>
        <w:pStyle w:val="40"/>
        <w:tabs>
          <w:tab w:val="right" w:leader="dot" w:pos="14562"/>
        </w:tabs>
        <w:spacing w:line="300" w:lineRule="exact"/>
      </w:pPr>
      <w:r>
        <w:fldChar w:fldCharType="begin"/>
      </w:r>
      <w:r>
        <w:instrText>Hyperlink \l "_Toc_3_3_0000000015"</w:instrText>
      </w:r>
      <w:r>
        <w:fldChar w:fldCharType="separate"/>
      </w:r>
      <w:r>
        <w:t>六、政府采购预算情况</w:t>
        <w:tab/>
      </w:r>
      <w:r>
        <w:rPr>
          <w:rFonts w:ascii="宋体" w:eastAsia="宋体" w:hint="eastAsia"/>
          <w:lang w:eastAsia="zh-CN"/>
        </w:rPr>
        <w:t>16</w:t>
      </w:r>
      <w:r>
        <w:fldChar w:fldCharType="end"/>
      </w:r>
    </w:p>
    <w:p>
      <w:pPr>
        <w:pStyle w:val="40"/>
        <w:tabs>
          <w:tab w:val="right" w:leader="dot" w:pos="14562"/>
        </w:tabs>
        <w:spacing w:line="300" w:lineRule="exact"/>
      </w:pPr>
      <w:r>
        <w:fldChar w:fldCharType="begin"/>
      </w:r>
      <w:r>
        <w:instrText>Hyperlink \l "_Toc_3_3_0000000016"</w:instrText>
      </w:r>
      <w:r>
        <w:fldChar w:fldCharType="separate"/>
      </w:r>
      <w:r>
        <w:t>七、国有资产信息</w:t>
        <w:tab/>
      </w:r>
      <w:r>
        <w:rPr>
          <w:rFonts w:ascii="宋体" w:eastAsia="宋体" w:hint="eastAsia"/>
          <w:lang w:eastAsia="zh-CN"/>
        </w:rPr>
        <w:t>16</w:t>
      </w:r>
      <w:r>
        <w:fldChar w:fldCharType="end"/>
      </w:r>
    </w:p>
    <w:p>
      <w:pPr>
        <w:pStyle w:val="40"/>
        <w:tabs>
          <w:tab w:val="right" w:leader="dot" w:pos="14562"/>
        </w:tabs>
        <w:spacing w:line="300" w:lineRule="exact"/>
      </w:pPr>
      <w:r>
        <w:fldChar w:fldCharType="begin"/>
      </w:r>
      <w:r>
        <w:instrText>Hyperlink \l "_Toc_3_3_0000000017"</w:instrText>
      </w:r>
      <w:r>
        <w:fldChar w:fldCharType="separate"/>
      </w:r>
      <w:r>
        <w:t>八、名词解释</w:t>
        <w:tab/>
      </w:r>
      <w:r>
        <w:rPr>
          <w:rFonts w:ascii="宋体" w:eastAsia="宋体" w:hint="eastAsia"/>
          <w:lang w:eastAsia="zh-CN"/>
        </w:rPr>
        <w:t>17</w:t>
      </w:r>
      <w:r>
        <w:fldChar w:fldCharType="end"/>
      </w:r>
    </w:p>
    <w:p>
      <w:pPr>
        <w:pStyle w:val="40"/>
        <w:tabs>
          <w:tab w:val="right" w:leader="dot" w:pos="14562"/>
        </w:tabs>
        <w:spacing w:line="300" w:lineRule="exact"/>
      </w:pPr>
      <w:r>
        <w:fldChar w:fldCharType="begin"/>
      </w:r>
      <w:r>
        <w:instrText>Hyperlink \l "_Toc_3_3_0000000018"</w:instrText>
      </w:r>
      <w:r>
        <w:fldChar w:fldCharType="separate"/>
      </w:r>
      <w:r>
        <w:t>九、其他需要说明的事项</w:t>
        <w:tab/>
      </w:r>
      <w:r>
        <w:rPr>
          <w:rFonts w:ascii="宋体" w:eastAsia="宋体" w:hint="eastAsia"/>
          <w:lang w:eastAsia="zh-CN"/>
        </w:rPr>
        <w:t>18</w:t>
      </w:r>
      <w:r>
        <w:fldChar w:fldCharType="end"/>
      </w:r>
    </w:p>
    <w:p>
      <w:pPr>
        <w:spacing w:line="300" w:lineRule="exact"/>
        <w:rPr>
          <w:rFonts w:eastAsia="宋体"/>
          <w:lang w:eastAsia="zh-CN"/>
        </w:rPr>
      </w:pPr>
      <w:r>
        <w:fldChar w:fldCharType="end"/>
      </w:r>
    </w:p>
    <w:p>
      <w:pPr>
        <w:jc w:val="center"/>
        <w:outlineLvl w:val="3"/>
      </w:pPr>
      <w:r>
        <w:rPr>
          <w:rFonts w:ascii="方正小标宋_GBK" w:eastAsia="方正小标宋_GBK" w:cs="方正小标宋_GBK"/>
          <w:color w:val="000000"/>
          <w:sz w:val="44"/>
        </w:rPr>
        <w:t>唐山市丰润区水利局左家坞灌区管理所收支预算</w:t>
      </w:r>
      <w:bookmarkEnd w:id="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86.62</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r>
              <w:t>5.39</w:t>
            </w: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r>
              <w:t>6.90</w:t>
            </w: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r>
              <w:t>70.06</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r>
              <w:t>4.27</w:t>
            </w: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86.62</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86.62</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86.62</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86.62</w:t>
            </w:r>
          </w:p>
        </w:tc>
      </w:tr>
    </w:tbl>
    <w:p>
      <w:pPr>
        <w:sectPr>
          <w:footerReference w:type="default" r:id="rId2"/>
          <w:pgSz w:w="16840" w:h="11900" w:orient="landscape"/>
          <w:pgMar w:top="1361" w:right="1020" w:bottom="1134" w:left="1020" w:header="720" w:footer="720" w:gutter="0"/>
          <w:pgNumType w:start="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86.62</w:t>
            </w:r>
          </w:p>
        </w:tc>
        <w:tc>
          <w:tcPr>
            <w:tcW w:w="1134" w:type="dxa"/>
            <w:tcBorders>
              <w:left w:val="single" w:sz="6" w:space="0" w:color="000000"/>
              <w:right w:val="single" w:sz="6" w:space="0" w:color="000000"/>
            </w:tcBorders>
            <w:vAlign w:val="center"/>
          </w:tcPr>
          <w:p>
            <w:pPr>
              <w:pStyle w:val="23"/>
            </w:pPr>
            <w:r>
              <w:t>86.62</w:t>
            </w:r>
          </w:p>
        </w:tc>
        <w:tc>
          <w:tcPr>
            <w:tcW w:w="1134" w:type="dxa"/>
            <w:tcBorders>
              <w:left w:val="single" w:sz="6" w:space="0" w:color="000000"/>
              <w:right w:val="single" w:sz="6" w:space="0" w:color="000000"/>
            </w:tcBorders>
            <w:vAlign w:val="center"/>
          </w:tcPr>
          <w:p>
            <w:pPr>
              <w:pStyle w:val="23"/>
            </w:pPr>
            <w:r>
              <w:t>86.62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r>
              <w:t>5.39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r>
              <w:t>6.90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21303</w:t>
            </w:r>
          </w:p>
        </w:tc>
        <w:tc>
          <w:tcPr>
            <w:tcW w:w="1559" w:type="dxa"/>
            <w:tcBorders>
              <w:left w:val="single" w:sz="6" w:space="0" w:color="000000"/>
              <w:right w:val="single" w:sz="6" w:space="0" w:color="000000"/>
            </w:tcBorders>
            <w:vAlign w:val="center"/>
          </w:tcPr>
          <w:p>
            <w:pPr>
              <w:pStyle w:val="20"/>
            </w:pPr>
            <w:r>
              <w:t>水利</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2130306</w:t>
            </w:r>
          </w:p>
        </w:tc>
        <w:tc>
          <w:tcPr>
            <w:tcW w:w="1559" w:type="dxa"/>
            <w:tcBorders>
              <w:left w:val="single" w:sz="6" w:space="0" w:color="000000"/>
              <w:right w:val="single" w:sz="6" w:space="0" w:color="000000"/>
            </w:tcBorders>
            <w:vAlign w:val="center"/>
          </w:tcPr>
          <w:p>
            <w:pPr>
              <w:pStyle w:val="20"/>
            </w:pPr>
            <w:r>
              <w:t>水利工程运行与维护</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r>
              <w:t>70.06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r>
              <w:t>4.27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86.62</w:t>
            </w:r>
          </w:p>
        </w:tc>
        <w:tc>
          <w:tcPr>
            <w:tcW w:w="1361" w:type="dxa"/>
            <w:tcBorders>
              <w:left w:val="single" w:sz="6" w:space="0" w:color="000000"/>
              <w:right w:val="single" w:sz="6" w:space="0" w:color="000000"/>
            </w:tcBorders>
            <w:vAlign w:val="center"/>
          </w:tcPr>
          <w:p>
            <w:pPr>
              <w:pStyle w:val="23"/>
            </w:pPr>
            <w:r>
              <w:t>86.62</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5.39</w:t>
            </w:r>
          </w:p>
        </w:tc>
        <w:tc>
          <w:tcPr>
            <w:tcW w:w="1361" w:type="dxa"/>
            <w:tcBorders>
              <w:left w:val="single" w:sz="6" w:space="0" w:color="000000"/>
              <w:right w:val="single" w:sz="6" w:space="0" w:color="000000"/>
            </w:tcBorders>
            <w:vAlign w:val="center"/>
          </w:tcPr>
          <w:p>
            <w:pPr>
              <w:pStyle w:val="19"/>
            </w:pPr>
            <w:r>
              <w:t>5.39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5.39</w:t>
            </w:r>
          </w:p>
        </w:tc>
        <w:tc>
          <w:tcPr>
            <w:tcW w:w="1361" w:type="dxa"/>
            <w:tcBorders>
              <w:left w:val="single" w:sz="6" w:space="0" w:color="000000"/>
              <w:right w:val="single" w:sz="6" w:space="0" w:color="000000"/>
            </w:tcBorders>
            <w:vAlign w:val="center"/>
          </w:tcPr>
          <w:p>
            <w:pPr>
              <w:pStyle w:val="19"/>
            </w:pPr>
            <w:r>
              <w:t>5.39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5.39</w:t>
            </w:r>
          </w:p>
        </w:tc>
        <w:tc>
          <w:tcPr>
            <w:tcW w:w="1361" w:type="dxa"/>
            <w:tcBorders>
              <w:left w:val="single" w:sz="6" w:space="0" w:color="000000"/>
              <w:right w:val="single" w:sz="6" w:space="0" w:color="000000"/>
            </w:tcBorders>
            <w:vAlign w:val="center"/>
          </w:tcPr>
          <w:p>
            <w:pPr>
              <w:pStyle w:val="19"/>
            </w:pPr>
            <w:r>
              <w:t>5.39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6.90</w:t>
            </w:r>
          </w:p>
        </w:tc>
        <w:tc>
          <w:tcPr>
            <w:tcW w:w="1361" w:type="dxa"/>
            <w:tcBorders>
              <w:left w:val="single" w:sz="6" w:space="0" w:color="000000"/>
              <w:right w:val="single" w:sz="6" w:space="0" w:color="000000"/>
            </w:tcBorders>
            <w:vAlign w:val="center"/>
          </w:tcPr>
          <w:p>
            <w:pPr>
              <w:pStyle w:val="19"/>
            </w:pPr>
            <w:r>
              <w:t>6.90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6.90</w:t>
            </w:r>
          </w:p>
        </w:tc>
        <w:tc>
          <w:tcPr>
            <w:tcW w:w="1361" w:type="dxa"/>
            <w:tcBorders>
              <w:left w:val="single" w:sz="6" w:space="0" w:color="000000"/>
              <w:right w:val="single" w:sz="6" w:space="0" w:color="000000"/>
            </w:tcBorders>
            <w:vAlign w:val="center"/>
          </w:tcPr>
          <w:p>
            <w:pPr>
              <w:pStyle w:val="19"/>
            </w:pPr>
            <w:r>
              <w:t>6.90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6.90</w:t>
            </w:r>
          </w:p>
        </w:tc>
        <w:tc>
          <w:tcPr>
            <w:tcW w:w="1361" w:type="dxa"/>
            <w:tcBorders>
              <w:left w:val="single" w:sz="6" w:space="0" w:color="000000"/>
              <w:right w:val="single" w:sz="6" w:space="0" w:color="000000"/>
            </w:tcBorders>
            <w:vAlign w:val="center"/>
          </w:tcPr>
          <w:p>
            <w:pPr>
              <w:pStyle w:val="19"/>
            </w:pPr>
            <w:r>
              <w:t>6.90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70.06</w:t>
            </w:r>
          </w:p>
        </w:tc>
        <w:tc>
          <w:tcPr>
            <w:tcW w:w="1361" w:type="dxa"/>
            <w:tcBorders>
              <w:left w:val="single" w:sz="6" w:space="0" w:color="000000"/>
              <w:right w:val="single" w:sz="6" w:space="0" w:color="000000"/>
            </w:tcBorders>
            <w:vAlign w:val="center"/>
          </w:tcPr>
          <w:p>
            <w:pPr>
              <w:pStyle w:val="19"/>
            </w:pPr>
            <w:r>
              <w:t>70.06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21303</w:t>
            </w:r>
          </w:p>
        </w:tc>
        <w:tc>
          <w:tcPr>
            <w:tcW w:w="4535" w:type="dxa"/>
            <w:tcBorders>
              <w:left w:val="single" w:sz="6" w:space="0" w:color="000000"/>
              <w:right w:val="single" w:sz="6" w:space="0" w:color="000000"/>
            </w:tcBorders>
            <w:vAlign w:val="center"/>
          </w:tcPr>
          <w:p>
            <w:pPr>
              <w:pStyle w:val="20"/>
            </w:pPr>
            <w:r>
              <w:t>水利</w:t>
            </w:r>
          </w:p>
        </w:tc>
        <w:tc>
          <w:tcPr>
            <w:tcW w:w="1361" w:type="dxa"/>
            <w:tcBorders>
              <w:left w:val="single" w:sz="6" w:space="0" w:color="000000"/>
              <w:right w:val="single" w:sz="6" w:space="0" w:color="000000"/>
            </w:tcBorders>
            <w:vAlign w:val="center"/>
          </w:tcPr>
          <w:p>
            <w:pPr>
              <w:pStyle w:val="19"/>
            </w:pPr>
            <w:r>
              <w:t>70.06</w:t>
            </w:r>
          </w:p>
        </w:tc>
        <w:tc>
          <w:tcPr>
            <w:tcW w:w="1361" w:type="dxa"/>
            <w:tcBorders>
              <w:left w:val="single" w:sz="6" w:space="0" w:color="000000"/>
              <w:right w:val="single" w:sz="6" w:space="0" w:color="000000"/>
            </w:tcBorders>
            <w:vAlign w:val="center"/>
          </w:tcPr>
          <w:p>
            <w:pPr>
              <w:pStyle w:val="19"/>
            </w:pPr>
            <w:r>
              <w:t>70.06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2130306</w:t>
            </w:r>
          </w:p>
        </w:tc>
        <w:tc>
          <w:tcPr>
            <w:tcW w:w="4535" w:type="dxa"/>
            <w:tcBorders>
              <w:left w:val="single" w:sz="6" w:space="0" w:color="000000"/>
              <w:right w:val="single" w:sz="6" w:space="0" w:color="000000"/>
            </w:tcBorders>
            <w:vAlign w:val="center"/>
          </w:tcPr>
          <w:p>
            <w:pPr>
              <w:pStyle w:val="20"/>
            </w:pPr>
            <w:r>
              <w:t>水利工程运行与维护</w:t>
            </w:r>
          </w:p>
        </w:tc>
        <w:tc>
          <w:tcPr>
            <w:tcW w:w="1361" w:type="dxa"/>
            <w:tcBorders>
              <w:left w:val="single" w:sz="6" w:space="0" w:color="000000"/>
              <w:right w:val="single" w:sz="6" w:space="0" w:color="000000"/>
            </w:tcBorders>
            <w:vAlign w:val="center"/>
          </w:tcPr>
          <w:p>
            <w:pPr>
              <w:pStyle w:val="19"/>
            </w:pPr>
            <w:r>
              <w:t>70.06</w:t>
            </w:r>
          </w:p>
        </w:tc>
        <w:tc>
          <w:tcPr>
            <w:tcW w:w="1361" w:type="dxa"/>
            <w:tcBorders>
              <w:left w:val="single" w:sz="6" w:space="0" w:color="000000"/>
              <w:right w:val="single" w:sz="6" w:space="0" w:color="000000"/>
            </w:tcBorders>
            <w:vAlign w:val="center"/>
          </w:tcPr>
          <w:p>
            <w:pPr>
              <w:pStyle w:val="19"/>
            </w:pPr>
            <w:r>
              <w:t>70.06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4.27</w:t>
            </w:r>
          </w:p>
        </w:tc>
        <w:tc>
          <w:tcPr>
            <w:tcW w:w="1361" w:type="dxa"/>
            <w:tcBorders>
              <w:left w:val="single" w:sz="6" w:space="0" w:color="000000"/>
              <w:right w:val="single" w:sz="6" w:space="0" w:color="000000"/>
            </w:tcBorders>
            <w:vAlign w:val="center"/>
          </w:tcPr>
          <w:p>
            <w:pPr>
              <w:pStyle w:val="19"/>
            </w:pPr>
            <w:r>
              <w:t>4.27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4.27</w:t>
            </w:r>
          </w:p>
        </w:tc>
        <w:tc>
          <w:tcPr>
            <w:tcW w:w="1361" w:type="dxa"/>
            <w:tcBorders>
              <w:left w:val="single" w:sz="6" w:space="0" w:color="000000"/>
              <w:right w:val="single" w:sz="6" w:space="0" w:color="000000"/>
            </w:tcBorders>
            <w:vAlign w:val="center"/>
          </w:tcPr>
          <w:p>
            <w:pPr>
              <w:pStyle w:val="19"/>
            </w:pPr>
            <w:r>
              <w:t>4.27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4.27</w:t>
            </w:r>
          </w:p>
        </w:tc>
        <w:tc>
          <w:tcPr>
            <w:tcW w:w="1361" w:type="dxa"/>
            <w:tcBorders>
              <w:left w:val="single" w:sz="6" w:space="0" w:color="000000"/>
              <w:right w:val="single" w:sz="6" w:space="0" w:color="000000"/>
            </w:tcBorders>
            <w:vAlign w:val="center"/>
          </w:tcPr>
          <w:p>
            <w:pPr>
              <w:pStyle w:val="19"/>
            </w:pPr>
            <w:r>
              <w:t>4.27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86.62</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5.39</w:t>
            </w:r>
          </w:p>
        </w:tc>
        <w:tc>
          <w:tcPr>
            <w:tcW w:w="1474" w:type="dxa"/>
            <w:tcBorders>
              <w:left w:val="single" w:sz="6" w:space="0" w:color="000000"/>
              <w:right w:val="single" w:sz="6" w:space="0" w:color="000000"/>
            </w:tcBorders>
            <w:vAlign w:val="center"/>
          </w:tcPr>
          <w:p>
            <w:pPr>
              <w:pStyle w:val="19"/>
            </w:pPr>
            <w:r>
              <w:t>5.39</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6.90</w:t>
            </w:r>
          </w:p>
        </w:tc>
        <w:tc>
          <w:tcPr>
            <w:tcW w:w="1474" w:type="dxa"/>
            <w:tcBorders>
              <w:left w:val="single" w:sz="6" w:space="0" w:color="000000"/>
              <w:right w:val="single" w:sz="6" w:space="0" w:color="000000"/>
            </w:tcBorders>
            <w:vAlign w:val="center"/>
          </w:tcPr>
          <w:p>
            <w:pPr>
              <w:pStyle w:val="19"/>
            </w:pPr>
            <w:r>
              <w:t>6.90</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70.06</w:t>
            </w:r>
          </w:p>
        </w:tc>
        <w:tc>
          <w:tcPr>
            <w:tcW w:w="1474" w:type="dxa"/>
            <w:tcBorders>
              <w:left w:val="single" w:sz="6" w:space="0" w:color="000000"/>
              <w:right w:val="single" w:sz="6" w:space="0" w:color="000000"/>
            </w:tcBorders>
            <w:vAlign w:val="center"/>
          </w:tcPr>
          <w:p>
            <w:pPr>
              <w:pStyle w:val="19"/>
            </w:pPr>
            <w:r>
              <w:t>70.06</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4.27</w:t>
            </w:r>
          </w:p>
        </w:tc>
        <w:tc>
          <w:tcPr>
            <w:tcW w:w="1474" w:type="dxa"/>
            <w:tcBorders>
              <w:left w:val="single" w:sz="6" w:space="0" w:color="000000"/>
              <w:right w:val="single" w:sz="6" w:space="0" w:color="000000"/>
            </w:tcBorders>
            <w:vAlign w:val="center"/>
          </w:tcPr>
          <w:p>
            <w:pPr>
              <w:pStyle w:val="19"/>
            </w:pPr>
            <w:r>
              <w:t>4.27</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86.62</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86.62</w:t>
            </w:r>
          </w:p>
        </w:tc>
        <w:tc>
          <w:tcPr>
            <w:tcW w:w="1474" w:type="dxa"/>
            <w:tcBorders>
              <w:left w:val="single" w:sz="6" w:space="0" w:color="000000"/>
              <w:right w:val="single" w:sz="6" w:space="0" w:color="000000"/>
            </w:tcBorders>
            <w:vAlign w:val="center"/>
          </w:tcPr>
          <w:p>
            <w:pPr>
              <w:pStyle w:val="23"/>
            </w:pPr>
            <w:r>
              <w:t>86.62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86.62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86.62</w:t>
            </w:r>
          </w:p>
        </w:tc>
        <w:tc>
          <w:tcPr>
            <w:tcW w:w="1474" w:type="dxa"/>
            <w:tcBorders>
              <w:left w:val="single" w:sz="6" w:space="0" w:color="000000"/>
              <w:right w:val="single" w:sz="6" w:space="0" w:color="000000"/>
            </w:tcBorders>
            <w:vAlign w:val="center"/>
          </w:tcPr>
          <w:p>
            <w:pPr>
              <w:pStyle w:val="23"/>
            </w:pPr>
            <w:r>
              <w:t>86.62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86.62</w:t>
            </w:r>
          </w:p>
        </w:tc>
        <w:tc>
          <w:tcPr>
            <w:tcW w:w="2551" w:type="dxa"/>
            <w:tcBorders>
              <w:left w:val="single" w:sz="6" w:space="0" w:color="000000"/>
              <w:right w:val="single" w:sz="6" w:space="0" w:color="000000"/>
            </w:tcBorders>
            <w:vAlign w:val="center"/>
          </w:tcPr>
          <w:p>
            <w:pPr>
              <w:pStyle w:val="23"/>
            </w:pPr>
            <w:r>
              <w:t>86.62</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6.90</w:t>
            </w:r>
          </w:p>
        </w:tc>
        <w:tc>
          <w:tcPr>
            <w:tcW w:w="2551" w:type="dxa"/>
            <w:tcBorders>
              <w:left w:val="single" w:sz="6" w:space="0" w:color="000000"/>
              <w:right w:val="single" w:sz="6" w:space="0" w:color="000000"/>
            </w:tcBorders>
            <w:vAlign w:val="center"/>
          </w:tcPr>
          <w:p>
            <w:pPr>
              <w:pStyle w:val="19"/>
            </w:pPr>
            <w:r>
              <w:t>6.90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6.90</w:t>
            </w:r>
          </w:p>
        </w:tc>
        <w:tc>
          <w:tcPr>
            <w:tcW w:w="2551" w:type="dxa"/>
            <w:tcBorders>
              <w:left w:val="single" w:sz="6" w:space="0" w:color="000000"/>
              <w:right w:val="single" w:sz="6" w:space="0" w:color="000000"/>
            </w:tcBorders>
            <w:vAlign w:val="center"/>
          </w:tcPr>
          <w:p>
            <w:pPr>
              <w:pStyle w:val="19"/>
            </w:pPr>
            <w:r>
              <w:t>6.90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6.90</w:t>
            </w:r>
          </w:p>
        </w:tc>
        <w:tc>
          <w:tcPr>
            <w:tcW w:w="2551" w:type="dxa"/>
            <w:tcBorders>
              <w:left w:val="single" w:sz="6" w:space="0" w:color="000000"/>
              <w:right w:val="single" w:sz="6" w:space="0" w:color="000000"/>
            </w:tcBorders>
            <w:vAlign w:val="center"/>
          </w:tcPr>
          <w:p>
            <w:pPr>
              <w:pStyle w:val="19"/>
            </w:pPr>
            <w:r>
              <w:t>6.90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70.06</w:t>
            </w:r>
          </w:p>
        </w:tc>
        <w:tc>
          <w:tcPr>
            <w:tcW w:w="2551" w:type="dxa"/>
            <w:tcBorders>
              <w:left w:val="single" w:sz="6" w:space="0" w:color="000000"/>
              <w:right w:val="single" w:sz="6" w:space="0" w:color="000000"/>
            </w:tcBorders>
            <w:vAlign w:val="center"/>
          </w:tcPr>
          <w:p>
            <w:pPr>
              <w:pStyle w:val="19"/>
            </w:pPr>
            <w:r>
              <w:t>70.06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21303</w:t>
            </w:r>
          </w:p>
        </w:tc>
        <w:tc>
          <w:tcPr>
            <w:tcW w:w="4535" w:type="dxa"/>
            <w:tcBorders>
              <w:left w:val="single" w:sz="6" w:space="0" w:color="000000"/>
              <w:right w:val="single" w:sz="6" w:space="0" w:color="000000"/>
            </w:tcBorders>
            <w:vAlign w:val="center"/>
          </w:tcPr>
          <w:p>
            <w:pPr>
              <w:pStyle w:val="20"/>
            </w:pPr>
            <w:r>
              <w:t>水利</w:t>
            </w:r>
          </w:p>
        </w:tc>
        <w:tc>
          <w:tcPr>
            <w:tcW w:w="2551" w:type="dxa"/>
            <w:tcBorders>
              <w:left w:val="single" w:sz="6" w:space="0" w:color="000000"/>
              <w:right w:val="single" w:sz="6" w:space="0" w:color="000000"/>
            </w:tcBorders>
            <w:vAlign w:val="center"/>
          </w:tcPr>
          <w:p>
            <w:pPr>
              <w:pStyle w:val="19"/>
            </w:pPr>
            <w:r>
              <w:t>70.06</w:t>
            </w:r>
          </w:p>
        </w:tc>
        <w:tc>
          <w:tcPr>
            <w:tcW w:w="2551" w:type="dxa"/>
            <w:tcBorders>
              <w:left w:val="single" w:sz="6" w:space="0" w:color="000000"/>
              <w:right w:val="single" w:sz="6" w:space="0" w:color="000000"/>
            </w:tcBorders>
            <w:vAlign w:val="center"/>
          </w:tcPr>
          <w:p>
            <w:pPr>
              <w:pStyle w:val="19"/>
            </w:pPr>
            <w:r>
              <w:t>70.06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2130306</w:t>
            </w:r>
          </w:p>
        </w:tc>
        <w:tc>
          <w:tcPr>
            <w:tcW w:w="4535" w:type="dxa"/>
            <w:tcBorders>
              <w:left w:val="single" w:sz="6" w:space="0" w:color="000000"/>
              <w:right w:val="single" w:sz="6" w:space="0" w:color="000000"/>
            </w:tcBorders>
            <w:vAlign w:val="center"/>
          </w:tcPr>
          <w:p>
            <w:pPr>
              <w:pStyle w:val="20"/>
            </w:pPr>
            <w:r>
              <w:t>水利工程运行与维护</w:t>
            </w:r>
          </w:p>
        </w:tc>
        <w:tc>
          <w:tcPr>
            <w:tcW w:w="2551" w:type="dxa"/>
            <w:tcBorders>
              <w:left w:val="single" w:sz="6" w:space="0" w:color="000000"/>
              <w:right w:val="single" w:sz="6" w:space="0" w:color="000000"/>
            </w:tcBorders>
            <w:vAlign w:val="center"/>
          </w:tcPr>
          <w:p>
            <w:pPr>
              <w:pStyle w:val="19"/>
            </w:pPr>
            <w:r>
              <w:t>70.06</w:t>
            </w:r>
          </w:p>
        </w:tc>
        <w:tc>
          <w:tcPr>
            <w:tcW w:w="2551" w:type="dxa"/>
            <w:tcBorders>
              <w:left w:val="single" w:sz="6" w:space="0" w:color="000000"/>
              <w:right w:val="single" w:sz="6" w:space="0" w:color="000000"/>
            </w:tcBorders>
            <w:vAlign w:val="center"/>
          </w:tcPr>
          <w:p>
            <w:pPr>
              <w:pStyle w:val="19"/>
            </w:pPr>
            <w:r>
              <w:t>70.06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86.62</w:t>
            </w:r>
          </w:p>
        </w:tc>
        <w:tc>
          <w:tcPr>
            <w:tcW w:w="2551" w:type="dxa"/>
            <w:tcBorders>
              <w:left w:val="single" w:sz="6" w:space="0" w:color="000000"/>
              <w:right w:val="single" w:sz="6" w:space="0" w:color="000000"/>
            </w:tcBorders>
            <w:vAlign w:val="center"/>
          </w:tcPr>
          <w:p>
            <w:pPr>
              <w:pStyle w:val="23"/>
            </w:pPr>
            <w:r>
              <w:t>79.28</w:t>
            </w:r>
          </w:p>
        </w:tc>
        <w:tc>
          <w:tcPr>
            <w:tcW w:w="2551" w:type="dxa"/>
            <w:tcBorders>
              <w:left w:val="single" w:sz="6" w:space="0" w:color="000000"/>
              <w:right w:val="single" w:sz="6" w:space="0" w:color="000000"/>
            </w:tcBorders>
            <w:vAlign w:val="center"/>
          </w:tcPr>
          <w:p>
            <w:pPr>
              <w:pStyle w:val="23"/>
            </w:pPr>
            <w:r>
              <w:t>7.34</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70.97</w:t>
            </w:r>
          </w:p>
        </w:tc>
        <w:tc>
          <w:tcPr>
            <w:tcW w:w="2551" w:type="dxa"/>
            <w:tcBorders>
              <w:left w:val="single" w:sz="6" w:space="0" w:color="000000"/>
              <w:right w:val="single" w:sz="6" w:space="0" w:color="000000"/>
            </w:tcBorders>
            <w:vAlign w:val="center"/>
          </w:tcPr>
          <w:p>
            <w:pPr>
              <w:pStyle w:val="19"/>
            </w:pPr>
            <w:r>
              <w:t>70.97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16.50</w:t>
            </w:r>
          </w:p>
        </w:tc>
        <w:tc>
          <w:tcPr>
            <w:tcW w:w="2551" w:type="dxa"/>
            <w:tcBorders>
              <w:left w:val="single" w:sz="6" w:space="0" w:color="000000"/>
              <w:right w:val="single" w:sz="6" w:space="0" w:color="000000"/>
            </w:tcBorders>
            <w:vAlign w:val="center"/>
          </w:tcPr>
          <w:p>
            <w:pPr>
              <w:pStyle w:val="19"/>
            </w:pPr>
            <w:r>
              <w:t>16.50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18.19</w:t>
            </w:r>
          </w:p>
        </w:tc>
        <w:tc>
          <w:tcPr>
            <w:tcW w:w="2551" w:type="dxa"/>
            <w:tcBorders>
              <w:left w:val="single" w:sz="6" w:space="0" w:color="000000"/>
              <w:right w:val="single" w:sz="6" w:space="0" w:color="000000"/>
            </w:tcBorders>
            <w:vAlign w:val="center"/>
          </w:tcPr>
          <w:p>
            <w:pPr>
              <w:pStyle w:val="19"/>
            </w:pPr>
            <w:r>
              <w:t>18.19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2.44</w:t>
            </w:r>
          </w:p>
        </w:tc>
        <w:tc>
          <w:tcPr>
            <w:tcW w:w="2551" w:type="dxa"/>
            <w:tcBorders>
              <w:left w:val="single" w:sz="6" w:space="0" w:color="000000"/>
              <w:right w:val="single" w:sz="6" w:space="0" w:color="000000"/>
            </w:tcBorders>
            <w:vAlign w:val="center"/>
          </w:tcPr>
          <w:p>
            <w:pPr>
              <w:pStyle w:val="19"/>
            </w:pPr>
            <w:r>
              <w:t>2.44</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4.46</w:t>
            </w:r>
          </w:p>
        </w:tc>
        <w:tc>
          <w:tcPr>
            <w:tcW w:w="2551" w:type="dxa"/>
            <w:tcBorders>
              <w:left w:val="single" w:sz="6" w:space="0" w:color="000000"/>
              <w:right w:val="single" w:sz="6" w:space="0" w:color="000000"/>
            </w:tcBorders>
            <w:vAlign w:val="center"/>
          </w:tcPr>
          <w:p>
            <w:pPr>
              <w:pStyle w:val="19"/>
            </w:pPr>
            <w:r>
              <w:t>4.46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0.43</w:t>
            </w:r>
          </w:p>
        </w:tc>
        <w:tc>
          <w:tcPr>
            <w:tcW w:w="2551" w:type="dxa"/>
            <w:tcBorders>
              <w:left w:val="single" w:sz="6" w:space="0" w:color="000000"/>
              <w:right w:val="single" w:sz="6" w:space="0" w:color="000000"/>
            </w:tcBorders>
            <w:vAlign w:val="center"/>
          </w:tcPr>
          <w:p>
            <w:pPr>
              <w:pStyle w:val="19"/>
            </w:pPr>
            <w:r>
              <w:t>0.43</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r>
              <w:t>4.27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15.79</w:t>
            </w:r>
          </w:p>
        </w:tc>
        <w:tc>
          <w:tcPr>
            <w:tcW w:w="2551" w:type="dxa"/>
            <w:tcBorders>
              <w:left w:val="single" w:sz="6" w:space="0" w:color="000000"/>
              <w:right w:val="single" w:sz="6" w:space="0" w:color="000000"/>
            </w:tcBorders>
            <w:vAlign w:val="center"/>
          </w:tcPr>
          <w:p>
            <w:pPr>
              <w:pStyle w:val="19"/>
            </w:pPr>
            <w:r>
              <w:t>15.79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7.34</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7.34</w:t>
            </w: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1.00</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2.08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2.08</w:t>
            </w:r>
          </w:p>
        </w:tc>
      </w:tr>
      <w:tr>
        <w:trPr>
          <w:trHeight w:val="369"/>
        </w:trPr>
        <w:tc>
          <w:tcPr>
            <w:tcW w:w="850" w:type="dxa"/>
            <w:tcBorders>
              <w:left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2.00</w:t>
            </w:r>
          </w:p>
        </w:tc>
      </w:tr>
      <w:tr>
        <w:trPr>
          <w:trHeight w:val="369"/>
        </w:trPr>
        <w:tc>
          <w:tcPr>
            <w:tcW w:w="850" w:type="dxa"/>
            <w:tcBorders>
              <w:left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0.12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0.12</w:t>
            </w:r>
          </w:p>
        </w:tc>
      </w:tr>
      <w:tr>
        <w:trPr>
          <w:trHeight w:val="369"/>
        </w:trPr>
        <w:tc>
          <w:tcPr>
            <w:tcW w:w="850" w:type="dxa"/>
            <w:tcBorders>
              <w:left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0.14</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0.14</w:t>
            </w:r>
          </w:p>
        </w:tc>
      </w:tr>
      <w:tr>
        <w:trPr>
          <w:trHeight w:val="369"/>
        </w:trPr>
        <w:tc>
          <w:tcPr>
            <w:tcW w:w="850" w:type="dxa"/>
            <w:tcBorders>
              <w:left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2.00</w:t>
            </w:r>
          </w:p>
        </w:tc>
      </w:tr>
      <w:tr>
        <w:trPr>
          <w:trHeight w:val="369"/>
        </w:trPr>
        <w:tc>
          <w:tcPr>
            <w:tcW w:w="850" w:type="dxa"/>
            <w:tcBorders>
              <w:left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8.31</w:t>
            </w:r>
          </w:p>
        </w:tc>
        <w:tc>
          <w:tcPr>
            <w:tcW w:w="2551" w:type="dxa"/>
            <w:tcBorders>
              <w:left w:val="single" w:sz="6" w:space="0" w:color="000000"/>
              <w:right w:val="single" w:sz="6" w:space="0" w:color="000000"/>
            </w:tcBorders>
            <w:vAlign w:val="center"/>
          </w:tcPr>
          <w:p>
            <w:pPr>
              <w:pStyle w:val="19"/>
            </w:pPr>
            <w:r>
              <w:t>8.31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8.28</w:t>
            </w:r>
          </w:p>
        </w:tc>
        <w:tc>
          <w:tcPr>
            <w:tcW w:w="2551" w:type="dxa"/>
            <w:tcBorders>
              <w:left w:val="single" w:sz="6" w:space="0" w:color="000000"/>
              <w:right w:val="single" w:sz="6" w:space="0" w:color="000000"/>
            </w:tcBorders>
            <w:vAlign w:val="center"/>
          </w:tcPr>
          <w:p>
            <w:pPr>
              <w:pStyle w:val="19"/>
            </w:pPr>
            <w:r>
              <w:t>8.28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0.03</w:t>
            </w:r>
          </w:p>
        </w:tc>
        <w:tc>
          <w:tcPr>
            <w:tcW w:w="2551" w:type="dxa"/>
            <w:tcBorders>
              <w:left w:val="single" w:sz="6" w:space="0" w:color="000000"/>
              <w:right w:val="single" w:sz="6" w:space="0" w:color="000000"/>
            </w:tcBorders>
            <w:vAlign w:val="center"/>
          </w:tcPr>
          <w:p>
            <w:pPr>
              <w:pStyle w:val="19"/>
            </w:pPr>
            <w:r>
              <w:t>0.03</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2.00</w:t>
            </w:r>
          </w:p>
        </w:tc>
        <w:tc>
          <w:tcPr>
            <w:tcW w:w="2381" w:type="dxa"/>
            <w:tcBorders>
              <w:left w:val="single" w:sz="6" w:space="0" w:color="000000"/>
              <w:right w:val="single" w:sz="6" w:space="0" w:color="000000"/>
            </w:tcBorders>
            <w:vAlign w:val="center"/>
          </w:tcPr>
          <w:p>
            <w:pPr>
              <w:pStyle w:val="23"/>
            </w:pPr>
            <w:r>
              <w:t>2.00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4</w:t>
            </w:r>
          </w:p>
        </w:tc>
        <w:tc>
          <w:tcPr>
            <w:tcW w:w="3798" w:type="dxa"/>
            <w:tcBorders>
              <w:left w:val="single" w:sz="6" w:space="0" w:color="000000"/>
              <w:right w:val="single" w:sz="6" w:space="0" w:color="000000"/>
            </w:tcBorders>
            <w:vAlign w:val="center"/>
          </w:tcPr>
          <w:p>
            <w:pPr>
              <w:pStyle w:val="20"/>
            </w:pPr>
            <w:r>
              <w:t xml:space="preserve">    其中：教学科研人员因公出国（境）费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7</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唐山市丰润区水利局左家坞灌区管理所2023年单位预算信息公开情况说明</w:t>
      </w:r>
    </w:p>
    <w:p>
      <w:pPr>
        <w:spacing w:line="500" w:lineRule="exact"/>
        <w:ind w:firstLine="560"/>
      </w:pPr>
      <w:r>
        <w:rPr>
          <w:rFonts w:eastAsia="方正仿宋_GBK"/>
          <w:color w:val="000000"/>
          <w:sz w:val="28"/>
        </w:rPr>
        <w:t>按照《中华人民共和国</w:t>
      </w:r>
      <w:bookmarkStart w:id="1" w:name="_GoBack"/>
      <w:bookmarkEnd w:id="1"/>
      <w:r>
        <w:rPr>
          <w:rFonts w:eastAsia="方正仿宋_GBK"/>
          <w:color w:val="000000"/>
          <w:sz w:val="28"/>
        </w:rPr>
        <w:t>预算法》、《地方预决算公开操作规程》和《关于进一步推进预算公开工作的实施意见》规定，现将唐山市丰润区水利局左家坞灌区管理所2023年单位预算公开如下：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ind w:firstLineChars="200" w:firstLine="560"/>
        <w:rPr>
          <w:rFonts w:ascii="宋体" w:hAnsi="宋体"/>
          <w:sz w:val="28"/>
          <w:szCs w:val="28"/>
        </w:rPr>
      </w:pPr>
      <w:r>
        <w:rPr>
          <w:rFonts w:ascii="宋体" w:hAnsi="宋体" w:hint="eastAsia"/>
          <w:sz w:val="28"/>
          <w:szCs w:val="28"/>
        </w:rPr>
        <w:t>负责左家坞、泉河头两个乡镇3万亩</w:t>
      </w:r>
      <w:r>
        <w:rPr>
          <w:rFonts w:ascii="宋体" w:hAnsi="宋体"/>
          <w:sz w:val="28"/>
          <w:szCs w:val="28"/>
        </w:rPr>
        <w:t>土地</w:t>
      </w:r>
      <w:r>
        <w:rPr>
          <w:rFonts w:ascii="宋体" w:hAnsi="宋体" w:hint="eastAsia"/>
          <w:sz w:val="28"/>
          <w:szCs w:val="28"/>
        </w:rPr>
        <w:t>的灌溉任务，负责辖区内70座水工建筑设施的维修养护，调度运行和邱庄水库北口的看护、调度运行工作；负责辖区内拦蓄、排泄水及小型水利工程的规划设计施工工作。</w:t>
      </w:r>
    </w:p>
    <w:p>
      <w:pPr>
        <w:ind w:firstLineChars="200" w:firstLine="640"/>
        <w:rPr>
          <w:rFonts w:ascii="Calibri" w:eastAsia="方正楷体_GBK" w:cs="方正楷体_GBK" w:hAnsi="Calibri"/>
          <w:b/>
          <w:color w:val="000000"/>
          <w:sz w:val="32"/>
          <w:lang w:val="uk-UA"/>
        </w:rPr>
      </w:pPr>
      <w:r>
        <w:rPr>
          <w:rFonts w:ascii="方正楷体_GBK" w:eastAsia="方正楷体_GBK" w:cs="方正楷体_GBK"/>
          <w:b/>
          <w:color w:val="000000"/>
          <w:sz w:val="32"/>
        </w:rPr>
        <w:t>机构设置：</w:t>
      </w:r>
    </w:p>
    <w:p>
      <w:pPr>
        <w:spacing w:after="160" w:line="580" w:lineRule="exact"/>
        <w:ind w:firstLineChars="200" w:firstLine="560"/>
        <w:rPr>
          <w:rFonts w:ascii="宋体" w:eastAsia="宋体"/>
          <w:sz w:val="28"/>
          <w:szCs w:val="28"/>
        </w:rPr>
      </w:pPr>
      <w:r>
        <w:rPr>
          <w:rFonts w:ascii="宋体" w:eastAsia="宋体" w:cs="仿宋" w:hint="eastAsia"/>
          <w:sz w:val="28"/>
          <w:szCs w:val="28"/>
        </w:rPr>
        <w:t>我单位唐山市丰润区水利局左家坞灌区管理所为财政补助事业单位，经费形式为财政拨款。人员编制数5人，实有在编人数</w:t>
      </w:r>
      <w:r>
        <w:rPr>
          <w:rFonts w:ascii="宋体" w:eastAsia="宋体" w:cs="仿宋"/>
          <w:sz w:val="28"/>
          <w:szCs w:val="28"/>
        </w:rPr>
        <w:t>4</w:t>
      </w:r>
      <w:r>
        <w:rPr>
          <w:rFonts w:ascii="宋体" w:eastAsia="宋体" w:cs="仿宋" w:hint="eastAsia"/>
          <w:sz w:val="28"/>
          <w:szCs w:val="28"/>
        </w:rPr>
        <w:t>人。</w:t>
      </w:r>
    </w:p>
    <w:p>
      <w:pPr>
        <w:ind w:firstLineChars="200" w:firstLine="480"/>
        <w:rPr>
          <w:rFonts w:ascii="Calibri" w:hAnsi="Calibri"/>
        </w:rPr>
      </w:pP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唐山市丰润区水利局左家坞灌区管理所</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tcBorders>
              <w:left w:val="single" w:sz="6" w:space="0" w:color="000000"/>
              <w:right w:val="single" w:sz="6" w:space="0" w:color="000000"/>
            </w:tcBorders>
            <w:vAlign w:val="center"/>
          </w:tcPr>
          <w:p>
            <w:pPr>
              <w:pStyle w:val="21"/>
            </w:pPr>
            <w:r>
              <w:t>财政性资金基本保证</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Chars="200" w:firstLine="560"/>
        <w:rPr>
          <w:rFonts w:eastAsia="方正仿宋_GBK"/>
          <w:sz w:val="28"/>
        </w:rPr>
      </w:pPr>
      <w:r>
        <w:rPr>
          <w:rFonts w:eastAsia="方正仿宋_GBK" w:hint="eastAsia"/>
          <w:sz w:val="28"/>
        </w:rPr>
        <w:t>（一）收入说明</w:t>
      </w:r>
    </w:p>
    <w:p>
      <w:pPr>
        <w:spacing w:line="500" w:lineRule="exact"/>
        <w:ind w:firstLineChars="200" w:firstLine="560"/>
        <w:rPr>
          <w:rFonts w:eastAsia="方正仿宋_GBK"/>
          <w:sz w:val="28"/>
        </w:rPr>
      </w:pPr>
      <w:r>
        <w:rPr>
          <w:rFonts w:eastAsia="方正仿宋_GBK"/>
          <w:sz w:val="28"/>
        </w:rPr>
        <w:t>202</w:t>
      </w:r>
      <w:r>
        <w:rPr>
          <w:rFonts w:eastAsia="方正仿宋_GBK" w:hint="eastAsia"/>
          <w:sz w:val="28"/>
        </w:rPr>
        <w:t>3年</w:t>
      </w:r>
      <w:r>
        <w:rPr>
          <w:rFonts w:eastAsia="方正仿宋_GBK" w:hint="eastAsia"/>
          <w:sz w:val="28"/>
          <w:lang w:eastAsia="zh-CN"/>
        </w:rPr>
        <w:t>单位</w:t>
      </w:r>
      <w:r>
        <w:rPr>
          <w:rFonts w:eastAsia="方正仿宋_GBK" w:hint="eastAsia"/>
          <w:sz w:val="28"/>
        </w:rPr>
        <w:t>预算收入</w:t>
      </w:r>
      <w:r>
        <w:rPr>
          <w:rFonts w:ascii="宋体" w:eastAsia="宋体" w:cs="仿宋"/>
          <w:sz w:val="28"/>
          <w:szCs w:val="28"/>
        </w:rPr>
        <w:t>86.62</w:t>
      </w:r>
      <w:r>
        <w:rPr>
          <w:rFonts w:eastAsia="方正仿宋_GBK" w:hint="eastAsia"/>
          <w:sz w:val="28"/>
        </w:rPr>
        <w:t>万元，其中一般公共预算收入</w:t>
      </w:r>
      <w:r>
        <w:rPr>
          <w:rFonts w:ascii="宋体" w:eastAsia="宋体" w:cs="仿宋"/>
          <w:sz w:val="28"/>
          <w:szCs w:val="28"/>
        </w:rPr>
        <w:t>86.62</w:t>
      </w:r>
      <w:r>
        <w:rPr>
          <w:rFonts w:eastAsia="方正仿宋_GBK" w:hint="eastAsia"/>
          <w:sz w:val="28"/>
        </w:rPr>
        <w:t>万元，政府性基金收入</w:t>
      </w:r>
      <w:r>
        <w:rPr>
          <w:rFonts w:eastAsia="宋体" w:hint="eastAsia"/>
          <w:sz w:val="28"/>
          <w:lang w:eastAsia="zh-CN"/>
        </w:rPr>
        <w:t>0</w:t>
      </w:r>
      <w:r>
        <w:rPr>
          <w:rFonts w:eastAsia="方正仿宋_GBK" w:hint="eastAsia"/>
          <w:sz w:val="28"/>
        </w:rPr>
        <w:t>万元，国有资本经营预算收入</w:t>
      </w:r>
      <w:r>
        <w:rPr>
          <w:rFonts w:eastAsia="方正仿宋_GBK"/>
          <w:sz w:val="28"/>
        </w:rPr>
        <w:t>0</w:t>
      </w:r>
      <w:r>
        <w:rPr>
          <w:rFonts w:eastAsia="方正仿宋_GBK" w:hint="eastAsia"/>
          <w:sz w:val="28"/>
        </w:rPr>
        <w:t>万元，上年结转结余</w:t>
      </w:r>
      <w:r>
        <w:rPr>
          <w:rFonts w:eastAsia="宋体" w:hint="eastAsia"/>
          <w:sz w:val="28"/>
          <w:lang w:eastAsia="zh-CN"/>
        </w:rPr>
        <w:t>0</w:t>
      </w:r>
      <w:r>
        <w:rPr>
          <w:rFonts w:eastAsia="方正仿宋_GBK" w:hint="eastAsia"/>
          <w:sz w:val="28"/>
        </w:rPr>
        <w:t>万元。</w:t>
      </w:r>
    </w:p>
    <w:p>
      <w:pPr>
        <w:spacing w:line="500" w:lineRule="exact"/>
        <w:ind w:firstLineChars="200" w:firstLine="560"/>
        <w:rPr>
          <w:rFonts w:eastAsia="方正仿宋_GBK"/>
          <w:sz w:val="28"/>
        </w:rPr>
      </w:pPr>
      <w:r>
        <w:rPr>
          <w:rFonts w:eastAsia="方正仿宋_GBK" w:hint="eastAsia"/>
          <w:sz w:val="28"/>
        </w:rPr>
        <w:t>（二）支出说明</w:t>
      </w:r>
    </w:p>
    <w:p>
      <w:pPr>
        <w:spacing w:line="500" w:lineRule="exact"/>
        <w:ind w:firstLineChars="200" w:firstLine="560"/>
        <w:rPr>
          <w:rFonts w:eastAsia="方正仿宋_GBK"/>
          <w:sz w:val="28"/>
        </w:rPr>
      </w:pPr>
      <w:r>
        <w:rPr>
          <w:rFonts w:eastAsia="方正仿宋_GBK" w:hint="eastAsia"/>
          <w:sz w:val="28"/>
        </w:rPr>
        <w:t>2023年</w:t>
      </w:r>
      <w:r>
        <w:rPr>
          <w:rFonts w:eastAsia="方正仿宋_GBK" w:hint="eastAsia"/>
          <w:sz w:val="28"/>
          <w:lang w:eastAsia="zh-CN"/>
        </w:rPr>
        <w:t>单位</w:t>
      </w:r>
      <w:r>
        <w:rPr>
          <w:rFonts w:eastAsia="方正仿宋_GBK" w:hint="eastAsia"/>
          <w:sz w:val="28"/>
        </w:rPr>
        <w:t>预算支出</w:t>
      </w:r>
      <w:r>
        <w:rPr>
          <w:rFonts w:ascii="宋体" w:eastAsia="宋体" w:cs="仿宋"/>
          <w:sz w:val="28"/>
          <w:szCs w:val="28"/>
        </w:rPr>
        <w:t>86.62</w:t>
      </w:r>
      <w:r>
        <w:rPr>
          <w:rFonts w:eastAsia="方正仿宋_GBK" w:hint="eastAsia"/>
          <w:sz w:val="28"/>
        </w:rPr>
        <w:t>万元，其中基本支出</w:t>
      </w:r>
      <w:r>
        <w:rPr>
          <w:rFonts w:ascii="宋体" w:eastAsia="宋体" w:cs="仿宋"/>
          <w:sz w:val="28"/>
          <w:szCs w:val="28"/>
        </w:rPr>
        <w:t>86.62</w:t>
      </w:r>
      <w:r>
        <w:rPr>
          <w:rFonts w:eastAsia="方正仿宋_GBK" w:hint="eastAsia"/>
          <w:sz w:val="28"/>
        </w:rPr>
        <w:t>万元，包含人员经费</w:t>
      </w:r>
      <w:r>
        <w:rPr>
          <w:rFonts w:ascii="宋体" w:eastAsia="宋体" w:cs="仿宋"/>
          <w:sz w:val="28"/>
          <w:szCs w:val="28"/>
        </w:rPr>
        <w:t>79.28</w:t>
      </w:r>
      <w:r>
        <w:rPr>
          <w:rFonts w:eastAsia="方正仿宋_GBK" w:hint="eastAsia"/>
          <w:sz w:val="28"/>
        </w:rPr>
        <w:t>元、正常公用经费</w:t>
      </w:r>
      <w:r>
        <w:rPr>
          <w:rFonts w:ascii="宋体" w:eastAsia="宋体" w:cs="仿宋"/>
          <w:sz w:val="28"/>
          <w:szCs w:val="28"/>
        </w:rPr>
        <w:t>7.34</w:t>
      </w:r>
      <w:r>
        <w:rPr>
          <w:rFonts w:eastAsia="方正仿宋_GBK" w:hint="eastAsia"/>
          <w:sz w:val="28"/>
        </w:rPr>
        <w:t>万元，项目支出</w:t>
      </w:r>
      <w:r>
        <w:rPr>
          <w:rFonts w:eastAsia="宋体" w:hint="eastAsia"/>
          <w:sz w:val="28"/>
          <w:lang w:eastAsia="zh-CN"/>
        </w:rPr>
        <w:t>0</w:t>
      </w:r>
      <w:r>
        <w:rPr>
          <w:rFonts w:eastAsia="方正仿宋_GBK" w:hint="eastAsia"/>
          <w:sz w:val="28"/>
        </w:rPr>
        <w:t>万元。</w:t>
      </w:r>
    </w:p>
    <w:p>
      <w:pPr>
        <w:spacing w:line="500" w:lineRule="exact"/>
        <w:ind w:firstLineChars="200" w:firstLine="560"/>
        <w:rPr>
          <w:rFonts w:eastAsia="方正仿宋_GBK"/>
          <w:sz w:val="28"/>
        </w:rPr>
      </w:pPr>
      <w:r>
        <w:rPr>
          <w:rFonts w:eastAsia="方正仿宋_GBK" w:hint="eastAsia"/>
          <w:sz w:val="28"/>
        </w:rPr>
        <w:t>（三）比上年增减情况</w:t>
      </w:r>
    </w:p>
    <w:p>
      <w:pPr>
        <w:spacing w:line="500" w:lineRule="exact"/>
        <w:ind w:firstLine="560"/>
        <w:rPr>
          <w:rFonts w:eastAsia="宋体"/>
          <w:lang w:eastAsia="zh-CN"/>
        </w:rPr>
      </w:pPr>
      <w:r>
        <w:rPr>
          <w:rFonts w:eastAsia="方正仿宋_GBK" w:hint="eastAsia"/>
          <w:sz w:val="28"/>
        </w:rPr>
        <w:t xml:space="preserve"> 2023年</w:t>
      </w:r>
      <w:r>
        <w:rPr>
          <w:rFonts w:eastAsia="方正仿宋_GBK" w:hint="eastAsia"/>
          <w:sz w:val="28"/>
          <w:lang w:eastAsia="zh-CN"/>
        </w:rPr>
        <w:t>单位</w:t>
      </w:r>
      <w:r>
        <w:rPr>
          <w:rFonts w:eastAsia="方正仿宋_GBK" w:hint="eastAsia"/>
          <w:sz w:val="28"/>
        </w:rPr>
        <w:t>预算较2022年增加</w:t>
      </w:r>
      <w:r>
        <w:rPr>
          <w:rFonts w:ascii="宋体" w:eastAsia="宋体"/>
          <w:sz w:val="28"/>
          <w:szCs w:val="28"/>
        </w:rPr>
        <w:t>28</w:t>
      </w:r>
      <w:r>
        <w:rPr>
          <w:rFonts w:ascii="宋体" w:eastAsia="宋体" w:hint="eastAsia"/>
          <w:sz w:val="28"/>
          <w:szCs w:val="28"/>
        </w:rPr>
        <w:t>.0</w:t>
      </w:r>
      <w:r>
        <w:rPr>
          <w:rFonts w:ascii="宋体" w:eastAsia="宋体"/>
          <w:sz w:val="28"/>
          <w:szCs w:val="28"/>
        </w:rPr>
        <w:t>4</w:t>
      </w:r>
      <w:r>
        <w:rPr>
          <w:rFonts w:eastAsia="方正仿宋_GBK" w:hint="eastAsia"/>
          <w:sz w:val="28"/>
        </w:rPr>
        <w:t>万元，其中人员经费增加</w:t>
      </w:r>
      <w:r>
        <w:rPr>
          <w:rFonts w:ascii="宋体" w:eastAsia="宋体"/>
          <w:sz w:val="28"/>
          <w:szCs w:val="28"/>
        </w:rPr>
        <w:t>27.73</w:t>
      </w:r>
      <w:r>
        <w:rPr>
          <w:rFonts w:eastAsia="方正仿宋_GBK" w:hint="eastAsia"/>
          <w:sz w:val="28"/>
        </w:rPr>
        <w:t>万元（增加原因为在职人员增加及工资调整）、正常公用经费较2022年</w:t>
      </w:r>
      <w:r>
        <w:rPr>
          <w:rFonts w:ascii="宋体" w:eastAsia="宋体" w:hint="eastAsia"/>
          <w:sz w:val="28"/>
          <w:szCs w:val="28"/>
        </w:rPr>
        <w:t>增加0.</w:t>
      </w:r>
      <w:r>
        <w:rPr>
          <w:rFonts w:ascii="宋体" w:eastAsia="宋体"/>
          <w:sz w:val="28"/>
          <w:szCs w:val="28"/>
        </w:rPr>
        <w:t>31</w:t>
      </w:r>
      <w:r>
        <w:rPr>
          <w:rFonts w:eastAsia="方正仿宋_GBK" w:hint="eastAsia"/>
          <w:sz w:val="28"/>
        </w:rPr>
        <w:t>万元（增加原因为在职人员增加正常公用经费支出安排增加）</w:t>
      </w:r>
      <w:r>
        <w:rPr>
          <w:rFonts w:eastAsia="宋体" w:hint="eastAsia"/>
          <w:sz w:val="28"/>
          <w:lang w:eastAsia="zh-CN"/>
        </w:rPr>
        <w:t>。</w:t>
      </w:r>
    </w:p>
    <w:p>
      <w:pPr>
        <w:spacing w:before="10" w:after="10"/>
        <w:ind w:firstLine="640"/>
        <w:outlineLvl w:val="5"/>
        <w:rPr>
          <w:rFonts w:ascii="Calibri" w:eastAsia="黑体" w:cs="黑体" w:hAnsi="Calibri"/>
          <w:color w:val="000000"/>
          <w:sz w:val="32"/>
          <w:lang w:val="uk-UA"/>
        </w:rPr>
      </w:pPr>
      <w:r>
        <w:rPr>
          <w:rFonts w:ascii="黑体" w:eastAsia="黑体" w:cs="黑体"/>
          <w:color w:val="000000"/>
          <w:sz w:val="32"/>
        </w:rPr>
        <w:t>三、</w:t>
      </w:r>
      <w:r>
        <w:rPr>
          <w:rFonts w:ascii="黑体" w:eastAsia="黑体" w:cs="黑体" w:hint="eastAsia"/>
          <w:color w:val="000000"/>
          <w:sz w:val="32"/>
          <w:lang w:eastAsia="zh-CN"/>
        </w:rPr>
        <w:t>单位</w:t>
      </w:r>
      <w:r>
        <w:rPr>
          <w:rFonts w:ascii="黑体" w:eastAsia="黑体" w:cs="黑体"/>
          <w:color w:val="000000"/>
          <w:sz w:val="32"/>
        </w:rPr>
        <w:t>运行经费安排情况</w:t>
      </w:r>
    </w:p>
    <w:p>
      <w:pPr>
        <w:pStyle w:val="35"/>
        <w:rPr>
          <w:rFonts w:eastAsia="宋体"/>
          <w:lang w:eastAsia="zh-CN"/>
        </w:rPr>
      </w:pPr>
      <w:r>
        <w:rPr>
          <w:rFonts w:hint="eastAsia"/>
        </w:rPr>
        <w:t>2023年</w:t>
      </w:r>
      <w:r>
        <w:rPr>
          <w:rFonts w:hint="eastAsia"/>
          <w:lang w:eastAsia="zh-CN"/>
        </w:rPr>
        <w:t>单位</w:t>
      </w:r>
      <w:r>
        <w:rPr>
          <w:rFonts w:hint="eastAsia"/>
        </w:rPr>
        <w:t>运行经费共计安排</w:t>
      </w:r>
      <w:r>
        <w:rPr>
          <w:rFonts w:eastAsia="宋体" w:hint="eastAsia"/>
          <w:lang w:eastAsia="zh-CN"/>
        </w:rPr>
        <w:t>7.34</w:t>
      </w:r>
      <w:r>
        <w:rPr>
          <w:rFonts w:hint="eastAsia"/>
        </w:rPr>
        <w:t>万元，主要包括用于保证</w:t>
      </w:r>
      <w:r>
        <w:rPr>
          <w:rFonts w:hint="eastAsia"/>
          <w:lang w:eastAsia="zh-CN"/>
        </w:rPr>
        <w:t>单位</w:t>
      </w:r>
      <w:r>
        <w:rPr>
          <w:rFonts w:hint="eastAsia"/>
        </w:rPr>
        <w:t>正常运转的办公费、福利费、水电费、办公取暖费、公务车运行维护费</w:t>
      </w:r>
      <w:r>
        <w:rPr>
          <w:rFonts w:eastAsia="宋体" w:hint="eastAsia"/>
          <w:lang w:eastAsia="zh-CN"/>
        </w:rPr>
        <w:t>、劳务费、工会经费</w:t>
      </w:r>
      <w:r>
        <w:rPr>
          <w:rFonts w:hint="eastAsia"/>
        </w:rPr>
        <w:t>等支出。</w:t>
      </w:r>
    </w:p>
    <w:p>
      <w:pPr>
        <w:spacing w:before="10" w:after="10"/>
        <w:ind w:firstLine="640"/>
        <w:outlineLvl w:val="5"/>
        <w:rPr>
          <w:rFonts w:ascii="Calibri" w:eastAsia="黑体" w:cs="黑体" w:hAnsi="Calibri"/>
          <w:color w:val="000000"/>
          <w:sz w:val="32"/>
          <w:lang w:val="uk-UA"/>
        </w:rPr>
      </w:pPr>
      <w:r>
        <w:rPr>
          <w:rFonts w:ascii="黑体" w:eastAsia="黑体" w:cs="黑体"/>
          <w:color w:val="000000"/>
          <w:sz w:val="32"/>
        </w:rPr>
        <w:t>四、财政拨款“三公”经费预算情况及增减变化原因</w:t>
      </w:r>
    </w:p>
    <w:p>
      <w:pPr>
        <w:spacing w:line="500" w:lineRule="exact"/>
        <w:ind w:firstLineChars="200" w:firstLine="560"/>
        <w:rPr>
          <w:rFonts w:eastAsia="方正仿宋_GBK"/>
          <w:sz w:val="28"/>
        </w:rPr>
      </w:pPr>
      <w:r>
        <w:rPr>
          <w:rFonts w:eastAsia="方正仿宋_GBK" w:hint="eastAsia"/>
          <w:sz w:val="28"/>
        </w:rPr>
        <w:t>2023年我</w:t>
      </w:r>
      <w:r>
        <w:rPr>
          <w:rFonts w:eastAsia="方正仿宋_GBK" w:hint="eastAsia"/>
          <w:sz w:val="28"/>
          <w:lang w:eastAsia="zh-CN"/>
        </w:rPr>
        <w:t>单位</w:t>
      </w:r>
      <w:r>
        <w:rPr>
          <w:rFonts w:eastAsia="方正仿宋_GBK" w:hint="eastAsia"/>
          <w:sz w:val="28"/>
        </w:rPr>
        <w:t>“三公”经费预算安排</w:t>
      </w:r>
      <w:r>
        <w:rPr>
          <w:rFonts w:eastAsia="宋体" w:hint="eastAsia"/>
          <w:sz w:val="28"/>
          <w:lang w:eastAsia="zh-CN"/>
        </w:rPr>
        <w:t>2</w:t>
      </w:r>
      <w:r>
        <w:rPr>
          <w:rFonts w:eastAsia="方正仿宋_GBK" w:hint="eastAsia"/>
          <w:sz w:val="28"/>
        </w:rPr>
        <w:t>万元，与2022年预算相比无变化。具体安排情况为：</w:t>
      </w:r>
    </w:p>
    <w:p>
      <w:pPr>
        <w:spacing w:line="500" w:lineRule="exact"/>
        <w:ind w:firstLineChars="200" w:firstLine="560"/>
        <w:rPr>
          <w:rFonts w:eastAsia="方正仿宋_GBK"/>
          <w:sz w:val="28"/>
        </w:rPr>
      </w:pPr>
      <w:r>
        <w:rPr>
          <w:rFonts w:eastAsia="方正仿宋_GBK" w:hint="eastAsia"/>
          <w:sz w:val="28"/>
        </w:rPr>
        <w:t xml:space="preserve">  (一)公务用车购置及运行费。共计安排0万元，与2022年预算相比无变化。</w:t>
      </w:r>
    </w:p>
    <w:p>
      <w:pPr>
        <w:spacing w:line="500" w:lineRule="exact"/>
        <w:ind w:firstLineChars="250" w:firstLine="700"/>
        <w:rPr>
          <w:rFonts w:eastAsia="方正仿宋_GBK"/>
          <w:sz w:val="28"/>
        </w:rPr>
      </w:pPr>
      <w:r>
        <w:rPr>
          <w:rFonts w:eastAsia="方正仿宋_GBK" w:hint="eastAsia"/>
          <w:sz w:val="28"/>
        </w:rPr>
        <w:t>①公务用车购置0万元，与上年持平；</w:t>
      </w:r>
    </w:p>
    <w:p>
      <w:pPr>
        <w:spacing w:line="500" w:lineRule="exact"/>
        <w:ind w:firstLineChars="250" w:firstLine="700"/>
        <w:rPr>
          <w:rFonts w:eastAsia="方正仿宋_GBK"/>
          <w:sz w:val="28"/>
        </w:rPr>
      </w:pPr>
      <w:r>
        <w:rPr>
          <w:rFonts w:eastAsia="方正仿宋_GBK" w:hint="eastAsia"/>
          <w:sz w:val="28"/>
        </w:rPr>
        <w:t xml:space="preserve"> ②公务</w:t>
      </w:r>
      <w:r>
        <w:rPr>
          <w:rFonts w:eastAsia="宋体" w:hint="eastAsia"/>
          <w:sz w:val="28"/>
          <w:lang w:eastAsia="zh-CN"/>
        </w:rPr>
        <w:t>用车</w:t>
      </w:r>
      <w:r>
        <w:rPr>
          <w:rFonts w:eastAsia="方正仿宋_GBK" w:hint="eastAsia"/>
          <w:sz w:val="28"/>
        </w:rPr>
        <w:t>运行维护经费安排</w:t>
      </w:r>
      <w:r>
        <w:rPr>
          <w:rFonts w:eastAsia="宋体" w:hint="eastAsia"/>
          <w:sz w:val="28"/>
          <w:lang w:eastAsia="zh-CN"/>
        </w:rPr>
        <w:t>2</w:t>
      </w:r>
      <w:r>
        <w:rPr>
          <w:rFonts w:eastAsia="方正仿宋_GBK" w:hint="eastAsia"/>
          <w:sz w:val="28"/>
        </w:rPr>
        <w:t>万元，与上年持平</w:t>
      </w:r>
    </w:p>
    <w:p>
      <w:pPr>
        <w:spacing w:line="500" w:lineRule="exact"/>
        <w:ind w:firstLineChars="200" w:firstLine="560"/>
        <w:rPr>
          <w:rFonts w:eastAsia="方正仿宋_GBK"/>
          <w:sz w:val="28"/>
        </w:rPr>
      </w:pPr>
      <w:r>
        <w:rPr>
          <w:rFonts w:eastAsia="方正仿宋_GBK" w:hint="eastAsia"/>
          <w:sz w:val="28"/>
        </w:rPr>
        <w:t>（二）公务接待费。共计安排</w:t>
      </w:r>
      <w:r>
        <w:rPr>
          <w:rFonts w:eastAsia="宋体" w:hint="eastAsia"/>
          <w:sz w:val="28"/>
          <w:lang w:eastAsia="zh-CN"/>
        </w:rPr>
        <w:t>0</w:t>
      </w:r>
      <w:r>
        <w:rPr>
          <w:rFonts w:eastAsia="方正仿宋_GBK" w:hint="eastAsia"/>
          <w:sz w:val="28"/>
        </w:rPr>
        <w:t>万元，与2022年预算相比无变化。</w:t>
      </w:r>
    </w:p>
    <w:p>
      <w:pPr>
        <w:spacing w:line="500" w:lineRule="exact"/>
        <w:ind w:firstLineChars="200" w:firstLine="560"/>
        <w:rPr>
          <w:rFonts w:eastAsia="方正仿宋_GBK"/>
          <w:sz w:val="28"/>
        </w:rPr>
      </w:pPr>
      <w:r>
        <w:rPr>
          <w:rFonts w:eastAsia="方正仿宋_GBK" w:hint="eastAsia"/>
          <w:sz w:val="28"/>
        </w:rPr>
        <w:t>（三）因公出国(境)费安排0万元，与2022年预算相比无变化。</w:t>
      </w:r>
    </w:p>
    <w:p>
      <w:pPr>
        <w:pStyle w:val="36"/>
        <w:rPr>
          <w:lang w:eastAsia="zh-CN"/>
        </w:rPr>
      </w:pPr>
      <w:r>
        <w:rPr>
          <w:rFonts w:hint="eastAsia"/>
        </w:rPr>
        <w:t>（四）培训费。共计安排0万元，与2022年预算相比无变化。</w:t>
      </w:r>
    </w:p>
    <w:p>
      <w:pPr>
        <w:spacing w:before="10" w:after="10"/>
        <w:ind w:firstLineChars="200" w:firstLine="640"/>
        <w:outlineLvl w:val="5"/>
        <w:rPr>
          <w:rFonts w:ascii="Calibri" w:eastAsia="黑体" w:cs="黑体" w:hAnsi="Calibri"/>
          <w:color w:val="000000"/>
          <w:sz w:val="32"/>
          <w:lang w:val="uk-UA"/>
        </w:rPr>
      </w:pPr>
      <w:r>
        <w:rPr>
          <w:rFonts w:ascii="黑体" w:eastAsia="黑体" w:cs="黑体"/>
          <w:color w:val="000000"/>
          <w:sz w:val="32"/>
        </w:rPr>
        <w:t>五、预算绩效信息</w:t>
      </w:r>
    </w:p>
    <w:p>
      <w:pPr>
        <w:adjustRightInd w:val="0"/>
        <w:snapToGrid w:val="0"/>
        <w:spacing w:line="520" w:lineRule="exact"/>
        <w:ind w:firstLineChars="200" w:firstLine="600"/>
        <w:rPr>
          <w:rFonts w:ascii="Calibri" w:eastAsia="方正仿宋_GBK" w:hAnsi="Calibri"/>
          <w:sz w:val="28"/>
          <w:lang w:val="uk-UA"/>
        </w:rPr>
      </w:pPr>
      <w:r>
        <w:rPr>
          <w:rFonts w:ascii="方正仿宋_GBK" w:eastAsia="方正仿宋_GBK" w:hint="eastAsia"/>
          <w:sz w:val="30"/>
          <w:szCs w:val="30"/>
        </w:rPr>
        <w:t>202</w:t>
      </w:r>
      <w:r>
        <w:rPr>
          <w:rFonts w:ascii="方正仿宋_GBK" w:eastAsia="方正仿宋_GBK"/>
          <w:sz w:val="30"/>
          <w:szCs w:val="30"/>
        </w:rPr>
        <w:t>3</w:t>
      </w:r>
      <w:r>
        <w:rPr>
          <w:rFonts w:ascii="方正仿宋_GBK" w:eastAsia="方正仿宋_GBK" w:hint="eastAsia"/>
          <w:sz w:val="30"/>
          <w:szCs w:val="30"/>
        </w:rPr>
        <w:t>年</w:t>
      </w:r>
      <w:r>
        <w:rPr>
          <w:rFonts w:ascii="方正仿宋_GBK" w:eastAsia="方正仿宋_GBK" w:hint="eastAsia"/>
          <w:sz w:val="28"/>
        </w:rPr>
        <w:t>丰润区水利局</w:t>
      </w:r>
      <w:r>
        <w:rPr>
          <w:rFonts w:ascii="宋体" w:eastAsia="宋体" w:cs="仿宋" w:hint="eastAsia"/>
          <w:sz w:val="28"/>
          <w:szCs w:val="28"/>
        </w:rPr>
        <w:t>左家坞</w:t>
      </w:r>
      <w:r>
        <w:rPr>
          <w:rFonts w:ascii="方正仿宋_GBK" w:eastAsia="方正仿宋_GBK" w:hint="eastAsia"/>
          <w:sz w:val="28"/>
        </w:rPr>
        <w:t>灌区管理所无绩效预算信息。</w:t>
      </w:r>
    </w:p>
    <w:p>
      <w:pPr>
        <w:spacing w:before="10" w:after="10"/>
        <w:ind w:firstLineChars="200" w:firstLine="640"/>
        <w:outlineLvl w:val="5"/>
        <w:rPr>
          <w:rFonts w:ascii="Calibri" w:eastAsia="黑体" w:cs="黑体" w:hAnsi="Calibri"/>
          <w:color w:val="000000"/>
          <w:sz w:val="32"/>
          <w:lang w:val="uk-UA"/>
        </w:rPr>
      </w:pPr>
      <w:r>
        <w:rPr>
          <w:rFonts w:ascii="黑体" w:eastAsia="黑体" w:cs="黑体"/>
          <w:color w:val="000000"/>
          <w:sz w:val="32"/>
        </w:rPr>
        <w:t>六、政府采购预算情况</w:t>
      </w:r>
    </w:p>
    <w:p>
      <w:pPr>
        <w:spacing w:line="500" w:lineRule="exact"/>
        <w:ind w:firstLine="560"/>
      </w:pPr>
      <w:r>
        <w:rPr>
          <w:rFonts w:eastAsia="方正仿宋_GBK"/>
          <w:color w:val="000000"/>
          <w:sz w:val="28"/>
        </w:rPr>
        <w:t>2023年，唐山市丰润区水利局左家坞灌区管理所安排政府采购预算0.00万元。具体内容见下表。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332005唐山市丰润区水利局左家坞灌区管理所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spacing w:before="10" w:after="10"/>
        <w:ind w:firstLine="640"/>
        <w:outlineLvl w:val="5"/>
        <w:rPr>
          <w:rFonts w:ascii="Calibri" w:eastAsia="黑体" w:cs="黑体" w:hAnsi="Calibri"/>
          <w:color w:val="000000"/>
          <w:sz w:val="32"/>
          <w:lang w:val="uk-UA"/>
        </w:rPr>
      </w:pPr>
      <w:r>
        <w:rPr>
          <w:rFonts w:ascii="黑体" w:eastAsia="黑体" w:cs="黑体"/>
          <w:color w:val="000000"/>
          <w:sz w:val="32"/>
        </w:rPr>
        <w:t>七、国有资产信息</w:t>
      </w:r>
    </w:p>
    <w:p>
      <w:pPr>
        <w:spacing w:line="500" w:lineRule="exact"/>
        <w:ind w:firstLine="560"/>
      </w:pPr>
      <w:r>
        <w:rPr>
          <w:rFonts w:ascii="方正仿宋_GBK" w:eastAsia="方正仿宋_GBK" w:hint="eastAsia"/>
          <w:szCs w:val="21"/>
        </w:rPr>
        <w:t>唐山市丰润区水利局</w:t>
      </w:r>
      <w:r>
        <w:rPr>
          <w:rFonts w:ascii="宋体" w:eastAsia="宋体" w:cs="仿宋" w:hint="eastAsia"/>
          <w:szCs w:val="21"/>
        </w:rPr>
        <w:t>左家坞</w:t>
      </w:r>
      <w:r>
        <w:rPr>
          <w:rFonts w:ascii="方正仿宋_GBK" w:eastAsia="方正仿宋_GBK" w:hint="eastAsia"/>
          <w:szCs w:val="21"/>
        </w:rPr>
        <w:t>灌区管理所</w:t>
      </w:r>
      <w:r>
        <w:rPr>
          <w:rFonts w:eastAsia="方正仿宋_GBK"/>
          <w:color w:val="000000"/>
          <w:sz w:val="28"/>
        </w:rPr>
        <w:t>上年末固定资产金额为</w:t>
      </w:r>
      <w:r>
        <w:rPr>
          <w:rFonts w:eastAsia="宋体" w:hint="eastAsia"/>
          <w:color w:val="000000"/>
          <w:sz w:val="28"/>
          <w:lang w:eastAsia="zh-CN"/>
        </w:rPr>
        <w:t>178.23</w:t>
      </w:r>
      <w:r>
        <w:rPr>
          <w:rFonts w:eastAsia="方正仿宋_GBK"/>
          <w:color w:val="000000"/>
          <w:sz w:val="28"/>
        </w:rPr>
        <w:t>万元（详见下表）。本年度拟购置固定资产总额为0.00万元，已按要求列入政府采购预算，详见政府采购预算表。</w:t>
      </w:r>
    </w:p>
    <w:p>
      <w:pPr>
        <w:adjustRightInd w:val="0"/>
        <w:snapToGrid w:val="0"/>
        <w:spacing w:line="520" w:lineRule="exact"/>
        <w:ind w:firstLineChars="250" w:firstLine="700"/>
        <w:jc w:val="center"/>
        <w:rPr>
          <w:rFonts w:ascii="方正仿宋_GBK" w:eastAsia="方正仿宋_GBK"/>
          <w:sz w:val="28"/>
        </w:rPr>
      </w:pPr>
      <w:r>
        <w:rPr>
          <w:rFonts w:ascii="方正仿宋_GBK" w:eastAsia="方正仿宋_GBK" w:hint="eastAsia"/>
          <w:sz w:val="28"/>
        </w:rPr>
        <w:t>单位固定资产占用情况表</w:t>
      </w:r>
    </w:p>
    <w:p>
      <w:pPr>
        <w:adjustRightInd w:val="0"/>
        <w:snapToGrid w:val="0"/>
        <w:spacing w:line="400" w:lineRule="exact"/>
        <w:ind w:firstLineChars="600" w:firstLine="1440"/>
        <w:rPr>
          <w:rFonts w:ascii="方正仿宋_GBK" w:eastAsia="方正仿宋_GBK"/>
          <w:szCs w:val="21"/>
        </w:rPr>
      </w:pPr>
      <w:r>
        <w:rPr>
          <w:rFonts w:ascii="方正仿宋_GBK" w:eastAsia="方正仿宋_GBK" w:hint="eastAsia"/>
          <w:szCs w:val="21"/>
        </w:rPr>
        <w:t>编制单位：唐山市丰润区水利局</w:t>
      </w:r>
      <w:r>
        <w:rPr>
          <w:rFonts w:ascii="宋体" w:eastAsia="宋体" w:cs="仿宋" w:hint="eastAsia"/>
          <w:szCs w:val="21"/>
        </w:rPr>
        <w:t>左家坞</w:t>
      </w:r>
      <w:r>
        <w:rPr>
          <w:rFonts w:ascii="方正仿宋_GBK" w:eastAsia="方正仿宋_GBK" w:hint="eastAsia"/>
          <w:szCs w:val="21"/>
        </w:rPr>
        <w:t>灌区管理所  截止时间：202</w:t>
      </w:r>
      <w:r>
        <w:rPr>
          <w:rFonts w:ascii="方正仿宋_GBK" w:eastAsia="方正仿宋_GBK"/>
          <w:szCs w:val="21"/>
        </w:rPr>
        <w:t>2</w:t>
      </w:r>
      <w:r>
        <w:rPr>
          <w:rFonts w:ascii="方正仿宋_GBK" w:eastAsia="方正仿宋_GBK" w:hint="eastAsia"/>
          <w:szCs w:val="21"/>
        </w:rPr>
        <w:t>年12月31日</w:t>
      </w:r>
    </w:p>
    <w:tbl>
      <w:tblPr>
        <w:jc w:val="left"/>
        <w:tblInd w:w="1830" w:type="dxa"/>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3807"/>
        <w:gridCol w:w="1546"/>
        <w:gridCol w:w="5399"/>
      </w:tblGrid>
      <w:tr>
        <w:tc>
          <w:tcPr>
            <w:tcW w:w="3807"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项   目</w:t>
            </w:r>
          </w:p>
        </w:tc>
        <w:tc>
          <w:tcPr>
            <w:tcW w:w="1546"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数  量</w:t>
            </w:r>
          </w:p>
        </w:tc>
        <w:tc>
          <w:tcPr>
            <w:tcW w:w="539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价值（金额单位：万元）</w:t>
            </w:r>
          </w:p>
        </w:tc>
      </w:tr>
      <w:tr>
        <w:tc>
          <w:tcPr>
            <w:tcW w:w="3807" w:type="dxa"/>
          </w:tcPr>
          <w:p>
            <w:pPr>
              <w:adjustRightInd w:val="0"/>
              <w:snapToGrid w:val="0"/>
              <w:spacing w:line="520" w:lineRule="exact"/>
              <w:jc w:val="center"/>
              <w:rPr>
                <w:rFonts w:ascii="方正仿宋_GBK" w:eastAsia="方正仿宋_GBK"/>
                <w:szCs w:val="21"/>
              </w:rPr>
            </w:pPr>
            <w:r>
              <w:rPr>
                <w:rFonts w:ascii="方正仿宋_GBK" w:eastAsia="方正仿宋_GBK" w:hint="eastAsia"/>
                <w:szCs w:val="21"/>
              </w:rPr>
              <w:t>资产总额</w:t>
            </w:r>
          </w:p>
        </w:tc>
        <w:tc>
          <w:tcPr>
            <w:tcW w:w="1546"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5399" w:type="dxa"/>
          </w:tcPr>
          <w:p>
            <w:pPr>
              <w:adjustRightInd w:val="0"/>
              <w:snapToGrid w:val="0"/>
              <w:spacing w:line="520" w:lineRule="exact"/>
              <w:jc w:val="center"/>
              <w:rPr>
                <w:rFonts w:ascii="方正仿宋_GBK" w:eastAsia="方正仿宋_GBK"/>
                <w:b/>
                <w:szCs w:val="21"/>
                <w:lang w:eastAsia="zh-CN"/>
              </w:rPr>
            </w:pPr>
            <w:r>
              <w:rPr>
                <w:rFonts w:ascii="方正仿宋_GBK" w:eastAsia="方正仿宋_GBK" w:hint="eastAsia"/>
                <w:b/>
                <w:szCs w:val="21"/>
                <w:lang w:eastAsia="zh-CN"/>
              </w:rPr>
              <w:t>178.23</w:t>
            </w:r>
          </w:p>
        </w:tc>
      </w:tr>
      <w:tr>
        <w:tc>
          <w:tcPr>
            <w:tcW w:w="3807"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1、房屋（平方米）</w:t>
            </w:r>
          </w:p>
        </w:tc>
        <w:tc>
          <w:tcPr>
            <w:tcW w:w="1546" w:type="dxa"/>
          </w:tcPr>
          <w:p>
            <w:pPr>
              <w:adjustRightInd w:val="0"/>
              <w:snapToGrid w:val="0"/>
              <w:spacing w:line="520" w:lineRule="exact"/>
              <w:jc w:val="center"/>
              <w:rPr>
                <w:rFonts w:ascii="方正仿宋_GBK" w:eastAsia="方正仿宋_GBK"/>
                <w:b/>
                <w:szCs w:val="21"/>
                <w:lang w:eastAsia="zh-CN"/>
              </w:rPr>
            </w:pPr>
            <w:r>
              <w:rPr>
                <w:rFonts w:ascii="方正仿宋_GBK" w:eastAsia="方正仿宋_GBK" w:hint="eastAsia"/>
                <w:b/>
                <w:szCs w:val="21"/>
                <w:lang w:eastAsia="zh-CN"/>
              </w:rPr>
              <w:t>148.50</w:t>
            </w:r>
          </w:p>
        </w:tc>
        <w:tc>
          <w:tcPr>
            <w:tcW w:w="5399" w:type="dxa"/>
          </w:tcPr>
          <w:p>
            <w:pPr>
              <w:adjustRightInd w:val="0"/>
              <w:snapToGrid w:val="0"/>
              <w:spacing w:line="520" w:lineRule="exact"/>
              <w:jc w:val="center"/>
              <w:rPr>
                <w:rFonts w:ascii="方正仿宋_GBK" w:eastAsia="方正仿宋_GBK"/>
                <w:b/>
                <w:szCs w:val="21"/>
                <w:lang w:eastAsia="zh-CN"/>
              </w:rPr>
            </w:pPr>
            <w:r>
              <w:rPr>
                <w:rFonts w:ascii="方正仿宋_GBK" w:eastAsia="方正仿宋_GBK" w:hint="eastAsia"/>
                <w:b/>
                <w:szCs w:val="21"/>
                <w:lang w:eastAsia="zh-CN"/>
              </w:rPr>
              <w:t>18.10</w:t>
            </w:r>
          </w:p>
        </w:tc>
      </w:tr>
      <w:tr>
        <w:tc>
          <w:tcPr>
            <w:tcW w:w="3807"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其中：办公用房（平方米）</w:t>
            </w:r>
          </w:p>
        </w:tc>
        <w:tc>
          <w:tcPr>
            <w:tcW w:w="1546" w:type="dxa"/>
          </w:tcPr>
          <w:p>
            <w:pPr>
              <w:adjustRightInd w:val="0"/>
              <w:snapToGrid w:val="0"/>
              <w:spacing w:line="520" w:lineRule="exact"/>
              <w:jc w:val="center"/>
              <w:rPr>
                <w:rFonts w:ascii="方正仿宋_GBK" w:eastAsia="方正仿宋_GBK"/>
                <w:b/>
                <w:szCs w:val="21"/>
                <w:lang w:eastAsia="zh-CN"/>
              </w:rPr>
            </w:pPr>
            <w:r>
              <w:rPr>
                <w:rFonts w:ascii="方正仿宋_GBK" w:eastAsia="方正仿宋_GBK" w:hint="eastAsia"/>
                <w:b/>
                <w:szCs w:val="21"/>
                <w:lang w:eastAsia="zh-CN"/>
              </w:rPr>
              <w:t>90</w:t>
            </w:r>
          </w:p>
        </w:tc>
        <w:tc>
          <w:tcPr>
            <w:tcW w:w="5399" w:type="dxa"/>
          </w:tcPr>
          <w:p>
            <w:pPr>
              <w:adjustRightInd w:val="0"/>
              <w:snapToGrid w:val="0"/>
              <w:spacing w:line="520" w:lineRule="exact"/>
              <w:jc w:val="center"/>
              <w:rPr>
                <w:rFonts w:ascii="方正仿宋_GBK" w:eastAsia="方正仿宋_GBK"/>
                <w:b/>
                <w:szCs w:val="21"/>
                <w:lang w:eastAsia="zh-CN"/>
              </w:rPr>
            </w:pPr>
            <w:r>
              <w:rPr>
                <w:rFonts w:ascii="方正仿宋_GBK" w:eastAsia="方正仿宋_GBK" w:hint="eastAsia"/>
                <w:b/>
                <w:szCs w:val="21"/>
                <w:lang w:eastAsia="zh-CN"/>
              </w:rPr>
              <w:t>5.79</w:t>
            </w:r>
          </w:p>
        </w:tc>
      </w:tr>
      <w:tr>
        <w:tc>
          <w:tcPr>
            <w:tcW w:w="3807"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2、车辆（台、辆）</w:t>
            </w:r>
          </w:p>
        </w:tc>
        <w:tc>
          <w:tcPr>
            <w:tcW w:w="1546"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1</w:t>
            </w:r>
          </w:p>
        </w:tc>
        <w:tc>
          <w:tcPr>
            <w:tcW w:w="539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3</w:t>
            </w:r>
          </w:p>
        </w:tc>
      </w:tr>
      <w:tr>
        <w:tc>
          <w:tcPr>
            <w:tcW w:w="3807"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3、单价在20万元以上设备</w:t>
            </w:r>
          </w:p>
        </w:tc>
        <w:tc>
          <w:tcPr>
            <w:tcW w:w="1546"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5399" w:type="dxa"/>
          </w:tcPr>
          <w:p>
            <w:pPr>
              <w:adjustRightInd w:val="0"/>
              <w:snapToGrid w:val="0"/>
              <w:spacing w:line="520" w:lineRule="exact"/>
              <w:jc w:val="center"/>
              <w:rPr>
                <w:rFonts w:ascii="方正仿宋_GBK" w:eastAsia="方正仿宋_GBK"/>
                <w:b/>
                <w:szCs w:val="21"/>
              </w:rPr>
            </w:pPr>
          </w:p>
        </w:tc>
      </w:tr>
      <w:tr>
        <w:tc>
          <w:tcPr>
            <w:tcW w:w="3807"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4、其他固定资产</w:t>
            </w:r>
          </w:p>
        </w:tc>
        <w:tc>
          <w:tcPr>
            <w:tcW w:w="1546"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5399" w:type="dxa"/>
          </w:tcPr>
          <w:p>
            <w:pPr>
              <w:adjustRightInd w:val="0"/>
              <w:snapToGrid w:val="0"/>
              <w:spacing w:line="520" w:lineRule="exact"/>
              <w:jc w:val="center"/>
              <w:rPr>
                <w:rFonts w:ascii="方正仿宋_GBK" w:eastAsia="方正仿宋_GBK"/>
                <w:b/>
                <w:szCs w:val="21"/>
                <w:lang w:eastAsia="zh-CN"/>
              </w:rPr>
            </w:pPr>
            <w:r>
              <w:rPr>
                <w:rFonts w:ascii="方正仿宋_GBK" w:eastAsia="方正仿宋_GBK" w:hint="eastAsia"/>
                <w:b/>
                <w:szCs w:val="21"/>
                <w:lang w:eastAsia="zh-CN"/>
              </w:rPr>
              <w:t>157.13</w:t>
            </w:r>
          </w:p>
        </w:tc>
      </w:tr>
    </w:tbl>
    <w:p>
      <w:pPr>
        <w:spacing w:before="10" w:after="10"/>
        <w:ind w:firstLineChars="200"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eastAsia="宋体"/>
          <w:lang w:eastAsia="zh-CN"/>
        </w:rPr>
      </w:pPr>
      <w:r>
        <w:rPr>
          <w:rFonts w:ascii="黑体" w:eastAsia="黑体" w:cs="黑体"/>
          <w:color w:val="000000"/>
          <w:sz w:val="32"/>
        </w:rPr>
        <w:t>九、其他需要说明的事项</w:t>
      </w:r>
    </w:p>
    <w:p>
      <w:pPr>
        <w:spacing w:before="10" w:after="10"/>
        <w:ind w:firstLine="640"/>
        <w:outlineLvl w:val="5"/>
      </w:pPr>
      <w:r>
        <w:rPr>
          <w:rFonts w:eastAsia="方正仿宋_GBK"/>
          <w:color w:val="000000"/>
          <w:sz w:val="28"/>
        </w:rPr>
        <w:t>我单位无其他需要说明的事项</w:t>
      </w:r>
      <w:r>
        <w:rPr>
          <w:rFonts w:eastAsia="方正仿宋_GBK" w:hint="eastAsia"/>
          <w:color w:val="000000"/>
          <w:sz w:val="28"/>
          <w:lang w:eastAsia="zh-CN"/>
        </w:rPr>
        <w:t>。</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25572127"/>
      <w:docPartObj>
        <w:docPartGallery w:val="Page Numbers (Bottom of Page)"/>
        <w:docPartUnique/>
      </w:docPartObj>
    </w:sdtPr>
    <w:sdtContent>
      <w:p>
        <w:pPr>
          <w:pStyle w:val="42"/>
          <w:tabs>
            <w:tab w:val="center" w:pos="4153"/>
            <w:tab w:val="right" w:pos="8306"/>
          </w:tabs>
          <w:jc w:val="center"/>
        </w:pPr>
        <w:r>
          <w:fldChar w:fldCharType="begin"/>
        </w:r>
        <w:r>
          <w:instrText xml:space="preserve"> PAGE   \* MERGEFORMAT </w:instrText>
        </w:r>
        <w:r>
          <w:fldChar w:fldCharType="separate"/>
        </w:r>
        <w:r>
          <w:rPr>
            <w:lang w:val="zh-CN"/>
          </w:rPr>
          <w:t>15</w:t>
        </w:r>
        <w:r>
          <w:fldChar w:fldCharType="end"/>
        </w:r>
      </w:p>
    </w:sdtContent>
  </w:sdt>
  <w:p>
    <w:pPr>
      <w:jc w:val="right"/>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20"/>
  <w:drawingGridVerticalSpacing w:val="163"/>
  <w:displayHorizontalDrawingGridEvery w:val="2"/>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1"/>
    <w:basedOn w:val="0"/>
    <w:pPr>
      <w:ind w:left="240"/>
    </w:pPr>
  </w:style>
  <w:style w:type="paragraph" w:customStyle="1" w:styleId="38">
    <w:name w:val="TOC 31"/>
    <w:basedOn w:val="0"/>
    <w:pPr>
      <w:ind w:left="480"/>
    </w:pPr>
  </w:style>
  <w:style w:type="paragraph" w:customStyle="1" w:styleId="39">
    <w:name w:val="TOC 41"/>
    <w:basedOn w:val="0"/>
    <w:pPr>
      <w:ind w:left="720"/>
    </w:pPr>
  </w:style>
  <w:style w:type="paragraph" w:customStyle="1" w:styleId="40">
    <w:name w:val="TOC 1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 w:type="paragraph" w:styleId="43">
    <w:name w:val="List Paragraph"/>
    <w:basedOn w:val="0"/>
    <w:pPr>
      <w:widowControl w:val="0"/>
      <w:ind w:firstLineChars="200" w:firstLine="200"/>
      <w:jc w:val="both"/>
    </w:pPr>
    <w:rPr>
      <w:rFonts w:eastAsia="宋体"/>
      <w:kern w:val="2"/>
      <w:sz w:val="21"/>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6AFFFC4A-E3B7-48A1-8DB4-762EB499AED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Yozo_Office27021597764231179</Application>
  <Pages>19</Pages>
  <Words>4889</Words>
  <Characters>5968</Characters>
  <Lines>1422</Lines>
  <Paragraphs>822</Paragraphs>
  <CharactersWithSpaces>6122</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4</cp:revision>
  <dcterms:created xsi:type="dcterms:W3CDTF">2023-03-14T08:50:00Z</dcterms:created>
  <dcterms:modified xsi:type="dcterms:W3CDTF">2024-03-19T01:05:27Z</dcterms:modified>
</cp:coreProperties>
</file>