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2023年单位预算信息公开目录</w:t>
      </w:r>
    </w:p>
    <w:p>
      <w:pPr>
        <w:jc w:val="center"/>
      </w:pPr>
    </w:p>
    <w:p>
      <w:pPr>
        <w:jc w:val="center"/>
      </w:pPr>
      <w:r>
        <w:rPr>
          <w:rFonts w:ascii="黑体" w:eastAsia="黑体" w:cs="黑体"/>
          <w:b/>
          <w:color w:val="000000"/>
          <w:sz w:val="30"/>
        </w:rPr>
        <w:t>第一部分  单位预算</w:t>
      </w:r>
    </w:p>
    <w:p>
      <w:r>
        <w:rPr>
          <w:rFonts w:ascii="方正楷体_GBK" w:eastAsia="方正楷体_GBK" w:cs="方正楷体_GBK"/>
          <w:b/>
          <w:color w:val="000000"/>
          <w:sz w:val="28"/>
        </w:rPr>
        <w:t>单位预算公开表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单位预算收支总表</w:t>
        <w:tab/>
      </w:r>
      <w:r>
        <w:rPr>
          <w:rFonts w:hint="eastAsia"/>
          <w:lang w:eastAsia="zh-CN"/>
        </w:rPr>
        <w:t>1</w:t>
      </w:r>
      <w:r>
        <w:fldChar w:fldCharType="end"/>
      </w:r>
    </w:p>
    <w:p>
      <w:pPr>
        <w:pStyle w:val="40"/>
        <w:tabs>
          <w:tab w:val="right" w:leader="dot" w:pos="14562"/>
        </w:tabs>
      </w:pPr>
      <w:r>
        <w:fldChar w:fldCharType="begin"/>
      </w:r>
      <w:r>
        <w:instrText>Hyperlink \l "_Toc_2_2_0000000002"</w:instrText>
      </w:r>
      <w:r>
        <w:fldChar w:fldCharType="separate"/>
      </w:r>
      <w:r>
        <w:t>单位预算收入总表</w:t>
        <w:tab/>
      </w:r>
      <w:r>
        <w:rPr>
          <w:rFonts w:hint="eastAsia"/>
          <w:lang w:eastAsia="zh-CN"/>
        </w:rPr>
        <w:t>3</w:t>
      </w:r>
      <w:r>
        <w:fldChar w:fldCharType="end"/>
      </w:r>
    </w:p>
    <w:p>
      <w:pPr>
        <w:pStyle w:val="40"/>
        <w:tabs>
          <w:tab w:val="right" w:leader="dot" w:pos="14562"/>
        </w:tabs>
      </w:pPr>
      <w:r>
        <w:fldChar w:fldCharType="begin"/>
      </w:r>
      <w:r>
        <w:instrText>Hyperlink \l "_Toc_2_2_0000000003"</w:instrText>
      </w:r>
      <w:r>
        <w:fldChar w:fldCharType="separate"/>
      </w:r>
      <w:r>
        <w:t>单位预算支出总表</w:t>
        <w:tab/>
      </w:r>
      <w:r>
        <w:rPr>
          <w:rFonts w:hint="eastAsia"/>
          <w:lang w:eastAsia="zh-CN"/>
        </w:rPr>
        <w:t>4</w:t>
      </w:r>
      <w:r>
        <w:fldChar w:fldCharType="end"/>
      </w:r>
    </w:p>
    <w:p>
      <w:pPr>
        <w:pStyle w:val="40"/>
        <w:tabs>
          <w:tab w:val="right" w:leader="dot" w:pos="14562"/>
        </w:tabs>
      </w:pPr>
      <w:r>
        <w:fldChar w:fldCharType="begin"/>
      </w:r>
      <w:r>
        <w:instrText>Hyperlink \l "_Toc_2_2_0000000004"</w:instrText>
      </w:r>
      <w:r>
        <w:fldChar w:fldCharType="separate"/>
      </w:r>
      <w:r>
        <w:t>单位预算财政拨款收支总表</w:t>
        <w:tab/>
      </w:r>
      <w:r>
        <w:rPr>
          <w:rFonts w:hint="eastAsia"/>
          <w:lang w:eastAsia="zh-CN"/>
        </w:rPr>
        <w:t>5</w:t>
      </w:r>
      <w:r>
        <w:fldChar w:fldCharType="end"/>
      </w:r>
    </w:p>
    <w:p>
      <w:pPr>
        <w:pStyle w:val="40"/>
        <w:tabs>
          <w:tab w:val="right" w:leader="dot" w:pos="14562"/>
        </w:tabs>
      </w:pPr>
      <w:r>
        <w:fldChar w:fldCharType="begin"/>
      </w:r>
      <w:r>
        <w:instrText>Hyperlink \l "_Toc_2_2_0000000005"</w:instrText>
      </w:r>
      <w:r>
        <w:fldChar w:fldCharType="separate"/>
      </w:r>
      <w:r>
        <w:t>单位预算一般公共预算财政拨款支出表</w:t>
        <w:tab/>
      </w:r>
      <w:r>
        <w:rPr>
          <w:rFonts w:hint="eastAsia"/>
          <w:lang w:eastAsia="zh-CN"/>
        </w:rPr>
        <w:t>8</w:t>
      </w:r>
      <w:r>
        <w:fldChar w:fldCharType="end"/>
      </w:r>
    </w:p>
    <w:p>
      <w:pPr>
        <w:pStyle w:val="40"/>
        <w:tabs>
          <w:tab w:val="right" w:leader="dot" w:pos="14562"/>
        </w:tabs>
      </w:pPr>
      <w:r>
        <w:fldChar w:fldCharType="begin"/>
      </w:r>
      <w:r>
        <w:instrText>Hyperlink \l "_Toc_2_2_0000000006"</w:instrText>
      </w:r>
      <w:r>
        <w:fldChar w:fldCharType="separate"/>
      </w:r>
      <w:r>
        <w:t>单位预算一般公共预算财政拨款基本支出表</w:t>
        <w:tab/>
      </w:r>
      <w:r>
        <w:rPr>
          <w:rFonts w:hint="eastAsia"/>
          <w:lang w:eastAsia="zh-CN"/>
        </w:rPr>
        <w:t>9</w:t>
      </w:r>
      <w:r>
        <w:fldChar w:fldCharType="end"/>
      </w:r>
    </w:p>
    <w:p>
      <w:pPr>
        <w:pStyle w:val="40"/>
        <w:tabs>
          <w:tab w:val="right" w:leader="dot" w:pos="14562"/>
        </w:tabs>
      </w:pPr>
      <w:r>
        <w:fldChar w:fldCharType="begin"/>
      </w:r>
      <w:r>
        <w:instrText>Hyperlink \l "_Toc_2_2_0000000007"</w:instrText>
      </w:r>
      <w:r>
        <w:fldChar w:fldCharType="separate"/>
      </w:r>
      <w:r>
        <w:t>单位预算政府基金预算财政拨款支出表</w:t>
        <w:tab/>
      </w:r>
      <w:r>
        <w:fldChar w:fldCharType="begin"/>
      </w:r>
      <w:r>
        <w:instrText>PAGEREF _Toc_2_2_0000000007 \h</w:instrText>
      </w:r>
      <w:r>
        <w:fldChar w:fldCharType="separate"/>
      </w:r>
      <w:r>
        <w:t>1</w:t>
      </w:r>
      <w:r>
        <w:rPr>
          <w:rFonts w:hint="eastAsia"/>
          <w:lang w:eastAsia="zh-CN"/>
        </w:rPr>
        <w:t>1</w:t>
      </w:r>
      <w:r>
        <w:fldChar w:fldCharType="end"/>
      </w:r>
      <w:r>
        <w:fldChar w:fldCharType="end"/>
      </w:r>
    </w:p>
    <w:p>
      <w:pPr>
        <w:pStyle w:val="40"/>
        <w:tabs>
          <w:tab w:val="right" w:leader="dot" w:pos="14562"/>
        </w:tabs>
      </w:pPr>
      <w:r>
        <w:fldChar w:fldCharType="begin"/>
      </w:r>
      <w:r>
        <w:instrText>Hyperlink \l "_Toc_2_2_0000000008"</w:instrText>
      </w:r>
      <w:r>
        <w:fldChar w:fldCharType="separate"/>
      </w:r>
      <w:r>
        <w:t>单位预算国有资本经营预算财政拨款支出表</w:t>
        <w:tab/>
      </w:r>
      <w:r>
        <w:fldChar w:fldCharType="begin"/>
      </w:r>
      <w:r>
        <w:instrText>PAGEREF _Toc_2_2_0000000008 \h</w:instrText>
      </w:r>
      <w:r>
        <w:fldChar w:fldCharType="separate"/>
      </w:r>
      <w:r>
        <w:t>1</w:t>
      </w:r>
      <w:r>
        <w:rPr>
          <w:rFonts w:hint="eastAsia"/>
          <w:lang w:eastAsia="zh-CN"/>
        </w:rPr>
        <w:t>2</w:t>
      </w:r>
      <w:r>
        <w:fldChar w:fldCharType="end"/>
      </w:r>
      <w:r>
        <w:fldChar w:fldCharType="end"/>
      </w:r>
    </w:p>
    <w:p>
      <w:pPr>
        <w:pStyle w:val="40"/>
        <w:tabs>
          <w:tab w:val="right" w:leader="dot" w:pos="14562"/>
        </w:tabs>
      </w:pPr>
      <w:r>
        <w:fldChar w:fldCharType="begin"/>
      </w:r>
      <w:r>
        <w:instrText>Hyperlink \l "_Toc_2_2_0000000009"</w:instrText>
      </w:r>
      <w:r>
        <w:fldChar w:fldCharType="separate"/>
      </w:r>
      <w:r>
        <w:t>单位预算财政拨款“三公”经费支出表</w:t>
        <w:tab/>
      </w:r>
      <w:r>
        <w:fldChar w:fldCharType="begin"/>
      </w:r>
      <w:r>
        <w:instrText>PAGEREF _Toc_2_2_0000000009 \h</w:instrText>
      </w:r>
      <w:r>
        <w:fldChar w:fldCharType="separate"/>
      </w:r>
      <w:r>
        <w:t>1</w:t>
      </w:r>
      <w:r>
        <w:rPr>
          <w:rFonts w:hint="eastAsia"/>
          <w:lang w:eastAsia="zh-CN"/>
        </w:rPr>
        <w:t>3</w:t>
      </w:r>
      <w:r>
        <w:fldChar w:fldCharType="end"/>
      </w:r>
      <w:r>
        <w:fldChar w:fldCharType="end"/>
      </w:r>
    </w:p>
    <w:p>
      <w:r>
        <w:fldChar w:fldCharType="end"/>
      </w:r>
    </w:p>
    <w:p>
      <w:r>
        <w:rPr>
          <w:rFonts w:ascii="方正楷体_GBK" w:eastAsia="方正楷体_GBK" w:cs="方正楷体_GBK"/>
          <w:b/>
          <w:color w:val="000000"/>
          <w:sz w:val="28"/>
        </w:rPr>
        <w:t>单位预算信息公开情况说明</w:t>
      </w:r>
    </w:p>
    <w:p>
      <w:pPr>
        <w:pStyle w:val="40"/>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w:t>
      </w:r>
      <w:r>
        <w:rPr>
          <w:rFonts w:hint="eastAsia"/>
          <w:lang w:eastAsia="zh-CN"/>
        </w:rPr>
        <w:t>单位</w:t>
      </w:r>
      <w:r>
        <w:t>职责及机构设置情况</w:t>
        <w:tab/>
      </w:r>
      <w:r>
        <w:fldChar w:fldCharType="begin"/>
      </w:r>
      <w:r>
        <w:instrText>PAGEREF _Toc_3_3_0000000010 \h</w:instrText>
      </w:r>
      <w:r>
        <w:fldChar w:fldCharType="separate"/>
      </w:r>
      <w:r>
        <w:t>1</w:t>
      </w:r>
      <w:r>
        <w:rPr>
          <w:rFonts w:hint="eastAsia"/>
          <w:lang w:eastAsia="zh-CN"/>
        </w:rPr>
        <w:t>4</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二、单位预算安排的总体情况</w:t>
        <w:tab/>
      </w:r>
      <w:r>
        <w:fldChar w:fldCharType="begin"/>
      </w:r>
      <w:r>
        <w:instrText>PAGEREF _Toc_3_3_0000000011 \h</w:instrText>
      </w:r>
      <w:r>
        <w:fldChar w:fldCharType="separate"/>
      </w:r>
      <w:r>
        <w:t>1</w:t>
      </w:r>
      <w:r>
        <w:rPr>
          <w:rFonts w:hint="eastAsia"/>
          <w:lang w:eastAsia="zh-CN"/>
        </w:rPr>
        <w:t>4</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w:t>
      </w:r>
      <w:r>
        <w:rPr>
          <w:rFonts w:hint="eastAsia"/>
          <w:lang w:eastAsia="zh-CN"/>
        </w:rPr>
        <w:t>单位</w:t>
      </w:r>
      <w:r>
        <w:t>运行经费安排情况</w:t>
        <w:tab/>
      </w:r>
      <w:r>
        <w:rPr>
          <w:rFonts w:hint="eastAsia"/>
          <w:lang w:eastAsia="zh-CN"/>
        </w:rPr>
        <w:t>15</w:t>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rPr>
          <w:rFonts w:hint="eastAsia"/>
          <w:lang w:eastAsia="zh-CN"/>
        </w:rP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rPr>
          <w:rFonts w:hint="eastAsia"/>
          <w:lang w:eastAsia="zh-CN"/>
        </w:rPr>
        <w:t>16</w:t>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rPr>
          <w:rFonts w:hint="eastAsia"/>
          <w:lang w:eastAsia="zh-CN"/>
        </w:rPr>
        <w:t>16</w:t>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rPr>
          <w:rFonts w:hint="eastAsia"/>
          <w:lang w:eastAsia="zh-CN"/>
        </w:rPr>
        <w:t>16</w:t>
      </w:r>
      <w:r>
        <w:fldChar w:fldCharType="end"/>
      </w:r>
    </w:p>
    <w:p>
      <w:pPr>
        <w:pStyle w:val="40"/>
        <w:tabs>
          <w:tab w:val="right" w:leader="dot" w:pos="14562"/>
        </w:tabs>
      </w:pPr>
      <w:r>
        <w:fldChar w:fldCharType="begin"/>
      </w:r>
      <w:r>
        <w:instrText>Hyperlink \l "_Toc_3_3_0000000017"</w:instrText>
      </w:r>
      <w:r>
        <w:fldChar w:fldCharType="separate"/>
      </w:r>
      <w:r>
        <w:t>八、名词解释</w:t>
        <w:tab/>
      </w:r>
      <w:r>
        <w:rPr>
          <w:rFonts w:hint="eastAsia"/>
          <w:lang w:eastAsia="zh-CN"/>
        </w:rPr>
        <w:t>17</w:t>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rPr>
          <w:rFonts w:hint="eastAsia"/>
          <w:lang w:eastAsia="zh-CN"/>
        </w:rPr>
        <w:t>18</w:t>
      </w:r>
      <w:r>
        <w:fldChar w:fldCharType="end"/>
      </w:r>
    </w:p>
    <w:p>
      <w:pPr>
        <w:rPr>
          <w:rFonts w:eastAsia="宋体"/>
          <w:lang w:eastAsia="zh-CN"/>
        </w:rPr>
        <w:sectPr>
          <w:pgSz w:w="16840" w:h="11900" w:orient="landscape"/>
          <w:pgMar w:top="1587" w:right="1134" w:bottom="1361" w:left="1134" w:header="720" w:footer="720" w:gutter="0"/>
          <w:pgNumType w:start="1"/>
          <w:docGrid w:linePitch="326" w:charSpace="0"/>
        </w:sectPr>
      </w:pPr>
      <w:r>
        <w:fldChar w:fldCharType="end"/>
      </w: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rPr>
          <w:rFonts w:eastAsia="宋体"/>
          <w:lang w:eastAsia="zh-CN"/>
        </w:rPr>
      </w:pPr>
    </w:p>
    <w:p>
      <w:pPr>
        <w:jc w:val="center"/>
      </w:pPr>
    </w:p>
    <w:p>
      <w:pPr>
        <w:jc w:val="center"/>
      </w:pPr>
    </w:p>
    <w:p>
      <w:pPr>
        <w:jc w:val="center"/>
      </w:pPr>
    </w:p>
    <w:p>
      <w:pPr>
        <w:jc w:val="center"/>
      </w:pPr>
    </w:p>
    <w:p>
      <w:pPr>
        <w:jc w:val="center"/>
      </w:pPr>
    </w:p>
    <w:p>
      <w:pPr>
        <w:jc w:val="center"/>
      </w:pPr>
    </w:p>
    <w:p>
      <w:pPr>
        <w:jc w:val="center"/>
      </w:pPr>
    </w:p>
    <w:p>
      <w:pPr>
        <w:jc w:val="center"/>
        <w:outlineLvl w:val="0"/>
        <w:rPr>
          <w:lang w:eastAsia="zh-CN"/>
        </w:rPr>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w:t>
      </w:r>
      <w:r>
        <w:rPr>
          <w:rFonts w:ascii="方正小标宋_GBK" w:eastAsia="方正小标宋_GBK" w:cs="方正小标宋_GBK" w:hint="eastAsia"/>
          <w:color w:val="000000"/>
          <w:sz w:val="72"/>
          <w:lang w:eastAsia="zh-CN"/>
        </w:rPr>
        <w:t>一</w:t>
      </w:r>
      <w:r>
        <w:rPr>
          <w:rFonts w:ascii="方正小标宋_GBK" w:eastAsia="方正小标宋_GBK" w:cs="方正小标宋_GBK"/>
          <w:color w:val="000000"/>
          <w:sz w:val="72"/>
        </w:rPr>
        <w:t>部分  部门所属单位预算</w:t>
      </w:r>
    </w:p>
    <w:p>
      <w:pPr>
        <w:jc w:val="center"/>
        <w:outlineLvl w:val="3"/>
      </w:pPr>
      <w:bookmarkStart w:id="0" w:name="_Toc_4_4_0000000021"/>
      <w:r>
        <w:rPr>
          <w:rFonts w:ascii="方正小标宋_GBK" w:eastAsia="方正小标宋_GBK" w:cs="方正小标宋_GBK"/>
          <w:color w:val="000000"/>
          <w:sz w:val="44"/>
        </w:rPr>
        <w:t>三、唐山市丰润区水利局水利技术推广中心收支预算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272.25</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8.26</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r>
              <w:t>37.51</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r>
              <w:t>219.80</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r>
              <w:t>6.68</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272.25</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272.25</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272.25</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272.25</w:t>
            </w:r>
          </w:p>
        </w:tc>
      </w:tr>
    </w:tbl>
    <w:p>
      <w:pPr>
        <w:sectPr>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272.25</w:t>
            </w:r>
          </w:p>
        </w:tc>
        <w:tc>
          <w:tcPr>
            <w:tcW w:w="1134" w:type="dxa"/>
            <w:tcBorders>
              <w:left w:val="single" w:sz="6" w:space="0" w:color="000000"/>
              <w:right w:val="single" w:sz="6" w:space="0" w:color="000000"/>
            </w:tcBorders>
            <w:vAlign w:val="center"/>
          </w:tcPr>
          <w:p>
            <w:pPr>
              <w:pStyle w:val="23"/>
            </w:pPr>
            <w:r>
              <w:t>272.25</w:t>
            </w:r>
          </w:p>
        </w:tc>
        <w:tc>
          <w:tcPr>
            <w:tcW w:w="1134" w:type="dxa"/>
            <w:tcBorders>
              <w:left w:val="single" w:sz="6" w:space="0" w:color="000000"/>
              <w:right w:val="single" w:sz="6" w:space="0" w:color="000000"/>
            </w:tcBorders>
            <w:vAlign w:val="center"/>
          </w:tcPr>
          <w:p>
            <w:pPr>
              <w:pStyle w:val="23"/>
            </w:pPr>
            <w:r>
              <w:t>272.25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r>
              <w:t>8.26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r>
              <w:t>37.51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1559" w:type="dxa"/>
            <w:tcBorders>
              <w:left w:val="single" w:sz="6" w:space="0" w:color="000000"/>
              <w:right w:val="single" w:sz="6" w:space="0" w:color="000000"/>
            </w:tcBorders>
            <w:vAlign w:val="center"/>
          </w:tcPr>
          <w:p>
            <w:pPr>
              <w:pStyle w:val="20"/>
            </w:pPr>
            <w:r>
              <w:t>水利</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2130317</w:t>
            </w:r>
          </w:p>
        </w:tc>
        <w:tc>
          <w:tcPr>
            <w:tcW w:w="1559" w:type="dxa"/>
            <w:tcBorders>
              <w:left w:val="single" w:sz="6" w:space="0" w:color="000000"/>
              <w:right w:val="single" w:sz="6" w:space="0" w:color="000000"/>
            </w:tcBorders>
            <w:vAlign w:val="center"/>
          </w:tcPr>
          <w:p>
            <w:pPr>
              <w:pStyle w:val="20"/>
            </w:pPr>
            <w:r>
              <w:t>水利技术推广</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r>
              <w:t>219.80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r>
              <w:t>6.68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272.25</w:t>
            </w:r>
          </w:p>
        </w:tc>
        <w:tc>
          <w:tcPr>
            <w:tcW w:w="1361" w:type="dxa"/>
            <w:tcBorders>
              <w:left w:val="single" w:sz="6" w:space="0" w:color="000000"/>
              <w:right w:val="single" w:sz="6" w:space="0" w:color="000000"/>
            </w:tcBorders>
            <w:vAlign w:val="center"/>
          </w:tcPr>
          <w:p>
            <w:pPr>
              <w:pStyle w:val="23"/>
            </w:pPr>
            <w:r>
              <w:t>272.25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r>
              <w:t>8.26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r>
              <w:t>37.51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2130317</w:t>
            </w:r>
          </w:p>
        </w:tc>
        <w:tc>
          <w:tcPr>
            <w:tcW w:w="4535" w:type="dxa"/>
            <w:tcBorders>
              <w:left w:val="single" w:sz="6" w:space="0" w:color="000000"/>
              <w:right w:val="single" w:sz="6" w:space="0" w:color="000000"/>
            </w:tcBorders>
            <w:vAlign w:val="center"/>
          </w:tcPr>
          <w:p>
            <w:pPr>
              <w:pStyle w:val="20"/>
            </w:pPr>
            <w:r>
              <w:t>水利技术推广</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r>
              <w:t>219.80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r>
              <w:t>6.68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272.25</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8.26</w:t>
            </w:r>
          </w:p>
        </w:tc>
        <w:tc>
          <w:tcPr>
            <w:tcW w:w="1474" w:type="dxa"/>
            <w:tcBorders>
              <w:left w:val="single" w:sz="6" w:space="0" w:color="000000"/>
              <w:right w:val="single" w:sz="6" w:space="0" w:color="000000"/>
            </w:tcBorders>
            <w:vAlign w:val="center"/>
          </w:tcPr>
          <w:p>
            <w:pPr>
              <w:pStyle w:val="19"/>
            </w:pPr>
            <w:r>
              <w:t>8.26</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37.51</w:t>
            </w:r>
          </w:p>
        </w:tc>
        <w:tc>
          <w:tcPr>
            <w:tcW w:w="1474" w:type="dxa"/>
            <w:tcBorders>
              <w:left w:val="single" w:sz="6" w:space="0" w:color="000000"/>
              <w:right w:val="single" w:sz="6" w:space="0" w:color="000000"/>
            </w:tcBorders>
            <w:vAlign w:val="center"/>
          </w:tcPr>
          <w:p>
            <w:pPr>
              <w:pStyle w:val="19"/>
            </w:pPr>
            <w:r>
              <w:t>37.51</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219.80</w:t>
            </w:r>
          </w:p>
        </w:tc>
        <w:tc>
          <w:tcPr>
            <w:tcW w:w="1474" w:type="dxa"/>
            <w:tcBorders>
              <w:left w:val="single" w:sz="6" w:space="0" w:color="000000"/>
              <w:right w:val="single" w:sz="6" w:space="0" w:color="000000"/>
            </w:tcBorders>
            <w:vAlign w:val="center"/>
          </w:tcPr>
          <w:p>
            <w:pPr>
              <w:pStyle w:val="19"/>
            </w:pPr>
            <w:r>
              <w:t>219.80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6.68</w:t>
            </w:r>
          </w:p>
        </w:tc>
        <w:tc>
          <w:tcPr>
            <w:tcW w:w="1474" w:type="dxa"/>
            <w:tcBorders>
              <w:left w:val="single" w:sz="6" w:space="0" w:color="000000"/>
              <w:right w:val="single" w:sz="6" w:space="0" w:color="000000"/>
            </w:tcBorders>
            <w:vAlign w:val="center"/>
          </w:tcPr>
          <w:p>
            <w:pPr>
              <w:pStyle w:val="19"/>
            </w:pPr>
            <w:r>
              <w:t>6.68</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272.25</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272.25</w:t>
            </w:r>
          </w:p>
        </w:tc>
        <w:tc>
          <w:tcPr>
            <w:tcW w:w="1474" w:type="dxa"/>
            <w:tcBorders>
              <w:left w:val="single" w:sz="6" w:space="0" w:color="000000"/>
              <w:right w:val="single" w:sz="6" w:space="0" w:color="000000"/>
            </w:tcBorders>
            <w:vAlign w:val="center"/>
          </w:tcPr>
          <w:p>
            <w:pPr>
              <w:pStyle w:val="23"/>
            </w:pPr>
            <w:r>
              <w:t>272.25</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272.25</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272.25</w:t>
            </w:r>
          </w:p>
        </w:tc>
        <w:tc>
          <w:tcPr>
            <w:tcW w:w="1474" w:type="dxa"/>
            <w:tcBorders>
              <w:left w:val="single" w:sz="6" w:space="0" w:color="000000"/>
              <w:right w:val="single" w:sz="6" w:space="0" w:color="000000"/>
            </w:tcBorders>
            <w:vAlign w:val="center"/>
          </w:tcPr>
          <w:p>
            <w:pPr>
              <w:pStyle w:val="23"/>
            </w:pPr>
            <w:r>
              <w:t>272.25</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272.25</w:t>
            </w:r>
          </w:p>
        </w:tc>
        <w:tc>
          <w:tcPr>
            <w:tcW w:w="2551" w:type="dxa"/>
            <w:tcBorders>
              <w:left w:val="single" w:sz="6" w:space="0" w:color="000000"/>
              <w:right w:val="single" w:sz="6" w:space="0" w:color="000000"/>
            </w:tcBorders>
            <w:vAlign w:val="center"/>
          </w:tcPr>
          <w:p>
            <w:pPr>
              <w:pStyle w:val="23"/>
            </w:pPr>
            <w:r>
              <w:t>272.25</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r>
              <w:t>37.51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21303</w:t>
            </w:r>
          </w:p>
        </w:tc>
        <w:tc>
          <w:tcPr>
            <w:tcW w:w="4535" w:type="dxa"/>
            <w:tcBorders>
              <w:left w:val="single" w:sz="6" w:space="0" w:color="000000"/>
              <w:right w:val="single" w:sz="6" w:space="0" w:color="000000"/>
            </w:tcBorders>
            <w:vAlign w:val="center"/>
          </w:tcPr>
          <w:p>
            <w:pPr>
              <w:pStyle w:val="20"/>
            </w:pPr>
            <w:r>
              <w:t>水利</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2130317</w:t>
            </w:r>
          </w:p>
        </w:tc>
        <w:tc>
          <w:tcPr>
            <w:tcW w:w="4535" w:type="dxa"/>
            <w:tcBorders>
              <w:left w:val="single" w:sz="6" w:space="0" w:color="000000"/>
              <w:right w:val="single" w:sz="6" w:space="0" w:color="000000"/>
            </w:tcBorders>
            <w:vAlign w:val="center"/>
          </w:tcPr>
          <w:p>
            <w:pPr>
              <w:pStyle w:val="20"/>
            </w:pPr>
            <w:r>
              <w:t>水利技术推广</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r>
              <w:t>219.80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272.25</w:t>
            </w:r>
          </w:p>
        </w:tc>
        <w:tc>
          <w:tcPr>
            <w:tcW w:w="2551" w:type="dxa"/>
            <w:tcBorders>
              <w:left w:val="single" w:sz="6" w:space="0" w:color="000000"/>
              <w:right w:val="single" w:sz="6" w:space="0" w:color="000000"/>
            </w:tcBorders>
            <w:vAlign w:val="center"/>
          </w:tcPr>
          <w:p>
            <w:pPr>
              <w:pStyle w:val="23"/>
            </w:pPr>
            <w:r>
              <w:t>262.07</w:t>
            </w:r>
          </w:p>
        </w:tc>
        <w:tc>
          <w:tcPr>
            <w:tcW w:w="2551" w:type="dxa"/>
            <w:tcBorders>
              <w:left w:val="single" w:sz="6" w:space="0" w:color="000000"/>
              <w:right w:val="single" w:sz="6" w:space="0" w:color="000000"/>
            </w:tcBorders>
            <w:vAlign w:val="center"/>
          </w:tcPr>
          <w:p>
            <w:pPr>
              <w:pStyle w:val="23"/>
            </w:pPr>
            <w:r>
              <w:t>10.18</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114.80</w:t>
            </w:r>
          </w:p>
        </w:tc>
        <w:tc>
          <w:tcPr>
            <w:tcW w:w="2551" w:type="dxa"/>
            <w:tcBorders>
              <w:left w:val="single" w:sz="6" w:space="0" w:color="000000"/>
              <w:right w:val="single" w:sz="6" w:space="0" w:color="000000"/>
            </w:tcBorders>
            <w:vAlign w:val="center"/>
          </w:tcPr>
          <w:p>
            <w:pPr>
              <w:pStyle w:val="19"/>
            </w:pPr>
            <w:r>
              <w:t>114.80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26.17</w:t>
            </w:r>
          </w:p>
        </w:tc>
        <w:tc>
          <w:tcPr>
            <w:tcW w:w="2551" w:type="dxa"/>
            <w:tcBorders>
              <w:left w:val="single" w:sz="6" w:space="0" w:color="000000"/>
              <w:right w:val="single" w:sz="6" w:space="0" w:color="000000"/>
            </w:tcBorders>
            <w:vAlign w:val="center"/>
          </w:tcPr>
          <w:p>
            <w:pPr>
              <w:pStyle w:val="19"/>
            </w:pPr>
            <w:r>
              <w:t>26.17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5.70</w:t>
            </w:r>
          </w:p>
        </w:tc>
        <w:tc>
          <w:tcPr>
            <w:tcW w:w="2551" w:type="dxa"/>
            <w:tcBorders>
              <w:left w:val="single" w:sz="6" w:space="0" w:color="000000"/>
              <w:right w:val="single" w:sz="6" w:space="0" w:color="000000"/>
            </w:tcBorders>
            <w:vAlign w:val="center"/>
          </w:tcPr>
          <w:p>
            <w:pPr>
              <w:pStyle w:val="19"/>
            </w:pPr>
            <w:r>
              <w:t>5.70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29.85</w:t>
            </w:r>
          </w:p>
        </w:tc>
        <w:tc>
          <w:tcPr>
            <w:tcW w:w="2551" w:type="dxa"/>
            <w:tcBorders>
              <w:left w:val="single" w:sz="6" w:space="0" w:color="000000"/>
              <w:right w:val="single" w:sz="6" w:space="0" w:color="000000"/>
            </w:tcBorders>
            <w:vAlign w:val="center"/>
          </w:tcPr>
          <w:p>
            <w:pPr>
              <w:pStyle w:val="19"/>
            </w:pPr>
            <w:r>
              <w:t>29.85</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r>
              <w:t>8.26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3.74</w:t>
            </w:r>
          </w:p>
        </w:tc>
        <w:tc>
          <w:tcPr>
            <w:tcW w:w="2551" w:type="dxa"/>
            <w:tcBorders>
              <w:left w:val="single" w:sz="6" w:space="0" w:color="000000"/>
              <w:right w:val="single" w:sz="6" w:space="0" w:color="000000"/>
            </w:tcBorders>
            <w:vAlign w:val="center"/>
          </w:tcPr>
          <w:p>
            <w:pPr>
              <w:pStyle w:val="19"/>
            </w:pPr>
            <w:r>
              <w:t>3.74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33.77</w:t>
            </w:r>
          </w:p>
        </w:tc>
        <w:tc>
          <w:tcPr>
            <w:tcW w:w="2551" w:type="dxa"/>
            <w:tcBorders>
              <w:left w:val="single" w:sz="6" w:space="0" w:color="000000"/>
              <w:right w:val="single" w:sz="6" w:space="0" w:color="000000"/>
            </w:tcBorders>
            <w:vAlign w:val="center"/>
          </w:tcPr>
          <w:p>
            <w:pPr>
              <w:pStyle w:val="19"/>
            </w:pPr>
            <w:r>
              <w:t>33.77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r>
              <w:t>6.68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10.18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10.18</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1.00</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0.50</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3.00</w:t>
            </w: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1.00</w:t>
            </w: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0.18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0.18</w:t>
            </w: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0.50</w:t>
            </w: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4.00</w:t>
            </w: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147.27</w:t>
            </w:r>
          </w:p>
        </w:tc>
        <w:tc>
          <w:tcPr>
            <w:tcW w:w="2551" w:type="dxa"/>
            <w:tcBorders>
              <w:left w:val="single" w:sz="6" w:space="0" w:color="000000"/>
              <w:right w:val="single" w:sz="6" w:space="0" w:color="000000"/>
            </w:tcBorders>
            <w:vAlign w:val="center"/>
          </w:tcPr>
          <w:p>
            <w:pPr>
              <w:pStyle w:val="19"/>
            </w:pPr>
            <w:r>
              <w:t>147.27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133.50</w:t>
            </w:r>
          </w:p>
        </w:tc>
        <w:tc>
          <w:tcPr>
            <w:tcW w:w="2551" w:type="dxa"/>
            <w:tcBorders>
              <w:left w:val="single" w:sz="6" w:space="0" w:color="000000"/>
              <w:right w:val="single" w:sz="6" w:space="0" w:color="000000"/>
            </w:tcBorders>
            <w:vAlign w:val="center"/>
          </w:tcPr>
          <w:p>
            <w:pPr>
              <w:pStyle w:val="19"/>
            </w:pPr>
            <w:r>
              <w:t>133.50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13.75</w:t>
            </w:r>
          </w:p>
        </w:tc>
        <w:tc>
          <w:tcPr>
            <w:tcW w:w="2551" w:type="dxa"/>
            <w:tcBorders>
              <w:left w:val="single" w:sz="6" w:space="0" w:color="000000"/>
              <w:right w:val="single" w:sz="6" w:space="0" w:color="000000"/>
            </w:tcBorders>
            <w:vAlign w:val="center"/>
          </w:tcPr>
          <w:p>
            <w:pPr>
              <w:pStyle w:val="19"/>
            </w:pPr>
            <w:r>
              <w:t>13.75</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0.02</w:t>
            </w:r>
          </w:p>
        </w:tc>
        <w:tc>
          <w:tcPr>
            <w:tcW w:w="2551" w:type="dxa"/>
            <w:tcBorders>
              <w:left w:val="single" w:sz="6" w:space="0" w:color="000000"/>
              <w:right w:val="single" w:sz="6" w:space="0" w:color="000000"/>
            </w:tcBorders>
            <w:vAlign w:val="center"/>
          </w:tcPr>
          <w:p>
            <w:pPr>
              <w:pStyle w:val="19"/>
            </w:pPr>
            <w:r>
              <w:t>0.02</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 xml:space="preserve">    其中：教学科研人员因公出国（境）费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7</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r>
              <w:t>4.00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唐山市丰润区水利局水利技术推广中心2023年单位预算信息公开情况说明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按照《中华人民共和国预算法》、《地方预决算公开操作规程》和《关于进一步推进预算公开工作的实施意见》规定，现将唐山市丰润区水利局水利技术推广中心2023年单位预算公开如下：</w:t>
      </w:r>
    </w:p>
    <w:p>
      <w:pPr>
        <w:spacing w:before="10" w:after="10"/>
        <w:ind w:firstLine="640"/>
        <w:outlineLvl w:val="5"/>
      </w:pPr>
      <w:r>
        <w:rPr>
          <w:rFonts w:ascii="黑体" w:eastAsia="黑体" w:cs="黑体"/>
          <w:color w:val="000000"/>
          <w:sz w:val="32"/>
        </w:rPr>
        <w:t>一、单位职责及机构设置情况</w:t>
      </w:r>
    </w:p>
    <w:p>
      <w:pPr>
        <w:pStyle w:val="43"/>
        <w:widowControl/>
        <w:shd w:val="clear" w:color="auto" w:fill="FFFFFF"/>
        <w:spacing w:line="405" w:lineRule="atLeast"/>
        <w:jc w:val="left"/>
        <w:rPr>
          <w:rFonts w:eastAsia="方正仿宋_GBK"/>
          <w:color w:val="000000"/>
          <w:kern w:val="0"/>
          <w:sz w:val="28"/>
          <w:lang w:eastAsia="uk-UA"/>
        </w:rPr>
      </w:pPr>
      <w:r>
        <w:rPr>
          <w:rFonts w:ascii="方正楷体_GBK" w:eastAsia="方正楷体_GBK" w:cs="方正楷体_GBK"/>
          <w:b/>
          <w:color w:val="000000"/>
          <w:sz w:val="32"/>
        </w:rPr>
        <w:t>单位职责：</w:t>
      </w:r>
      <w:r>
        <w:rPr>
          <w:rFonts w:eastAsia="方正仿宋_GBK" w:hint="eastAsia"/>
          <w:sz w:val="28"/>
        </w:rPr>
        <w:t>（</w:t>
      </w:r>
      <w:r>
        <w:rPr>
          <w:rFonts w:eastAsia="方正仿宋_GBK" w:hint="eastAsia"/>
          <w:color w:val="000000"/>
          <w:kern w:val="0"/>
          <w:sz w:val="28"/>
          <w:lang w:eastAsia="uk-UA"/>
        </w:rPr>
        <w:t>1）区水利技术推广中心负责全区水利工程建设技术指导工作，即饮水安全、节水灌溉、水土保持、防洪除涝等水利工程现场勘查、规划设计编报，施工技术指导和水利新技术推广应用工作，参加竣工验收、承办上级交办的日常工作。结合我区实际，负责协助乡镇、村搞好田间规划、防汛除涝、小型水利工程的勘测、设计、施工和指导，做好乡镇、村水利工程的数据统计上报下达工作。（2）</w:t>
      </w:r>
      <w:r>
        <w:rPr>
          <w:rFonts w:eastAsia="方正仿宋_GBK"/>
          <w:color w:val="000000"/>
          <w:kern w:val="0"/>
          <w:sz w:val="28"/>
          <w:lang w:eastAsia="uk-UA"/>
        </w:rPr>
        <w:t>完成区委、区政府交办的其他任务。</w:t>
      </w:r>
    </w:p>
    <w:p>
      <w:pPr>
        <w:adjustRightInd w:val="0"/>
        <w:snapToGrid w:val="0"/>
        <w:spacing w:line="520" w:lineRule="exact"/>
        <w:ind w:firstLineChars="200" w:firstLine="640"/>
        <w:rPr>
          <w:rFonts w:eastAsia="方正仿宋_GBK"/>
          <w:kern w:val="2"/>
          <w:sz w:val="28"/>
          <w:lang w:eastAsia="zh-CN"/>
        </w:rPr>
      </w:pPr>
      <w:r>
        <w:rPr>
          <w:rFonts w:ascii="方正楷体_GBK" w:eastAsia="方正楷体_GBK" w:cs="方正楷体_GBK"/>
          <w:b/>
          <w:color w:val="000000"/>
          <w:sz w:val="32"/>
        </w:rPr>
        <w:t>机构设置：</w:t>
      </w:r>
      <w:r>
        <w:rPr>
          <w:rFonts w:eastAsia="方正仿宋_GBK" w:hint="eastAsia"/>
          <w:kern w:val="2"/>
          <w:sz w:val="28"/>
          <w:lang w:eastAsia="zh-CN"/>
        </w:rPr>
        <w:t>根据区编办核定的三定方案规定，唐山市丰润区水利局水利技术推广中心为区政府工作部门,机构        规格副科级。</w:t>
      </w:r>
    </w:p>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唐山市丰润区水利局水利技术推广中心</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副科级</w:t>
            </w:r>
          </w:p>
        </w:tc>
        <w:tc>
          <w:tcPr>
            <w:tcW w:w="3827" w:type="dxa"/>
            <w:tcBorders>
              <w:left w:val="single" w:sz="6" w:space="0" w:color="000000"/>
              <w:right w:val="single" w:sz="6" w:space="0" w:color="000000"/>
            </w:tcBorders>
            <w:vAlign w:val="center"/>
          </w:tcPr>
          <w:p>
            <w:pPr>
              <w:pStyle w:val="21"/>
            </w:pPr>
            <w:r>
              <w:t>财政性资金基本保证</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rPr>
          <w:rFonts w:eastAsia="宋体"/>
          <w:color w:val="000000"/>
          <w:sz w:val="28"/>
          <w:lang w:eastAsia="zh-CN"/>
        </w:rPr>
      </w:pPr>
      <w:r>
        <w:rPr>
          <w:rFonts w:eastAsia="方正仿宋_GBK"/>
          <w:color w:val="000000"/>
          <w:sz w:val="28"/>
        </w:rPr>
        <w:t>按照预算管理有关规定，目前我省部门预算的编制实行综合预算管理，即全部收入和支出都反映在预算中。唐山市丰润区水利局</w:t>
      </w:r>
      <w:r>
        <w:rPr>
          <w:rFonts w:eastAsia="方正仿宋_GBK" w:hint="eastAsia"/>
          <w:color w:val="000000"/>
          <w:sz w:val="28"/>
          <w:lang w:eastAsia="zh-CN"/>
        </w:rPr>
        <w:t>水利技术推广中心所</w:t>
      </w:r>
      <w:r>
        <w:rPr>
          <w:rFonts w:eastAsia="方正仿宋_GBK"/>
          <w:color w:val="000000"/>
          <w:sz w:val="28"/>
        </w:rPr>
        <w:t>属事业单位的收支包含在部门预算中。</w:t>
      </w:r>
    </w:p>
    <w:p>
      <w:pPr>
        <w:spacing w:line="500" w:lineRule="exact"/>
        <w:ind w:firstLineChars="200" w:firstLine="560"/>
        <w:rPr>
          <w:rFonts w:eastAsia="方正仿宋_GBK"/>
          <w:sz w:val="28"/>
          <w:lang w:eastAsia="zh-CN"/>
        </w:rPr>
      </w:pPr>
      <w:r>
        <w:rPr>
          <w:rFonts w:eastAsia="方正仿宋_GBK" w:hint="eastAsia"/>
          <w:sz w:val="28"/>
        </w:rPr>
        <w:t>（一）收入说明</w:t>
      </w:r>
    </w:p>
    <w:p>
      <w:pPr>
        <w:spacing w:line="500" w:lineRule="exact"/>
        <w:ind w:firstLineChars="200" w:firstLine="560"/>
        <w:rPr>
          <w:rFonts w:eastAsia="方正仿宋_GBK"/>
          <w:sz w:val="28"/>
        </w:rPr>
      </w:pPr>
      <w:r>
        <w:rPr>
          <w:rFonts w:eastAsia="方正仿宋_GBK"/>
          <w:sz w:val="28"/>
        </w:rPr>
        <w:t>202</w:t>
      </w:r>
      <w:r>
        <w:rPr>
          <w:rFonts w:eastAsia="方正仿宋_GBK" w:hint="eastAsia"/>
          <w:sz w:val="28"/>
          <w:lang w:eastAsia="zh-CN"/>
        </w:rPr>
        <w:t>3</w:t>
      </w:r>
      <w:r>
        <w:rPr>
          <w:rFonts w:eastAsia="方正仿宋_GBK" w:hint="eastAsia"/>
          <w:sz w:val="28"/>
        </w:rPr>
        <w:t>年部门预算收入2</w:t>
      </w:r>
      <w:r>
        <w:rPr>
          <w:rFonts w:eastAsia="方正仿宋_GBK" w:hint="eastAsia"/>
          <w:sz w:val="28"/>
          <w:lang w:eastAsia="zh-CN"/>
        </w:rPr>
        <w:t>72.25</w:t>
      </w:r>
      <w:r>
        <w:rPr>
          <w:rFonts w:eastAsia="方正仿宋_GBK" w:hint="eastAsia"/>
          <w:sz w:val="28"/>
        </w:rPr>
        <w:t>万元，其中一般公共预算收入</w:t>
      </w:r>
      <w:r>
        <w:rPr>
          <w:rFonts w:eastAsia="方正仿宋_GBK" w:hint="eastAsia"/>
          <w:sz w:val="28"/>
          <w:lang w:eastAsia="zh-CN"/>
        </w:rPr>
        <w:t>272.25</w:t>
      </w:r>
      <w:r>
        <w:rPr>
          <w:rFonts w:eastAsia="方正仿宋_GBK" w:hint="eastAsia"/>
          <w:sz w:val="28"/>
        </w:rPr>
        <w:t>万元，政府性基金收入</w:t>
      </w:r>
      <w:r>
        <w:rPr>
          <w:rFonts w:eastAsia="方正仿宋_GBK" w:hint="eastAsia"/>
          <w:sz w:val="28"/>
          <w:lang w:eastAsia="zh-CN"/>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r>
        <w:rPr>
          <w:rFonts w:eastAsia="方正仿宋_GBK" w:hint="eastAsia"/>
          <w:sz w:val="28"/>
          <w:lang w:val="uk-UA" w:eastAsia="zh-CN"/>
        </w:rPr>
        <w:t>无结转结余</w:t>
      </w:r>
      <w:r>
        <w:rPr>
          <w:rFonts w:eastAsia="方正仿宋_GBK" w:hint="eastAsia"/>
          <w:sz w:val="28"/>
        </w:rPr>
        <w:t>。</w:t>
      </w:r>
    </w:p>
    <w:p>
      <w:pPr>
        <w:spacing w:line="500" w:lineRule="exact"/>
        <w:ind w:firstLineChars="200" w:firstLine="560"/>
        <w:rPr>
          <w:rFonts w:eastAsia="方正仿宋_GBK"/>
          <w:sz w:val="28"/>
        </w:rPr>
      </w:pPr>
      <w:r>
        <w:rPr>
          <w:rFonts w:eastAsia="方正仿宋_GBK" w:hint="eastAsia"/>
          <w:sz w:val="28"/>
        </w:rPr>
        <w:t>（二）支出说明</w:t>
      </w:r>
    </w:p>
    <w:p>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年部门预算支出</w:t>
      </w:r>
      <w:r>
        <w:rPr>
          <w:rFonts w:eastAsia="方正仿宋_GBK" w:hint="eastAsia"/>
          <w:sz w:val="28"/>
          <w:lang w:eastAsia="zh-CN"/>
        </w:rPr>
        <w:t>272.25</w:t>
      </w:r>
      <w:r>
        <w:rPr>
          <w:rFonts w:eastAsia="方正仿宋_GBK" w:hint="eastAsia"/>
          <w:sz w:val="28"/>
        </w:rPr>
        <w:t>万元，其中基本支出</w:t>
      </w:r>
      <w:r>
        <w:rPr>
          <w:rFonts w:eastAsia="方正仿宋_GBK" w:hint="eastAsia"/>
          <w:sz w:val="28"/>
          <w:lang w:eastAsia="zh-CN"/>
        </w:rPr>
        <w:t>272.25</w:t>
      </w:r>
      <w:r>
        <w:rPr>
          <w:rFonts w:eastAsia="方正仿宋_GBK" w:hint="eastAsia"/>
          <w:sz w:val="28"/>
        </w:rPr>
        <w:t>万元，包含人员经费</w:t>
      </w:r>
      <w:r>
        <w:rPr>
          <w:rFonts w:eastAsia="方正仿宋_GBK" w:hint="eastAsia"/>
          <w:sz w:val="28"/>
          <w:lang w:eastAsia="zh-CN"/>
        </w:rPr>
        <w:t>262.07</w:t>
      </w:r>
      <w:r>
        <w:rPr>
          <w:rFonts w:eastAsia="宋体" w:hint="eastAsia"/>
          <w:sz w:val="28"/>
          <w:lang w:eastAsia="zh-CN"/>
        </w:rPr>
        <w:t>万</w:t>
      </w:r>
      <w:r>
        <w:rPr>
          <w:rFonts w:eastAsia="方正仿宋_GBK" w:hint="eastAsia"/>
          <w:sz w:val="28"/>
        </w:rPr>
        <w:t>元、正常公用经费</w:t>
      </w:r>
      <w:r>
        <w:rPr>
          <w:rFonts w:eastAsia="方正仿宋_GBK" w:hint="eastAsia"/>
          <w:sz w:val="28"/>
          <w:lang w:eastAsia="zh-CN"/>
        </w:rPr>
        <w:t>10.18</w:t>
      </w:r>
      <w:r>
        <w:rPr>
          <w:rFonts w:eastAsia="方正仿宋_GBK" w:hint="eastAsia"/>
          <w:sz w:val="28"/>
        </w:rPr>
        <w:t>万元</w:t>
      </w:r>
      <w:r>
        <w:rPr>
          <w:rFonts w:eastAsia="宋体" w:hint="eastAsia"/>
          <w:sz w:val="28"/>
          <w:lang w:eastAsia="zh-CN"/>
        </w:rPr>
        <w:t>，项目支出0万元</w:t>
      </w:r>
      <w:r>
        <w:rPr>
          <w:rFonts w:eastAsia="方正仿宋_GBK" w:hint="eastAsia"/>
          <w:sz w:val="28"/>
        </w:rPr>
        <w:t>。</w:t>
      </w:r>
    </w:p>
    <w:p>
      <w:pPr>
        <w:spacing w:line="500" w:lineRule="exact"/>
        <w:ind w:firstLineChars="200" w:firstLine="560"/>
        <w:rPr>
          <w:rFonts w:eastAsia="方正仿宋_GBK"/>
          <w:sz w:val="28"/>
        </w:rPr>
      </w:pPr>
      <w:r>
        <w:rPr>
          <w:rFonts w:eastAsia="方正仿宋_GBK" w:hint="eastAsia"/>
          <w:sz w:val="28"/>
        </w:rPr>
        <w:t>（三）比上年增减情况</w:t>
      </w:r>
    </w:p>
    <w:p>
      <w:pPr>
        <w:spacing w:line="500" w:lineRule="exact"/>
        <w:ind w:firstLine="560"/>
        <w:rPr>
          <w:rFonts w:eastAsia="宋体"/>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年部门预算较2022年增加</w:t>
      </w:r>
      <w:r>
        <w:rPr>
          <w:rFonts w:eastAsia="宋体" w:hint="eastAsia"/>
          <w:sz w:val="28"/>
          <w:lang w:eastAsia="zh-CN"/>
        </w:rPr>
        <w:t>76.04</w:t>
      </w:r>
      <w:r>
        <w:rPr>
          <w:rFonts w:eastAsia="方正仿宋_GBK" w:hint="eastAsia"/>
          <w:sz w:val="28"/>
        </w:rPr>
        <w:t>万元，其中人员经费增加</w:t>
      </w:r>
      <w:r>
        <w:rPr>
          <w:rFonts w:eastAsia="宋体" w:hint="eastAsia"/>
          <w:sz w:val="28"/>
          <w:lang w:eastAsia="zh-CN"/>
        </w:rPr>
        <w:t>76.67</w:t>
      </w:r>
      <w:r>
        <w:rPr>
          <w:rFonts w:eastAsia="方正仿宋_GBK" w:hint="eastAsia"/>
          <w:sz w:val="28"/>
        </w:rPr>
        <w:t>万元（</w:t>
      </w:r>
      <w:r>
        <w:rPr>
          <w:rFonts w:ascii="方正仿宋_GBK" w:eastAsia="方正仿宋_GBK" w:hint="eastAsia"/>
          <w:sz w:val="28"/>
        </w:rPr>
        <w:t>由于本年度预算包含在职、退休人员补充绩效及年底考核奖等</w:t>
      </w:r>
      <w:r>
        <w:rPr>
          <w:rFonts w:eastAsia="方正仿宋_GBK" w:hint="eastAsia"/>
          <w:sz w:val="28"/>
        </w:rPr>
        <w:t>）、正常公用经费较2022年减少</w:t>
      </w:r>
      <w:r>
        <w:rPr>
          <w:rFonts w:eastAsia="宋体" w:hint="eastAsia"/>
          <w:sz w:val="28"/>
          <w:lang w:eastAsia="zh-CN"/>
        </w:rPr>
        <w:t>0.63</w:t>
      </w:r>
      <w:r>
        <w:rPr>
          <w:rFonts w:eastAsia="方正仿宋_GBK" w:hint="eastAsia"/>
          <w:sz w:val="28"/>
        </w:rPr>
        <w:t>万元（减少原因</w:t>
      </w:r>
      <w:bookmarkStart w:id="1" w:name="_GoBack"/>
      <w:bookmarkEnd w:id="1"/>
      <w:r>
        <w:rPr>
          <w:rFonts w:eastAsia="方正仿宋_GBK" w:hint="eastAsia"/>
          <w:sz w:val="28"/>
        </w:rPr>
        <w:t>为在职人员减少正常公用经费支出安排减少）</w:t>
      </w:r>
      <w:r>
        <w:rPr>
          <w:rFonts w:eastAsia="方正仿宋_GBK" w:hint="eastAsia"/>
          <w:sz w:val="28"/>
          <w:lang w:eastAsia="zh-CN"/>
        </w:rPr>
        <w:t>；</w:t>
      </w:r>
      <w:r>
        <w:rPr>
          <w:rFonts w:eastAsia="宋体" w:hint="eastAsia"/>
          <w:sz w:val="28"/>
          <w:lang w:eastAsia="zh-CN"/>
        </w:rPr>
        <w:t>我单位无项目支出</w:t>
      </w:r>
      <w:r>
        <w:rPr>
          <w:rFonts w:eastAsia="方正仿宋_GBK" w:hint="eastAsia"/>
          <w:sz w:val="28"/>
        </w:rPr>
        <w:t>。</w:t>
      </w:r>
    </w:p>
    <w:p>
      <w:pPr>
        <w:spacing w:before="10" w:after="10" w:line="360" w:lineRule="auto"/>
        <w:ind w:firstLine="640"/>
        <w:outlineLvl w:val="2"/>
        <w:rPr>
          <w:rFonts w:ascii="黑体" w:eastAsia="黑体" w:cs="黑体"/>
          <w:color w:val="000000"/>
          <w:sz w:val="32"/>
          <w:lang w:eastAsia="zh-CN"/>
        </w:rPr>
      </w:pPr>
      <w:bookmarkStart w:id="2" w:name="_Toc_3_3_0000000012"/>
      <w:r>
        <w:rPr>
          <w:rFonts w:ascii="黑体" w:eastAsia="黑体" w:cs="黑体"/>
          <w:color w:val="000000"/>
          <w:sz w:val="32"/>
        </w:rPr>
        <w:t>三、</w:t>
      </w:r>
      <w:r>
        <w:rPr>
          <w:rFonts w:ascii="黑体" w:eastAsia="黑体" w:cs="黑体" w:hint="eastAsia"/>
          <w:color w:val="000000"/>
          <w:sz w:val="32"/>
          <w:lang w:eastAsia="zh-CN"/>
        </w:rPr>
        <w:t>单位</w:t>
      </w:r>
      <w:r>
        <w:rPr>
          <w:rFonts w:ascii="黑体" w:eastAsia="黑体" w:cs="黑体"/>
          <w:color w:val="000000"/>
          <w:sz w:val="32"/>
        </w:rPr>
        <w:t>运行经费安排情况</w:t>
      </w:r>
      <w:bookmarkEnd w:id="2"/>
    </w:p>
    <w:p>
      <w:pPr>
        <w:spacing w:before="10" w:after="10" w:line="360" w:lineRule="auto"/>
        <w:ind w:firstLine="640"/>
        <w:outlineLvl w:val="2"/>
      </w:pPr>
      <w:r>
        <w:rPr>
          <w:rFonts w:eastAsia="方正仿宋_GBK" w:hint="eastAsia"/>
          <w:sz w:val="28"/>
        </w:rPr>
        <w:t>202</w:t>
      </w:r>
      <w:r>
        <w:rPr>
          <w:rFonts w:eastAsia="方正仿宋_GBK" w:hint="eastAsia"/>
          <w:sz w:val="28"/>
          <w:lang w:eastAsia="zh-CN"/>
        </w:rPr>
        <w:t>3</w:t>
      </w:r>
      <w:r>
        <w:rPr>
          <w:rFonts w:eastAsia="方正仿宋_GBK" w:hint="eastAsia"/>
          <w:sz w:val="28"/>
        </w:rPr>
        <w:t>年</w:t>
      </w:r>
      <w:r>
        <w:rPr>
          <w:rFonts w:eastAsia="方正仿宋_GBK" w:hint="eastAsia"/>
          <w:sz w:val="28"/>
          <w:lang w:eastAsia="zh-CN"/>
        </w:rPr>
        <w:t>单位</w:t>
      </w:r>
      <w:r>
        <w:rPr>
          <w:rFonts w:eastAsia="方正仿宋_GBK" w:hint="eastAsia"/>
          <w:sz w:val="28"/>
        </w:rPr>
        <w:t>运行经费共计安排</w:t>
      </w:r>
      <w:r>
        <w:rPr>
          <w:rFonts w:eastAsia="方正仿宋_GBK" w:hint="eastAsia"/>
          <w:sz w:val="28"/>
          <w:lang w:eastAsia="zh-CN"/>
        </w:rPr>
        <w:t>10.18</w:t>
      </w:r>
      <w:r>
        <w:rPr>
          <w:rFonts w:eastAsia="方正仿宋_GBK" w:hint="eastAsia"/>
          <w:sz w:val="28"/>
        </w:rPr>
        <w:t>万元，主要包括用于保证</w:t>
      </w:r>
      <w:r>
        <w:rPr>
          <w:rFonts w:eastAsia="方正仿宋_GBK" w:hint="eastAsia"/>
          <w:sz w:val="28"/>
          <w:lang w:eastAsia="zh-CN"/>
        </w:rPr>
        <w:t>单位</w:t>
      </w:r>
      <w:r>
        <w:rPr>
          <w:rFonts w:eastAsia="方正仿宋_GBK" w:hint="eastAsia"/>
          <w:sz w:val="28"/>
        </w:rPr>
        <w:t>正常运转的办公费、福利费、水电费、办公取暖费、</w:t>
      </w:r>
      <w:r>
        <w:rPr>
          <w:rFonts w:eastAsia="方正仿宋_GBK" w:hint="eastAsia"/>
          <w:sz w:val="28"/>
          <w:lang w:eastAsia="zh-CN"/>
        </w:rPr>
        <w:t>劳务</w:t>
      </w:r>
      <w:r>
        <w:rPr>
          <w:rFonts w:eastAsia="方正仿宋_GBK" w:hint="eastAsia"/>
          <w:sz w:val="28"/>
        </w:rPr>
        <w:t>费、</w:t>
      </w:r>
      <w:r>
        <w:rPr>
          <w:rFonts w:eastAsia="方正仿宋_GBK" w:hint="eastAsia"/>
          <w:sz w:val="28"/>
          <w:lang w:eastAsia="zh-CN"/>
        </w:rPr>
        <w:t>工会</w:t>
      </w:r>
      <w:r>
        <w:rPr>
          <w:rFonts w:eastAsia="方正仿宋_GBK" w:hint="eastAsia"/>
          <w:sz w:val="28"/>
        </w:rPr>
        <w:t>费、公务</w:t>
      </w:r>
      <w:r>
        <w:rPr>
          <w:rFonts w:eastAsia="方正仿宋_GBK" w:hint="eastAsia"/>
          <w:sz w:val="28"/>
          <w:lang w:eastAsia="zh-CN"/>
        </w:rPr>
        <w:t>用</w:t>
      </w:r>
      <w:r>
        <w:rPr>
          <w:rFonts w:eastAsia="方正仿宋_GBK" w:hint="eastAsia"/>
          <w:sz w:val="28"/>
        </w:rPr>
        <w:t>车运行维护费等支出</w:t>
      </w:r>
    </w:p>
    <w:p>
      <w:pPr>
        <w:spacing w:before="10" w:after="10" w:line="360" w:lineRule="auto"/>
        <w:ind w:firstLine="640"/>
        <w:outlineLvl w:val="2"/>
        <w:rPr>
          <w:rFonts w:ascii="黑体" w:eastAsia="黑体" w:cs="黑体"/>
          <w:color w:val="000000"/>
          <w:sz w:val="32"/>
          <w:lang w:eastAsia="zh-CN"/>
        </w:rPr>
      </w:pPr>
      <w:bookmarkStart w:id="3" w:name="_Toc_3_3_0000000013"/>
      <w:r>
        <w:rPr>
          <w:rFonts w:ascii="黑体" w:eastAsia="黑体" w:cs="黑体"/>
          <w:color w:val="000000"/>
          <w:sz w:val="32"/>
        </w:rPr>
        <w:t>四、财政拨款“三公”经费预算情况及增减变化原因</w:t>
      </w:r>
      <w:bookmarkEnd w:id="3"/>
    </w:p>
    <w:p>
      <w:pPr>
        <w:spacing w:before="10" w:after="10" w:line="360" w:lineRule="auto"/>
        <w:ind w:firstLine="640"/>
        <w:outlineLvl w:val="2"/>
        <w:rPr>
          <w:rFonts w:eastAsia="方正仿宋_GBK"/>
          <w:sz w:val="28"/>
          <w:lang w:eastAsia="zh-CN"/>
        </w:rPr>
      </w:pPr>
      <w:r>
        <w:rPr>
          <w:rFonts w:eastAsia="方正仿宋_GBK" w:hint="eastAsia"/>
          <w:sz w:val="28"/>
        </w:rPr>
        <w:t>202</w:t>
      </w:r>
      <w:r>
        <w:rPr>
          <w:rFonts w:eastAsia="方正仿宋_GBK" w:hint="eastAsia"/>
          <w:sz w:val="28"/>
          <w:lang w:eastAsia="zh-CN"/>
        </w:rPr>
        <w:t>3</w:t>
      </w:r>
      <w:r>
        <w:rPr>
          <w:rFonts w:eastAsia="方正仿宋_GBK" w:hint="eastAsia"/>
          <w:sz w:val="28"/>
        </w:rPr>
        <w:t>年我部门“三公”经费预算安排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pPr>
        <w:spacing w:before="10" w:after="10" w:line="360" w:lineRule="auto"/>
        <w:ind w:firstLine="640"/>
        <w:outlineLvl w:val="2"/>
        <w:rPr>
          <w:rFonts w:eastAsia="方正仿宋_GBK"/>
          <w:sz w:val="28"/>
          <w:lang w:eastAsia="zh-CN"/>
        </w:rPr>
      </w:pPr>
      <w:r>
        <w:rPr>
          <w:rFonts w:eastAsia="方正仿宋_GBK" w:hint="eastAsia"/>
          <w:sz w:val="28"/>
        </w:rPr>
        <w:t xml:space="preserve">  (一)公务用车购置及运行费。共计安排0万元，与2022年预算相比无变化。</w:t>
      </w:r>
    </w:p>
    <w:p>
      <w:pPr>
        <w:spacing w:before="10" w:after="10" w:line="360" w:lineRule="auto"/>
        <w:ind w:firstLineChars="300" w:firstLine="840"/>
        <w:outlineLvl w:val="2"/>
        <w:rPr>
          <w:rFonts w:eastAsia="方正仿宋_GBK"/>
          <w:sz w:val="28"/>
          <w:lang w:eastAsia="zh-CN"/>
        </w:rPr>
      </w:pPr>
      <w:r>
        <w:rPr>
          <w:rFonts w:eastAsia="方正仿宋_GBK" w:hint="eastAsia"/>
          <w:sz w:val="28"/>
        </w:rPr>
        <w:t>①公务用车购置0万元，与上年持平；</w:t>
      </w:r>
    </w:p>
    <w:p>
      <w:pPr>
        <w:spacing w:before="10" w:after="10" w:line="360" w:lineRule="auto"/>
        <w:ind w:firstLineChars="300" w:firstLine="840"/>
        <w:outlineLvl w:val="2"/>
        <w:rPr>
          <w:rFonts w:eastAsia="方正仿宋_GBK"/>
          <w:sz w:val="28"/>
          <w:lang w:eastAsia="zh-CN"/>
        </w:rPr>
      </w:pPr>
      <w:r>
        <w:rPr>
          <w:rFonts w:eastAsia="方正仿宋_GBK" w:hint="eastAsia"/>
          <w:sz w:val="28"/>
        </w:rPr>
        <w:t xml:space="preserve"> ②公务运行维护经费安排</w:t>
      </w:r>
      <w:r>
        <w:rPr>
          <w:rFonts w:eastAsia="方正仿宋_GBK" w:hint="eastAsia"/>
          <w:sz w:val="28"/>
          <w:lang w:eastAsia="zh-CN"/>
        </w:rPr>
        <w:t>4</w:t>
      </w:r>
      <w:r>
        <w:rPr>
          <w:rFonts w:eastAsia="方正仿宋_GBK" w:hint="eastAsia"/>
          <w:sz w:val="28"/>
        </w:rPr>
        <w:t>万元，与上年持平</w:t>
      </w:r>
    </w:p>
    <w:p>
      <w:pPr>
        <w:spacing w:before="10" w:after="10" w:line="360" w:lineRule="auto"/>
        <w:ind w:firstLine="640"/>
        <w:outlineLvl w:val="2"/>
        <w:rPr>
          <w:rFonts w:eastAsia="方正仿宋_GBK"/>
          <w:sz w:val="28"/>
          <w:lang w:eastAsia="zh-CN"/>
        </w:rPr>
      </w:pPr>
      <w:r>
        <w:rPr>
          <w:rFonts w:eastAsia="方正仿宋_GBK" w:hint="eastAsia"/>
          <w:sz w:val="28"/>
        </w:rPr>
        <w:t>（二）</w:t>
      </w:r>
      <w:r>
        <w:rPr>
          <w:rFonts w:eastAsia="方正仿宋_GBK" w:hint="eastAsia"/>
          <w:sz w:val="28"/>
          <w:lang w:eastAsia="zh-CN"/>
        </w:rPr>
        <w:t>我单位无</w:t>
      </w:r>
      <w:r>
        <w:rPr>
          <w:rFonts w:eastAsia="方正仿宋_GBK" w:hint="eastAsia"/>
          <w:sz w:val="28"/>
        </w:rPr>
        <w:t>公务接待费，与2022年预算相比无变化。</w:t>
      </w:r>
    </w:p>
    <w:p>
      <w:pPr>
        <w:spacing w:before="10" w:after="10" w:line="360" w:lineRule="auto"/>
        <w:ind w:firstLine="640"/>
        <w:outlineLvl w:val="2"/>
        <w:rPr>
          <w:rFonts w:eastAsia="方正仿宋_GBK"/>
          <w:sz w:val="28"/>
          <w:lang w:eastAsia="zh-CN"/>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）我单位无</w:t>
      </w:r>
      <w:r>
        <w:rPr>
          <w:rFonts w:eastAsia="方正仿宋_GBK" w:hint="eastAsia"/>
          <w:sz w:val="28"/>
        </w:rPr>
        <w:t>因公出国(境)费，与2022年预算相比无变化。</w:t>
      </w:r>
    </w:p>
    <w:p>
      <w:pPr>
        <w:spacing w:before="10" w:after="10"/>
        <w:ind w:firstLine="640"/>
        <w:outlineLvl w:val="5"/>
      </w:pPr>
      <w:r>
        <w:rPr>
          <w:rFonts w:eastAsia="方正仿宋_GBK" w:hint="eastAsia"/>
          <w:sz w:val="28"/>
        </w:rPr>
        <w:t>（四）</w:t>
      </w:r>
      <w:r>
        <w:rPr>
          <w:rFonts w:eastAsia="方正仿宋_GBK" w:hint="eastAsia"/>
          <w:sz w:val="28"/>
          <w:lang w:eastAsia="zh-CN"/>
        </w:rPr>
        <w:t>我单位无</w:t>
      </w:r>
      <w:r>
        <w:rPr>
          <w:rFonts w:eastAsia="方正仿宋_GBK" w:hint="eastAsia"/>
          <w:sz w:val="28"/>
        </w:rPr>
        <w:t>培训费，与2022年预算相比无变化。</w:t>
      </w:r>
    </w:p>
    <w:p>
      <w:pPr>
        <w:adjustRightInd w:val="0"/>
        <w:snapToGrid w:val="0"/>
        <w:spacing w:line="520" w:lineRule="exact"/>
        <w:ind w:firstLineChars="200" w:firstLine="640"/>
        <w:rPr>
          <w:rFonts w:ascii="黑体" w:eastAsia="黑体" w:cs="黑体"/>
          <w:color w:val="000000"/>
          <w:sz w:val="32"/>
          <w:lang w:eastAsia="zh-CN"/>
        </w:rPr>
      </w:pPr>
      <w:r>
        <w:rPr>
          <w:rFonts w:ascii="黑体" w:eastAsia="黑体" w:cs="黑体"/>
          <w:color w:val="000000"/>
          <w:sz w:val="32"/>
        </w:rPr>
        <w:t>五、预算绩效信息</w:t>
      </w:r>
    </w:p>
    <w:p>
      <w:pPr>
        <w:adjustRightInd w:val="0"/>
        <w:snapToGrid w:val="0"/>
        <w:spacing w:line="520" w:lineRule="exact"/>
        <w:ind w:firstLineChars="200" w:firstLine="560"/>
        <w:rPr>
          <w:rFonts w:ascii="方正仿宋_GBK" w:eastAsia="方正仿宋_GBK"/>
          <w:sz w:val="28"/>
        </w:rPr>
      </w:pPr>
      <w:r>
        <w:rPr>
          <w:rFonts w:ascii="方正仿宋_GBK" w:eastAsia="方正仿宋_GBK" w:hint="eastAsia"/>
          <w:sz w:val="28"/>
        </w:rPr>
        <w:t>我单位水利技术推广中心无预算项目，故无绩效预算信息</w:t>
      </w: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2023年，唐山市丰润区水利局水利技术推广中心安排政府采购预算0.00万元。具体内容见下表。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332003唐山市丰润区水利局水利技术推广中心</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政府采购金额（当年单位预算安排资金）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rPr>
          <w:rFonts w:eastAsia="方正仿宋_GBK"/>
          <w:color w:val="000000"/>
          <w:sz w:val="28"/>
          <w:lang w:eastAsia="zh-CN"/>
        </w:rPr>
      </w:pPr>
      <w:r>
        <w:rPr>
          <w:rFonts w:eastAsia="方正仿宋_GBK"/>
          <w:color w:val="000000"/>
          <w:sz w:val="28"/>
        </w:rPr>
        <w:t>唐山市丰润区水利局水利技术推广中心上年末固定资产金额为</w:t>
      </w:r>
      <w:r>
        <w:rPr>
          <w:rFonts w:eastAsia="方正仿宋_GBK" w:hint="eastAsia"/>
          <w:color w:val="000000"/>
          <w:sz w:val="28"/>
          <w:lang w:eastAsia="zh-CN"/>
        </w:rPr>
        <w:t>67.58</w:t>
      </w:r>
      <w:r>
        <w:rPr>
          <w:rFonts w:eastAsia="方正仿宋_GBK"/>
          <w:color w:val="000000"/>
          <w:sz w:val="28"/>
        </w:rPr>
        <w:t>万元（详见下表）。本年度拟购置固定资产总额为0.00万元，已按要求列入政府采购预算，详见政府采购预算表。</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lang w:eastAsia="zh-CN"/>
        </w:rPr>
      </w:pPr>
    </w:p>
    <w:p>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单位固定资产占用情况表</w:t>
      </w:r>
    </w:p>
    <w:p>
      <w:pPr>
        <w:adjustRightInd w:val="0"/>
        <w:snapToGrid w:val="0"/>
        <w:spacing w:line="400" w:lineRule="exact"/>
        <w:rPr>
          <w:rFonts w:ascii="方正仿宋_GBK" w:eastAsia="方正仿宋_GBK"/>
          <w:szCs w:val="21"/>
        </w:rPr>
      </w:pPr>
      <w:r>
        <w:rPr>
          <w:rFonts w:ascii="方正仿宋_GBK" w:eastAsia="方正仿宋_GBK" w:hint="eastAsia"/>
          <w:szCs w:val="21"/>
          <w:lang w:eastAsia="zh-CN"/>
        </w:rPr>
        <w:t>332003</w:t>
      </w:r>
      <w:r>
        <w:rPr>
          <w:rFonts w:ascii="方正仿宋_GBK" w:eastAsia="方正仿宋_GBK" w:hint="eastAsia"/>
          <w:szCs w:val="21"/>
        </w:rPr>
        <w:t xml:space="preserve">唐山市丰润区水利局水利技术推广中心           </w:t>
      </w:r>
      <w:r>
        <w:rPr>
          <w:rFonts w:ascii="方正仿宋_GBK" w:eastAsia="方正仿宋_GBK" w:hint="eastAsia"/>
          <w:szCs w:val="21"/>
          <w:lang w:eastAsia="zh-CN"/>
        </w:rPr>
        <w:t xml:space="preserve">                </w:t>
      </w:r>
      <w:r>
        <w:rPr>
          <w:rFonts w:ascii="方正仿宋_GBK" w:eastAsia="方正仿宋_GBK" w:hint="eastAsia"/>
          <w:szCs w:val="21"/>
        </w:rPr>
        <w:t xml:space="preserve"> 截止时间：202</w:t>
      </w:r>
      <w:r>
        <w:rPr>
          <w:rFonts w:ascii="方正仿宋_GBK" w:eastAsia="方正仿宋_GBK" w:hint="eastAsia"/>
          <w:szCs w:val="21"/>
          <w:lang w:eastAsia="zh-CN"/>
        </w:rPr>
        <w:t>2</w:t>
      </w:r>
      <w:r>
        <w:rPr>
          <w:rFonts w:ascii="方正仿宋_GBK" w:eastAsia="方正仿宋_GBK" w:hint="eastAsia"/>
          <w:szCs w:val="21"/>
        </w:rPr>
        <w:t>年12月31日</w:t>
      </w:r>
    </w:p>
    <w:tbl>
      <w:tblPr>
        <w:jc w:val="left"/>
        <w:tblInd w:w="0" w:type="dxa"/>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503"/>
        <w:gridCol w:w="3543"/>
        <w:gridCol w:w="5245"/>
      </w:tblGrid>
      <w:tr>
        <w:tc>
          <w:tcPr>
            <w:tcW w:w="450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项   目</w:t>
            </w:r>
          </w:p>
        </w:tc>
        <w:tc>
          <w:tcPr>
            <w:tcW w:w="354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数  量</w:t>
            </w: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价值（金额位：万元）</w:t>
            </w:r>
          </w:p>
        </w:tc>
      </w:tr>
      <w:tr>
        <w:tc>
          <w:tcPr>
            <w:tcW w:w="4503" w:type="dxa"/>
          </w:tcPr>
          <w:p>
            <w:pPr>
              <w:adjustRightInd w:val="0"/>
              <w:snapToGrid w:val="0"/>
              <w:spacing w:line="520" w:lineRule="exact"/>
              <w:jc w:val="center"/>
              <w:rPr>
                <w:rFonts w:ascii="方正仿宋_GBK" w:eastAsia="方正仿宋_GBK"/>
                <w:szCs w:val="21"/>
              </w:rPr>
            </w:pPr>
            <w:r>
              <w:rPr>
                <w:rFonts w:ascii="方正仿宋_GBK" w:eastAsia="方正仿宋_GBK" w:hint="eastAsia"/>
                <w:szCs w:val="21"/>
              </w:rPr>
              <w:t>资产总额</w:t>
            </w:r>
          </w:p>
        </w:tc>
        <w:tc>
          <w:tcPr>
            <w:tcW w:w="354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67.58</w:t>
            </w:r>
          </w:p>
        </w:tc>
      </w:tr>
      <w:tr>
        <w:tc>
          <w:tcPr>
            <w:tcW w:w="4503"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1、房屋（平方米）</w:t>
            </w:r>
          </w:p>
        </w:tc>
        <w:tc>
          <w:tcPr>
            <w:tcW w:w="3543" w:type="dxa"/>
          </w:tcPr>
          <w:p>
            <w:pPr>
              <w:adjustRightInd w:val="0"/>
              <w:snapToGrid w:val="0"/>
              <w:spacing w:line="520" w:lineRule="exact"/>
              <w:jc w:val="center"/>
              <w:rPr>
                <w:rFonts w:ascii="方正仿宋_GBK" w:eastAsia="方正仿宋_GBK"/>
                <w:b/>
                <w:szCs w:val="21"/>
              </w:rPr>
            </w:pP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0</w:t>
            </w:r>
          </w:p>
        </w:tc>
      </w:tr>
      <w:tr>
        <w:tc>
          <w:tcPr>
            <w:tcW w:w="4503"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其中：办公用房（平方米）</w:t>
            </w:r>
          </w:p>
        </w:tc>
        <w:tc>
          <w:tcPr>
            <w:tcW w:w="3543" w:type="dxa"/>
          </w:tcPr>
          <w:p>
            <w:pPr>
              <w:adjustRightInd w:val="0"/>
              <w:snapToGrid w:val="0"/>
              <w:spacing w:line="520" w:lineRule="exact"/>
              <w:jc w:val="center"/>
              <w:rPr>
                <w:rFonts w:ascii="方正仿宋_GBK" w:eastAsia="方正仿宋_GBK"/>
                <w:b/>
                <w:szCs w:val="21"/>
              </w:rPr>
            </w:pP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0</w:t>
            </w:r>
          </w:p>
        </w:tc>
      </w:tr>
      <w:tr>
        <w:tc>
          <w:tcPr>
            <w:tcW w:w="4503"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2、车辆（台、辆）</w:t>
            </w:r>
          </w:p>
        </w:tc>
        <w:tc>
          <w:tcPr>
            <w:tcW w:w="354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2</w:t>
            </w: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23.47</w:t>
            </w:r>
          </w:p>
        </w:tc>
      </w:tr>
      <w:tr>
        <w:tc>
          <w:tcPr>
            <w:tcW w:w="4503"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3、单价在20万元以上设备</w:t>
            </w:r>
          </w:p>
        </w:tc>
        <w:tc>
          <w:tcPr>
            <w:tcW w:w="354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245" w:type="dxa"/>
          </w:tcPr>
          <w:p>
            <w:pPr>
              <w:adjustRightInd w:val="0"/>
              <w:snapToGrid w:val="0"/>
              <w:spacing w:line="520" w:lineRule="exact"/>
              <w:jc w:val="center"/>
              <w:rPr>
                <w:rFonts w:ascii="方正仿宋_GBK" w:eastAsia="方正仿宋_GBK"/>
                <w:b/>
                <w:szCs w:val="21"/>
              </w:rPr>
            </w:pPr>
          </w:p>
        </w:tc>
      </w:tr>
      <w:tr>
        <w:tc>
          <w:tcPr>
            <w:tcW w:w="4503" w:type="dxa"/>
          </w:tcPr>
          <w:p>
            <w:pPr>
              <w:adjustRightInd w:val="0"/>
              <w:snapToGrid w:val="0"/>
              <w:spacing w:line="520" w:lineRule="exact"/>
              <w:rPr>
                <w:rFonts w:ascii="方正仿宋_GBK" w:eastAsia="方正仿宋_GBK"/>
                <w:szCs w:val="21"/>
              </w:rPr>
            </w:pPr>
            <w:r>
              <w:rPr>
                <w:rFonts w:ascii="方正仿宋_GBK" w:eastAsia="方正仿宋_GBK" w:hint="eastAsia"/>
                <w:szCs w:val="21"/>
              </w:rPr>
              <w:t>4、其他固定资产</w:t>
            </w:r>
          </w:p>
        </w:tc>
        <w:tc>
          <w:tcPr>
            <w:tcW w:w="3543"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rPr>
              <w:t>——</w:t>
            </w:r>
          </w:p>
        </w:tc>
        <w:tc>
          <w:tcPr>
            <w:tcW w:w="5245" w:type="dxa"/>
          </w:tcPr>
          <w:p>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44.11</w:t>
            </w: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Chars="450" w:firstLine="12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28377675"/>
      <w:docPartObj>
        <w:docPartGallery w:val="Page Numbers (Bottom of Page)"/>
        <w:docPartUnique/>
      </w:docPartObj>
    </w:sdtPr>
    <w:sdtContent>
      <w:p>
        <w:pPr>
          <w:pStyle w:val="42"/>
          <w:tabs>
            <w:tab w:val="center" w:pos="4153"/>
            <w:tab w:val="right" w:pos="8306"/>
          </w:tabs>
          <w:jc w:val="center"/>
        </w:pPr>
        <w:r>
          <w:fldChar w:fldCharType="begin"/>
        </w:r>
        <w:r>
          <w:instrText xml:space="preserve"> PAGE   \* MERGEFORMAT </w:instrText>
        </w:r>
        <w:r>
          <w:fldChar w:fldCharType="separate"/>
        </w:r>
        <w:r>
          <w:rPr>
            <w:lang w:val="zh-CN"/>
          </w:rPr>
          <w:t>17</w:t>
        </w:r>
        <w:r>
          <w:fldChar w:fldCharType="end"/>
        </w:r>
      </w:p>
    </w:sdtContent>
  </w:sdt>
  <w:p>
    <w:pPr>
      <w:jc w:val="right"/>
      <w:rPr>
        <w:rFonts w:eastAsia="宋体"/>
        <w:lang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613445025"/>
      <w:docPartObj>
        <w:docPartGallery w:val="Page Numbers (Bottom of Page)"/>
        <w:docPartUnique/>
      </w:docPartObj>
    </w:sdtPr>
    <w:sdtContent>
      <w:p>
        <w:pPr>
          <w:pStyle w:val="42"/>
          <w:tabs>
            <w:tab w:val="center" w:pos="4153"/>
            <w:tab w:val="right" w:pos="8306"/>
          </w:tabs>
          <w:jc w:val="center"/>
        </w:pPr>
        <w:r>
          <w:fldChar w:fldCharType="begin"/>
        </w:r>
        <w:r>
          <w:instrText xml:space="preserve"> PAGE   \* MERGEFORMAT </w:instrText>
        </w:r>
        <w:r>
          <w:fldChar w:fldCharType="separate"/>
        </w:r>
        <w:r>
          <w:rPr>
            <w:lang w:val="zh-CN"/>
          </w:rPr>
          <w:t>16</w:t>
        </w:r>
        <w:r>
          <w:fldChar w:fldCharType="end"/>
        </w:r>
      </w:p>
    </w:sdtContent>
  </w:sdt>
  <w:p>
    <w:pPr>
      <w:rPr>
        <w:rFonts w:eastAsia="宋体"/>
        <w:lang w:eastAsia="zh-C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ind w:firstLine="560"/>
    </w:pPr>
    <w:rPr>
      <w:rFonts w:eastAsia="方正仿宋_GBK"/>
      <w:color w:val="000000"/>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 w:type="paragraph" w:styleId="43">
    <w:name w:val="List Paragraph"/>
    <w:basedOn w:val="0"/>
    <w:pPr>
      <w:widowControl w:val="0"/>
      <w:ind w:firstLineChars="200" w:firstLine="200"/>
      <w:jc w:val="both"/>
    </w:pPr>
    <w:rPr>
      <w:rFonts w:eastAsia="宋体"/>
      <w:kern w:val="2"/>
      <w:sz w:val="21"/>
      <w:lang w:eastAsia="zh-CN"/>
    </w:rPr>
  </w:style>
  <w:style w:type="paragraph" w:styleId="44">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D148E176-EF34-4C9C-9B3D-4BAA38E4E81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213</TotalTime>
  <Application>Yozo_Office27021597764231179</Application>
  <Pages>22</Pages>
  <Words>5046</Words>
  <Characters>6216</Characters>
  <Lines>1448</Lines>
  <Paragraphs>826</Paragraphs>
  <CharactersWithSpaces>6406</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22</cp:revision>
  <dcterms:created xsi:type="dcterms:W3CDTF">2023-03-09T03:02:00Z</dcterms:created>
  <dcterms:modified xsi:type="dcterms:W3CDTF">2024-03-19T01:28:06Z</dcterms:modified>
</cp:coreProperties>
</file>