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34</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489丰润区刘家营乡人民政府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1322.99</w:t>
            </w:r>
          </w:p>
        </w:tc>
        <w:tc>
          <w:tcPr>
            <w:tcW w:w="4535" w:type="dxa"/>
            <w:vAlign w:val="center"/>
          </w:tcPr>
          <w:p>
            <w:pPr>
              <w:pStyle w:val="14"/>
            </w:pPr>
            <w:r>
              <w:t>一、一般公共服务支出</w:t>
            </w:r>
          </w:p>
        </w:tc>
        <w:tc>
          <w:tcPr>
            <w:tcW w:w="2126" w:type="dxa"/>
            <w:vAlign w:val="center"/>
          </w:tcPr>
          <w:p>
            <w:pPr>
              <w:pStyle w:val="13"/>
            </w:pPr>
            <w:r>
              <w:t>964.15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103.13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88.07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100.70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1322.99</w:t>
            </w:r>
          </w:p>
        </w:tc>
        <w:tc>
          <w:tcPr>
            <w:tcW w:w="4535" w:type="dxa"/>
            <w:vAlign w:val="center"/>
          </w:tcPr>
          <w:p>
            <w:pPr>
              <w:pStyle w:val="16"/>
            </w:pPr>
            <w:r>
              <w:t>本年支出合计</w:t>
            </w:r>
          </w:p>
        </w:tc>
        <w:tc>
          <w:tcPr>
            <w:tcW w:w="2126" w:type="dxa"/>
            <w:vAlign w:val="center"/>
          </w:tcPr>
          <w:p>
            <w:pPr>
              <w:pStyle w:val="17"/>
            </w:pPr>
            <w:r>
              <w:t>1322.99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1322.99</w:t>
            </w:r>
          </w:p>
        </w:tc>
        <w:tc>
          <w:tcPr>
            <w:tcW w:w="4535" w:type="dxa"/>
            <w:vAlign w:val="center"/>
          </w:tcPr>
          <w:p>
            <w:pPr>
              <w:pStyle w:val="16"/>
            </w:pPr>
            <w:r>
              <w:t>支出总计</w:t>
            </w:r>
          </w:p>
        </w:tc>
        <w:tc>
          <w:tcPr>
            <w:tcW w:w="2126" w:type="dxa"/>
            <w:vAlign w:val="center"/>
          </w:tcPr>
          <w:p>
            <w:pPr>
              <w:pStyle w:val="17"/>
            </w:pPr>
            <w:r>
              <w:t>1322.99</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489丰润区刘家营乡人民政府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1322.99</w:t>
            </w:r>
          </w:p>
        </w:tc>
        <w:tc>
          <w:tcPr>
            <w:tcW w:w="1134" w:type="dxa"/>
            <w:vAlign w:val="center"/>
          </w:tcPr>
          <w:p>
            <w:pPr>
              <w:pStyle w:val="17"/>
            </w:pPr>
            <w:r>
              <w:t>1322.99</w:t>
            </w:r>
          </w:p>
        </w:tc>
        <w:tc>
          <w:tcPr>
            <w:tcW w:w="1134" w:type="dxa"/>
            <w:vAlign w:val="center"/>
          </w:tcPr>
          <w:p>
            <w:pPr>
              <w:pStyle w:val="17"/>
            </w:pPr>
            <w:r>
              <w:t>1322.99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964.15</w:t>
            </w:r>
          </w:p>
        </w:tc>
        <w:tc>
          <w:tcPr>
            <w:tcW w:w="1134" w:type="dxa"/>
            <w:vAlign w:val="center"/>
          </w:tcPr>
          <w:p>
            <w:pPr>
              <w:pStyle w:val="13"/>
            </w:pPr>
            <w:r>
              <w:t>964.15</w:t>
            </w:r>
          </w:p>
        </w:tc>
        <w:tc>
          <w:tcPr>
            <w:tcW w:w="1134" w:type="dxa"/>
            <w:vAlign w:val="center"/>
          </w:tcPr>
          <w:p>
            <w:pPr>
              <w:pStyle w:val="13"/>
            </w:pPr>
            <w:r>
              <w:t>964.15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964.15</w:t>
            </w:r>
          </w:p>
        </w:tc>
        <w:tc>
          <w:tcPr>
            <w:tcW w:w="1134" w:type="dxa"/>
            <w:vAlign w:val="center"/>
          </w:tcPr>
          <w:p>
            <w:pPr>
              <w:pStyle w:val="13"/>
            </w:pPr>
            <w:r>
              <w:t>964.15</w:t>
            </w:r>
          </w:p>
        </w:tc>
        <w:tc>
          <w:tcPr>
            <w:tcW w:w="1134" w:type="dxa"/>
            <w:vAlign w:val="center"/>
          </w:tcPr>
          <w:p>
            <w:pPr>
              <w:pStyle w:val="13"/>
            </w:pPr>
            <w:r>
              <w:t>964.15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817.13</w:t>
            </w:r>
          </w:p>
        </w:tc>
        <w:tc>
          <w:tcPr>
            <w:tcW w:w="1134" w:type="dxa"/>
            <w:vAlign w:val="center"/>
          </w:tcPr>
          <w:p>
            <w:pPr>
              <w:pStyle w:val="13"/>
            </w:pPr>
            <w:r>
              <w:t>817.13</w:t>
            </w:r>
          </w:p>
        </w:tc>
        <w:tc>
          <w:tcPr>
            <w:tcW w:w="1134" w:type="dxa"/>
            <w:vAlign w:val="center"/>
          </w:tcPr>
          <w:p>
            <w:pPr>
              <w:pStyle w:val="13"/>
            </w:pPr>
            <w:r>
              <w:t>817.13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147.02</w:t>
            </w:r>
          </w:p>
        </w:tc>
        <w:tc>
          <w:tcPr>
            <w:tcW w:w="1134" w:type="dxa"/>
            <w:vAlign w:val="center"/>
          </w:tcPr>
          <w:p>
            <w:pPr>
              <w:pStyle w:val="13"/>
            </w:pPr>
            <w:r>
              <w:t>147.02</w:t>
            </w:r>
          </w:p>
        </w:tc>
        <w:tc>
          <w:tcPr>
            <w:tcW w:w="1134" w:type="dxa"/>
            <w:vAlign w:val="center"/>
          </w:tcPr>
          <w:p>
            <w:pPr>
              <w:pStyle w:val="13"/>
            </w:pPr>
            <w:r>
              <w:t>147.02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103.13</w:t>
            </w:r>
          </w:p>
        </w:tc>
        <w:tc>
          <w:tcPr>
            <w:tcW w:w="1134" w:type="dxa"/>
            <w:vAlign w:val="center"/>
          </w:tcPr>
          <w:p>
            <w:pPr>
              <w:pStyle w:val="13"/>
            </w:pPr>
            <w:r>
              <w:t>103.13</w:t>
            </w:r>
          </w:p>
        </w:tc>
        <w:tc>
          <w:tcPr>
            <w:tcW w:w="1134" w:type="dxa"/>
            <w:vAlign w:val="center"/>
          </w:tcPr>
          <w:p>
            <w:pPr>
              <w:pStyle w:val="13"/>
            </w:pPr>
            <w:r>
              <w:t>103.13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103.13</w:t>
            </w:r>
          </w:p>
        </w:tc>
        <w:tc>
          <w:tcPr>
            <w:tcW w:w="1134" w:type="dxa"/>
            <w:vAlign w:val="center"/>
          </w:tcPr>
          <w:p>
            <w:pPr>
              <w:pStyle w:val="13"/>
            </w:pPr>
            <w:r>
              <w:t>103.13</w:t>
            </w:r>
          </w:p>
        </w:tc>
        <w:tc>
          <w:tcPr>
            <w:tcW w:w="1134" w:type="dxa"/>
            <w:vAlign w:val="center"/>
          </w:tcPr>
          <w:p>
            <w:pPr>
              <w:pStyle w:val="13"/>
            </w:pPr>
            <w:r>
              <w:t>103.13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103.13</w:t>
            </w:r>
          </w:p>
        </w:tc>
        <w:tc>
          <w:tcPr>
            <w:tcW w:w="1134" w:type="dxa"/>
            <w:vAlign w:val="center"/>
          </w:tcPr>
          <w:p>
            <w:pPr>
              <w:pStyle w:val="13"/>
            </w:pPr>
            <w:r>
              <w:t>103.13</w:t>
            </w:r>
          </w:p>
        </w:tc>
        <w:tc>
          <w:tcPr>
            <w:tcW w:w="1134" w:type="dxa"/>
            <w:vAlign w:val="center"/>
          </w:tcPr>
          <w:p>
            <w:pPr>
              <w:pStyle w:val="13"/>
            </w:pPr>
            <w:r>
              <w:t>103.13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88.07</w:t>
            </w:r>
          </w:p>
        </w:tc>
        <w:tc>
          <w:tcPr>
            <w:tcW w:w="1134" w:type="dxa"/>
            <w:vAlign w:val="center"/>
          </w:tcPr>
          <w:p>
            <w:pPr>
              <w:pStyle w:val="13"/>
            </w:pPr>
            <w:r>
              <w:t>88.07</w:t>
            </w:r>
          </w:p>
        </w:tc>
        <w:tc>
          <w:tcPr>
            <w:tcW w:w="1134" w:type="dxa"/>
            <w:vAlign w:val="center"/>
          </w:tcPr>
          <w:p>
            <w:pPr>
              <w:pStyle w:val="13"/>
            </w:pPr>
            <w:r>
              <w:t>88.07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88.07</w:t>
            </w:r>
          </w:p>
        </w:tc>
        <w:tc>
          <w:tcPr>
            <w:tcW w:w="1134" w:type="dxa"/>
            <w:vAlign w:val="center"/>
          </w:tcPr>
          <w:p>
            <w:pPr>
              <w:pStyle w:val="13"/>
            </w:pPr>
            <w:r>
              <w:t>88.07</w:t>
            </w:r>
          </w:p>
        </w:tc>
        <w:tc>
          <w:tcPr>
            <w:tcW w:w="1134" w:type="dxa"/>
            <w:vAlign w:val="center"/>
          </w:tcPr>
          <w:p>
            <w:pPr>
              <w:pStyle w:val="13"/>
            </w:pPr>
            <w:r>
              <w:t>88.07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88.07</w:t>
            </w:r>
          </w:p>
        </w:tc>
        <w:tc>
          <w:tcPr>
            <w:tcW w:w="1134" w:type="dxa"/>
            <w:vAlign w:val="center"/>
          </w:tcPr>
          <w:p>
            <w:pPr>
              <w:pStyle w:val="13"/>
            </w:pPr>
            <w:r>
              <w:t>88.07</w:t>
            </w:r>
          </w:p>
        </w:tc>
        <w:tc>
          <w:tcPr>
            <w:tcW w:w="1134" w:type="dxa"/>
            <w:vAlign w:val="center"/>
          </w:tcPr>
          <w:p>
            <w:pPr>
              <w:pStyle w:val="13"/>
            </w:pPr>
            <w:r>
              <w:t>88.07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100.70</w:t>
            </w:r>
          </w:p>
        </w:tc>
        <w:tc>
          <w:tcPr>
            <w:tcW w:w="1134" w:type="dxa"/>
            <w:vAlign w:val="center"/>
          </w:tcPr>
          <w:p>
            <w:pPr>
              <w:pStyle w:val="13"/>
            </w:pPr>
            <w:r>
              <w:t>100.70</w:t>
            </w:r>
          </w:p>
        </w:tc>
        <w:tc>
          <w:tcPr>
            <w:tcW w:w="1134" w:type="dxa"/>
            <w:vAlign w:val="center"/>
          </w:tcPr>
          <w:p>
            <w:pPr>
              <w:pStyle w:val="13"/>
            </w:pPr>
            <w:r>
              <w:t>100.70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100.70</w:t>
            </w:r>
          </w:p>
        </w:tc>
        <w:tc>
          <w:tcPr>
            <w:tcW w:w="1134" w:type="dxa"/>
            <w:vAlign w:val="center"/>
          </w:tcPr>
          <w:p>
            <w:pPr>
              <w:pStyle w:val="13"/>
            </w:pPr>
            <w:r>
              <w:t>100.70</w:t>
            </w:r>
          </w:p>
        </w:tc>
        <w:tc>
          <w:tcPr>
            <w:tcW w:w="1134" w:type="dxa"/>
            <w:vAlign w:val="center"/>
          </w:tcPr>
          <w:p>
            <w:pPr>
              <w:pStyle w:val="13"/>
            </w:pPr>
            <w:r>
              <w:t>100.70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2130701</w:t>
            </w:r>
          </w:p>
        </w:tc>
        <w:tc>
          <w:tcPr>
            <w:tcW w:w="1559" w:type="dxa"/>
            <w:vAlign w:val="center"/>
          </w:tcPr>
          <w:p>
            <w:pPr>
              <w:pStyle w:val="14"/>
            </w:pPr>
            <w:r>
              <w:t>对村级公益事业建设的补助</w:t>
            </w:r>
          </w:p>
        </w:tc>
        <w:tc>
          <w:tcPr>
            <w:tcW w:w="1134" w:type="dxa"/>
            <w:vAlign w:val="center"/>
          </w:tcPr>
          <w:p>
            <w:pPr>
              <w:pStyle w:val="13"/>
            </w:pPr>
            <w:r>
              <w:t>80.00</w:t>
            </w:r>
          </w:p>
        </w:tc>
        <w:tc>
          <w:tcPr>
            <w:tcW w:w="1134" w:type="dxa"/>
            <w:vAlign w:val="center"/>
          </w:tcPr>
          <w:p>
            <w:pPr>
              <w:pStyle w:val="13"/>
            </w:pPr>
            <w:r>
              <w:t>80.00</w:t>
            </w:r>
          </w:p>
        </w:tc>
        <w:tc>
          <w:tcPr>
            <w:tcW w:w="1134" w:type="dxa"/>
            <w:vAlign w:val="center"/>
          </w:tcPr>
          <w:p>
            <w:pPr>
              <w:pStyle w:val="13"/>
            </w:pPr>
            <w:r>
              <w:t>80.00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20.70</w:t>
            </w:r>
          </w:p>
        </w:tc>
        <w:tc>
          <w:tcPr>
            <w:tcW w:w="1134" w:type="dxa"/>
            <w:vAlign w:val="center"/>
          </w:tcPr>
          <w:p>
            <w:pPr>
              <w:pStyle w:val="13"/>
            </w:pPr>
            <w:r>
              <w:t>20.70</w:t>
            </w:r>
          </w:p>
        </w:tc>
        <w:tc>
          <w:tcPr>
            <w:tcW w:w="1134" w:type="dxa"/>
            <w:vAlign w:val="center"/>
          </w:tcPr>
          <w:p>
            <w:pPr>
              <w:pStyle w:val="13"/>
            </w:pPr>
            <w:r>
              <w:t>20.70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66.94</w:t>
            </w:r>
          </w:p>
        </w:tc>
        <w:tc>
          <w:tcPr>
            <w:tcW w:w="1134" w:type="dxa"/>
            <w:vAlign w:val="center"/>
          </w:tcPr>
          <w:p>
            <w:pPr>
              <w:pStyle w:val="13"/>
            </w:pPr>
            <w:r>
              <w:t>66.94</w:t>
            </w:r>
          </w:p>
        </w:tc>
        <w:tc>
          <w:tcPr>
            <w:tcW w:w="1134" w:type="dxa"/>
            <w:vAlign w:val="center"/>
          </w:tcPr>
          <w:p>
            <w:pPr>
              <w:pStyle w:val="13"/>
            </w:pPr>
            <w:r>
              <w:t>66.94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66.94</w:t>
            </w:r>
          </w:p>
        </w:tc>
        <w:tc>
          <w:tcPr>
            <w:tcW w:w="1134" w:type="dxa"/>
            <w:vAlign w:val="center"/>
          </w:tcPr>
          <w:p>
            <w:pPr>
              <w:pStyle w:val="13"/>
            </w:pPr>
            <w:r>
              <w:t>66.94</w:t>
            </w:r>
          </w:p>
        </w:tc>
        <w:tc>
          <w:tcPr>
            <w:tcW w:w="1134" w:type="dxa"/>
            <w:vAlign w:val="center"/>
          </w:tcPr>
          <w:p>
            <w:pPr>
              <w:pStyle w:val="13"/>
            </w:pPr>
            <w:r>
              <w:t>66.94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66.94</w:t>
            </w:r>
          </w:p>
        </w:tc>
        <w:tc>
          <w:tcPr>
            <w:tcW w:w="1134" w:type="dxa"/>
            <w:vAlign w:val="center"/>
          </w:tcPr>
          <w:p>
            <w:pPr>
              <w:pStyle w:val="13"/>
            </w:pPr>
            <w:r>
              <w:t>66.94</w:t>
            </w:r>
          </w:p>
        </w:tc>
        <w:tc>
          <w:tcPr>
            <w:tcW w:w="1134" w:type="dxa"/>
            <w:vAlign w:val="center"/>
          </w:tcPr>
          <w:p>
            <w:pPr>
              <w:pStyle w:val="13"/>
            </w:pPr>
            <w:r>
              <w:t>66.94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489丰润区刘家营乡人民政府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1322.99</w:t>
            </w:r>
          </w:p>
        </w:tc>
        <w:tc>
          <w:tcPr>
            <w:tcW w:w="1361" w:type="dxa"/>
            <w:vAlign w:val="center"/>
          </w:tcPr>
          <w:p>
            <w:pPr>
              <w:pStyle w:val="17"/>
            </w:pPr>
            <w:r>
              <w:t>1075.27</w:t>
            </w:r>
          </w:p>
        </w:tc>
        <w:tc>
          <w:tcPr>
            <w:tcW w:w="1361" w:type="dxa"/>
            <w:vAlign w:val="center"/>
          </w:tcPr>
          <w:p>
            <w:pPr>
              <w:pStyle w:val="17"/>
            </w:pPr>
            <w:r>
              <w:t>247.72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964.15</w:t>
            </w:r>
          </w:p>
        </w:tc>
        <w:tc>
          <w:tcPr>
            <w:tcW w:w="1361" w:type="dxa"/>
            <w:vAlign w:val="center"/>
          </w:tcPr>
          <w:p>
            <w:pPr>
              <w:pStyle w:val="13"/>
            </w:pPr>
            <w:r>
              <w:t>817.13</w:t>
            </w:r>
          </w:p>
        </w:tc>
        <w:tc>
          <w:tcPr>
            <w:tcW w:w="1361" w:type="dxa"/>
            <w:vAlign w:val="center"/>
          </w:tcPr>
          <w:p>
            <w:pPr>
              <w:pStyle w:val="13"/>
            </w:pPr>
            <w:r>
              <w:t>147.02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964.15</w:t>
            </w:r>
          </w:p>
        </w:tc>
        <w:tc>
          <w:tcPr>
            <w:tcW w:w="1361" w:type="dxa"/>
            <w:vAlign w:val="center"/>
          </w:tcPr>
          <w:p>
            <w:pPr>
              <w:pStyle w:val="13"/>
            </w:pPr>
            <w:r>
              <w:t>817.13</w:t>
            </w:r>
          </w:p>
        </w:tc>
        <w:tc>
          <w:tcPr>
            <w:tcW w:w="1361" w:type="dxa"/>
            <w:vAlign w:val="center"/>
          </w:tcPr>
          <w:p>
            <w:pPr>
              <w:pStyle w:val="13"/>
            </w:pPr>
            <w:r>
              <w:t>147.02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817.13</w:t>
            </w:r>
          </w:p>
        </w:tc>
        <w:tc>
          <w:tcPr>
            <w:tcW w:w="1361" w:type="dxa"/>
            <w:vAlign w:val="center"/>
          </w:tcPr>
          <w:p>
            <w:pPr>
              <w:pStyle w:val="13"/>
            </w:pPr>
            <w:r>
              <w:t>817.13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147.02</w:t>
            </w:r>
          </w:p>
        </w:tc>
        <w:tc>
          <w:tcPr>
            <w:tcW w:w="1361" w:type="dxa"/>
            <w:vAlign w:val="center"/>
          </w:tcPr>
          <w:p>
            <w:pPr>
              <w:pStyle w:val="13"/>
            </w:pPr>
          </w:p>
        </w:tc>
        <w:tc>
          <w:tcPr>
            <w:tcW w:w="1361" w:type="dxa"/>
            <w:vAlign w:val="center"/>
          </w:tcPr>
          <w:p>
            <w:pPr>
              <w:pStyle w:val="13"/>
            </w:pPr>
            <w:r>
              <w:t>147.02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103.13</w:t>
            </w:r>
          </w:p>
        </w:tc>
        <w:tc>
          <w:tcPr>
            <w:tcW w:w="1361" w:type="dxa"/>
            <w:vAlign w:val="center"/>
          </w:tcPr>
          <w:p>
            <w:pPr>
              <w:pStyle w:val="13"/>
            </w:pPr>
            <w:r>
              <w:t>103.13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103.13</w:t>
            </w:r>
          </w:p>
        </w:tc>
        <w:tc>
          <w:tcPr>
            <w:tcW w:w="1361" w:type="dxa"/>
            <w:vAlign w:val="center"/>
          </w:tcPr>
          <w:p>
            <w:pPr>
              <w:pStyle w:val="13"/>
            </w:pPr>
            <w:r>
              <w:t>103.13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103.13</w:t>
            </w:r>
          </w:p>
        </w:tc>
        <w:tc>
          <w:tcPr>
            <w:tcW w:w="1361" w:type="dxa"/>
            <w:vAlign w:val="center"/>
          </w:tcPr>
          <w:p>
            <w:pPr>
              <w:pStyle w:val="13"/>
            </w:pPr>
            <w:r>
              <w:t>103.13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88.07</w:t>
            </w:r>
          </w:p>
        </w:tc>
        <w:tc>
          <w:tcPr>
            <w:tcW w:w="1361" w:type="dxa"/>
            <w:vAlign w:val="center"/>
          </w:tcPr>
          <w:p>
            <w:pPr>
              <w:pStyle w:val="13"/>
            </w:pPr>
            <w:r>
              <w:t>88.07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88.07</w:t>
            </w:r>
          </w:p>
        </w:tc>
        <w:tc>
          <w:tcPr>
            <w:tcW w:w="1361" w:type="dxa"/>
            <w:vAlign w:val="center"/>
          </w:tcPr>
          <w:p>
            <w:pPr>
              <w:pStyle w:val="13"/>
            </w:pPr>
            <w:r>
              <w:t>88.07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88.07</w:t>
            </w:r>
          </w:p>
        </w:tc>
        <w:tc>
          <w:tcPr>
            <w:tcW w:w="1361" w:type="dxa"/>
            <w:vAlign w:val="center"/>
          </w:tcPr>
          <w:p>
            <w:pPr>
              <w:pStyle w:val="13"/>
            </w:pPr>
            <w:r>
              <w:t>88.07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100.70</w:t>
            </w:r>
          </w:p>
        </w:tc>
        <w:tc>
          <w:tcPr>
            <w:tcW w:w="1361" w:type="dxa"/>
            <w:vAlign w:val="center"/>
          </w:tcPr>
          <w:p>
            <w:pPr>
              <w:pStyle w:val="13"/>
            </w:pPr>
          </w:p>
        </w:tc>
        <w:tc>
          <w:tcPr>
            <w:tcW w:w="1361" w:type="dxa"/>
            <w:vAlign w:val="center"/>
          </w:tcPr>
          <w:p>
            <w:pPr>
              <w:pStyle w:val="13"/>
            </w:pPr>
            <w:r>
              <w:t>100.70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100.70</w:t>
            </w:r>
          </w:p>
        </w:tc>
        <w:tc>
          <w:tcPr>
            <w:tcW w:w="1361" w:type="dxa"/>
            <w:vAlign w:val="center"/>
          </w:tcPr>
          <w:p>
            <w:pPr>
              <w:pStyle w:val="13"/>
            </w:pPr>
          </w:p>
        </w:tc>
        <w:tc>
          <w:tcPr>
            <w:tcW w:w="1361" w:type="dxa"/>
            <w:vAlign w:val="center"/>
          </w:tcPr>
          <w:p>
            <w:pPr>
              <w:pStyle w:val="13"/>
            </w:pPr>
            <w:r>
              <w:t>100.70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2130701</w:t>
            </w:r>
          </w:p>
        </w:tc>
        <w:tc>
          <w:tcPr>
            <w:tcW w:w="4535" w:type="dxa"/>
            <w:vAlign w:val="center"/>
          </w:tcPr>
          <w:p>
            <w:pPr>
              <w:pStyle w:val="14"/>
            </w:pPr>
            <w:r>
              <w:t>对村级公益事业建设的补助</w:t>
            </w:r>
          </w:p>
        </w:tc>
        <w:tc>
          <w:tcPr>
            <w:tcW w:w="1361" w:type="dxa"/>
            <w:vAlign w:val="center"/>
          </w:tcPr>
          <w:p>
            <w:pPr>
              <w:pStyle w:val="13"/>
            </w:pPr>
            <w:r>
              <w:t>80.00</w:t>
            </w:r>
          </w:p>
        </w:tc>
        <w:tc>
          <w:tcPr>
            <w:tcW w:w="1361" w:type="dxa"/>
            <w:vAlign w:val="center"/>
          </w:tcPr>
          <w:p>
            <w:pPr>
              <w:pStyle w:val="13"/>
            </w:pPr>
          </w:p>
        </w:tc>
        <w:tc>
          <w:tcPr>
            <w:tcW w:w="1361" w:type="dxa"/>
            <w:vAlign w:val="center"/>
          </w:tcPr>
          <w:p>
            <w:pPr>
              <w:pStyle w:val="13"/>
            </w:pPr>
            <w:r>
              <w:t>80.00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20.70</w:t>
            </w:r>
          </w:p>
        </w:tc>
        <w:tc>
          <w:tcPr>
            <w:tcW w:w="1361" w:type="dxa"/>
            <w:vAlign w:val="center"/>
          </w:tcPr>
          <w:p>
            <w:pPr>
              <w:pStyle w:val="13"/>
            </w:pPr>
          </w:p>
        </w:tc>
        <w:tc>
          <w:tcPr>
            <w:tcW w:w="1361" w:type="dxa"/>
            <w:vAlign w:val="center"/>
          </w:tcPr>
          <w:p>
            <w:pPr>
              <w:pStyle w:val="13"/>
            </w:pPr>
            <w:r>
              <w:t>20.70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66.94</w:t>
            </w:r>
          </w:p>
        </w:tc>
        <w:tc>
          <w:tcPr>
            <w:tcW w:w="1361" w:type="dxa"/>
            <w:vAlign w:val="center"/>
          </w:tcPr>
          <w:p>
            <w:pPr>
              <w:pStyle w:val="13"/>
            </w:pPr>
            <w:r>
              <w:t>66.94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66.94</w:t>
            </w:r>
          </w:p>
        </w:tc>
        <w:tc>
          <w:tcPr>
            <w:tcW w:w="1361" w:type="dxa"/>
            <w:vAlign w:val="center"/>
          </w:tcPr>
          <w:p>
            <w:pPr>
              <w:pStyle w:val="13"/>
            </w:pPr>
            <w:r>
              <w:t>66.94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66.94</w:t>
            </w:r>
          </w:p>
        </w:tc>
        <w:tc>
          <w:tcPr>
            <w:tcW w:w="1361" w:type="dxa"/>
            <w:vAlign w:val="center"/>
          </w:tcPr>
          <w:p>
            <w:pPr>
              <w:pStyle w:val="13"/>
            </w:pPr>
            <w:r>
              <w:t>66.94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489丰润区刘家营乡人民政府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1322.99</w:t>
            </w:r>
          </w:p>
        </w:tc>
        <w:tc>
          <w:tcPr>
            <w:tcW w:w="3402" w:type="dxa"/>
            <w:vAlign w:val="center"/>
          </w:tcPr>
          <w:p>
            <w:pPr>
              <w:pStyle w:val="14"/>
            </w:pPr>
            <w:r>
              <w:t>一、一般公共服务支出</w:t>
            </w:r>
          </w:p>
        </w:tc>
        <w:tc>
          <w:tcPr>
            <w:tcW w:w="1474" w:type="dxa"/>
            <w:vAlign w:val="center"/>
          </w:tcPr>
          <w:p>
            <w:pPr>
              <w:pStyle w:val="13"/>
            </w:pPr>
            <w:r>
              <w:t>964.15</w:t>
            </w:r>
          </w:p>
        </w:tc>
        <w:tc>
          <w:tcPr>
            <w:tcW w:w="1474" w:type="dxa"/>
            <w:vAlign w:val="center"/>
          </w:tcPr>
          <w:p>
            <w:pPr>
              <w:pStyle w:val="13"/>
            </w:pPr>
            <w:r>
              <w:t>964.15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103.13</w:t>
            </w:r>
          </w:p>
        </w:tc>
        <w:tc>
          <w:tcPr>
            <w:tcW w:w="1474" w:type="dxa"/>
            <w:vAlign w:val="center"/>
          </w:tcPr>
          <w:p>
            <w:pPr>
              <w:pStyle w:val="13"/>
            </w:pPr>
            <w:r>
              <w:t>103.13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88.07</w:t>
            </w:r>
          </w:p>
        </w:tc>
        <w:tc>
          <w:tcPr>
            <w:tcW w:w="1474" w:type="dxa"/>
            <w:vAlign w:val="center"/>
          </w:tcPr>
          <w:p>
            <w:pPr>
              <w:pStyle w:val="13"/>
            </w:pPr>
            <w:r>
              <w:t>88.07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100.70</w:t>
            </w:r>
          </w:p>
        </w:tc>
        <w:tc>
          <w:tcPr>
            <w:tcW w:w="1474" w:type="dxa"/>
            <w:vAlign w:val="center"/>
          </w:tcPr>
          <w:p>
            <w:pPr>
              <w:pStyle w:val="13"/>
            </w:pPr>
            <w:r>
              <w:t>100.70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66.94</w:t>
            </w:r>
          </w:p>
        </w:tc>
        <w:tc>
          <w:tcPr>
            <w:tcW w:w="1474" w:type="dxa"/>
            <w:vAlign w:val="center"/>
          </w:tcPr>
          <w:p>
            <w:pPr>
              <w:pStyle w:val="13"/>
            </w:pPr>
            <w:r>
              <w:t>66.94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1322.99</w:t>
            </w:r>
          </w:p>
        </w:tc>
        <w:tc>
          <w:tcPr>
            <w:tcW w:w="3402" w:type="dxa"/>
            <w:vAlign w:val="center"/>
          </w:tcPr>
          <w:p>
            <w:pPr>
              <w:pStyle w:val="16"/>
            </w:pPr>
            <w:r>
              <w:t>本年支出合计</w:t>
            </w:r>
          </w:p>
        </w:tc>
        <w:tc>
          <w:tcPr>
            <w:tcW w:w="1474" w:type="dxa"/>
            <w:vAlign w:val="center"/>
          </w:tcPr>
          <w:p>
            <w:pPr>
              <w:pStyle w:val="17"/>
            </w:pPr>
            <w:r>
              <w:t>1322.99</w:t>
            </w:r>
          </w:p>
        </w:tc>
        <w:tc>
          <w:tcPr>
            <w:tcW w:w="1474" w:type="dxa"/>
            <w:vAlign w:val="center"/>
          </w:tcPr>
          <w:p>
            <w:pPr>
              <w:pStyle w:val="17"/>
            </w:pPr>
            <w:r>
              <w:t>1322.99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1322.99</w:t>
            </w:r>
          </w:p>
        </w:tc>
        <w:tc>
          <w:tcPr>
            <w:tcW w:w="3402" w:type="dxa"/>
            <w:vAlign w:val="center"/>
          </w:tcPr>
          <w:p>
            <w:pPr>
              <w:pStyle w:val="16"/>
            </w:pPr>
            <w:r>
              <w:t>支出总计</w:t>
            </w:r>
          </w:p>
        </w:tc>
        <w:tc>
          <w:tcPr>
            <w:tcW w:w="1474" w:type="dxa"/>
            <w:vAlign w:val="center"/>
          </w:tcPr>
          <w:p>
            <w:pPr>
              <w:pStyle w:val="17"/>
            </w:pPr>
            <w:r>
              <w:t>1322.99</w:t>
            </w:r>
          </w:p>
        </w:tc>
        <w:tc>
          <w:tcPr>
            <w:tcW w:w="1474" w:type="dxa"/>
            <w:vAlign w:val="center"/>
          </w:tcPr>
          <w:p>
            <w:pPr>
              <w:pStyle w:val="17"/>
            </w:pPr>
            <w:r>
              <w:t>1322.99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489丰润区刘家营乡人民政府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1322.99</w:t>
            </w:r>
          </w:p>
        </w:tc>
        <w:tc>
          <w:tcPr>
            <w:tcW w:w="2551" w:type="dxa"/>
            <w:vAlign w:val="center"/>
          </w:tcPr>
          <w:p>
            <w:pPr>
              <w:pStyle w:val="17"/>
            </w:pPr>
            <w:r>
              <w:t>1075.27</w:t>
            </w:r>
          </w:p>
        </w:tc>
        <w:tc>
          <w:tcPr>
            <w:tcW w:w="2551" w:type="dxa"/>
            <w:vAlign w:val="center"/>
          </w:tcPr>
          <w:p>
            <w:pPr>
              <w:pStyle w:val="17"/>
            </w:pPr>
            <w:r>
              <w:t>247.72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964.15</w:t>
            </w:r>
          </w:p>
        </w:tc>
        <w:tc>
          <w:tcPr>
            <w:tcW w:w="2551" w:type="dxa"/>
            <w:vAlign w:val="center"/>
          </w:tcPr>
          <w:p>
            <w:pPr>
              <w:pStyle w:val="13"/>
            </w:pPr>
            <w:r>
              <w:t>817.13</w:t>
            </w:r>
          </w:p>
        </w:tc>
        <w:tc>
          <w:tcPr>
            <w:tcW w:w="2551" w:type="dxa"/>
            <w:vAlign w:val="center"/>
          </w:tcPr>
          <w:p>
            <w:pPr>
              <w:pStyle w:val="13"/>
            </w:pPr>
            <w:r>
              <w:t>147.02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964.15</w:t>
            </w:r>
          </w:p>
        </w:tc>
        <w:tc>
          <w:tcPr>
            <w:tcW w:w="2551" w:type="dxa"/>
            <w:vAlign w:val="center"/>
          </w:tcPr>
          <w:p>
            <w:pPr>
              <w:pStyle w:val="13"/>
            </w:pPr>
            <w:r>
              <w:t>817.13</w:t>
            </w:r>
          </w:p>
        </w:tc>
        <w:tc>
          <w:tcPr>
            <w:tcW w:w="2551" w:type="dxa"/>
            <w:vAlign w:val="center"/>
          </w:tcPr>
          <w:p>
            <w:pPr>
              <w:pStyle w:val="13"/>
            </w:pPr>
            <w:r>
              <w:t>147.02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817.13</w:t>
            </w:r>
          </w:p>
        </w:tc>
        <w:tc>
          <w:tcPr>
            <w:tcW w:w="2551" w:type="dxa"/>
            <w:vAlign w:val="center"/>
          </w:tcPr>
          <w:p>
            <w:pPr>
              <w:pStyle w:val="13"/>
            </w:pPr>
            <w:r>
              <w:t>817.13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147.02</w:t>
            </w:r>
          </w:p>
        </w:tc>
        <w:tc>
          <w:tcPr>
            <w:tcW w:w="2551" w:type="dxa"/>
            <w:vAlign w:val="center"/>
          </w:tcPr>
          <w:p>
            <w:pPr>
              <w:pStyle w:val="13"/>
            </w:pPr>
          </w:p>
        </w:tc>
        <w:tc>
          <w:tcPr>
            <w:tcW w:w="2551" w:type="dxa"/>
            <w:vAlign w:val="center"/>
          </w:tcPr>
          <w:p>
            <w:pPr>
              <w:pStyle w:val="13"/>
            </w:pPr>
            <w:r>
              <w:t>147.02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103.13</w:t>
            </w:r>
          </w:p>
        </w:tc>
        <w:tc>
          <w:tcPr>
            <w:tcW w:w="2551" w:type="dxa"/>
            <w:vAlign w:val="center"/>
          </w:tcPr>
          <w:p>
            <w:pPr>
              <w:pStyle w:val="13"/>
            </w:pPr>
            <w:r>
              <w:t>103.13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103.13</w:t>
            </w:r>
          </w:p>
        </w:tc>
        <w:tc>
          <w:tcPr>
            <w:tcW w:w="2551" w:type="dxa"/>
            <w:vAlign w:val="center"/>
          </w:tcPr>
          <w:p>
            <w:pPr>
              <w:pStyle w:val="13"/>
            </w:pPr>
            <w:r>
              <w:t>103.13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103.13</w:t>
            </w:r>
          </w:p>
        </w:tc>
        <w:tc>
          <w:tcPr>
            <w:tcW w:w="2551" w:type="dxa"/>
            <w:vAlign w:val="center"/>
          </w:tcPr>
          <w:p>
            <w:pPr>
              <w:pStyle w:val="13"/>
            </w:pPr>
            <w:r>
              <w:t>103.13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88.07</w:t>
            </w:r>
          </w:p>
        </w:tc>
        <w:tc>
          <w:tcPr>
            <w:tcW w:w="2551" w:type="dxa"/>
            <w:vAlign w:val="center"/>
          </w:tcPr>
          <w:p>
            <w:pPr>
              <w:pStyle w:val="13"/>
            </w:pPr>
            <w:r>
              <w:t>88.07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88.07</w:t>
            </w:r>
          </w:p>
        </w:tc>
        <w:tc>
          <w:tcPr>
            <w:tcW w:w="2551" w:type="dxa"/>
            <w:vAlign w:val="center"/>
          </w:tcPr>
          <w:p>
            <w:pPr>
              <w:pStyle w:val="13"/>
            </w:pPr>
            <w:r>
              <w:t>88.07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88.07</w:t>
            </w:r>
          </w:p>
        </w:tc>
        <w:tc>
          <w:tcPr>
            <w:tcW w:w="2551" w:type="dxa"/>
            <w:vAlign w:val="center"/>
          </w:tcPr>
          <w:p>
            <w:pPr>
              <w:pStyle w:val="13"/>
            </w:pPr>
            <w:r>
              <w:t>88.07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100.70</w:t>
            </w:r>
          </w:p>
        </w:tc>
        <w:tc>
          <w:tcPr>
            <w:tcW w:w="2551" w:type="dxa"/>
            <w:vAlign w:val="center"/>
          </w:tcPr>
          <w:p>
            <w:pPr>
              <w:pStyle w:val="13"/>
            </w:pPr>
          </w:p>
        </w:tc>
        <w:tc>
          <w:tcPr>
            <w:tcW w:w="2551" w:type="dxa"/>
            <w:vAlign w:val="center"/>
          </w:tcPr>
          <w:p>
            <w:pPr>
              <w:pStyle w:val="13"/>
            </w:pPr>
            <w:r>
              <w:t>100.70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100.70</w:t>
            </w:r>
          </w:p>
        </w:tc>
        <w:tc>
          <w:tcPr>
            <w:tcW w:w="2551" w:type="dxa"/>
            <w:vAlign w:val="center"/>
          </w:tcPr>
          <w:p>
            <w:pPr>
              <w:pStyle w:val="13"/>
            </w:pPr>
          </w:p>
        </w:tc>
        <w:tc>
          <w:tcPr>
            <w:tcW w:w="2551" w:type="dxa"/>
            <w:vAlign w:val="center"/>
          </w:tcPr>
          <w:p>
            <w:pPr>
              <w:pStyle w:val="13"/>
            </w:pPr>
            <w:r>
              <w:t>100.70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2130701</w:t>
            </w:r>
          </w:p>
        </w:tc>
        <w:tc>
          <w:tcPr>
            <w:tcW w:w="4535" w:type="dxa"/>
            <w:vAlign w:val="center"/>
          </w:tcPr>
          <w:p>
            <w:pPr>
              <w:pStyle w:val="14"/>
            </w:pPr>
            <w:r>
              <w:t>对村级公益事业建设的补助</w:t>
            </w:r>
          </w:p>
        </w:tc>
        <w:tc>
          <w:tcPr>
            <w:tcW w:w="2551" w:type="dxa"/>
            <w:vAlign w:val="center"/>
          </w:tcPr>
          <w:p>
            <w:pPr>
              <w:pStyle w:val="13"/>
            </w:pPr>
            <w:r>
              <w:t>80.00</w:t>
            </w:r>
          </w:p>
        </w:tc>
        <w:tc>
          <w:tcPr>
            <w:tcW w:w="2551" w:type="dxa"/>
            <w:vAlign w:val="center"/>
          </w:tcPr>
          <w:p>
            <w:pPr>
              <w:pStyle w:val="13"/>
            </w:pPr>
          </w:p>
        </w:tc>
        <w:tc>
          <w:tcPr>
            <w:tcW w:w="2551"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20.70</w:t>
            </w:r>
          </w:p>
        </w:tc>
        <w:tc>
          <w:tcPr>
            <w:tcW w:w="2551" w:type="dxa"/>
            <w:vAlign w:val="center"/>
          </w:tcPr>
          <w:p>
            <w:pPr>
              <w:pStyle w:val="13"/>
            </w:pPr>
          </w:p>
        </w:tc>
        <w:tc>
          <w:tcPr>
            <w:tcW w:w="2551" w:type="dxa"/>
            <w:vAlign w:val="center"/>
          </w:tcPr>
          <w:p>
            <w:pPr>
              <w:pStyle w:val="13"/>
            </w:pPr>
            <w:r>
              <w:t>20.70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66.94</w:t>
            </w:r>
          </w:p>
        </w:tc>
        <w:tc>
          <w:tcPr>
            <w:tcW w:w="2551" w:type="dxa"/>
            <w:vAlign w:val="center"/>
          </w:tcPr>
          <w:p>
            <w:pPr>
              <w:pStyle w:val="13"/>
            </w:pPr>
            <w:r>
              <w:t>66.94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66.94</w:t>
            </w:r>
          </w:p>
        </w:tc>
        <w:tc>
          <w:tcPr>
            <w:tcW w:w="2551" w:type="dxa"/>
            <w:vAlign w:val="center"/>
          </w:tcPr>
          <w:p>
            <w:pPr>
              <w:pStyle w:val="13"/>
            </w:pPr>
            <w:r>
              <w:t>66.94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66.94</w:t>
            </w:r>
          </w:p>
        </w:tc>
        <w:tc>
          <w:tcPr>
            <w:tcW w:w="2551" w:type="dxa"/>
            <w:vAlign w:val="center"/>
          </w:tcPr>
          <w:p>
            <w:pPr>
              <w:pStyle w:val="13"/>
            </w:pPr>
            <w:r>
              <w:t>66.94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489丰润区刘家营乡人民政府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1075.27</w:t>
            </w:r>
          </w:p>
        </w:tc>
        <w:tc>
          <w:tcPr>
            <w:tcW w:w="2551" w:type="dxa"/>
            <w:vAlign w:val="center"/>
          </w:tcPr>
          <w:p>
            <w:pPr>
              <w:pStyle w:val="17"/>
            </w:pPr>
            <w:r>
              <w:t>980.63</w:t>
            </w:r>
          </w:p>
        </w:tc>
        <w:tc>
          <w:tcPr>
            <w:tcW w:w="2551" w:type="dxa"/>
            <w:vAlign w:val="center"/>
          </w:tcPr>
          <w:p>
            <w:pPr>
              <w:pStyle w:val="17"/>
            </w:pPr>
            <w:r>
              <w:t>94.64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933.98</w:t>
            </w:r>
          </w:p>
        </w:tc>
        <w:tc>
          <w:tcPr>
            <w:tcW w:w="2551" w:type="dxa"/>
            <w:vAlign w:val="center"/>
          </w:tcPr>
          <w:p>
            <w:pPr>
              <w:pStyle w:val="13"/>
            </w:pPr>
            <w:r>
              <w:t>933.98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251.35</w:t>
            </w:r>
          </w:p>
        </w:tc>
        <w:tc>
          <w:tcPr>
            <w:tcW w:w="2551" w:type="dxa"/>
            <w:vAlign w:val="center"/>
          </w:tcPr>
          <w:p>
            <w:pPr>
              <w:pStyle w:val="13"/>
            </w:pPr>
            <w:r>
              <w:t>251.35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217.60</w:t>
            </w:r>
          </w:p>
        </w:tc>
        <w:tc>
          <w:tcPr>
            <w:tcW w:w="2551" w:type="dxa"/>
            <w:vAlign w:val="center"/>
          </w:tcPr>
          <w:p>
            <w:pPr>
              <w:pStyle w:val="13"/>
            </w:pPr>
            <w:r>
              <w:t>217.60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72.99</w:t>
            </w:r>
          </w:p>
        </w:tc>
        <w:tc>
          <w:tcPr>
            <w:tcW w:w="2551" w:type="dxa"/>
            <w:vAlign w:val="center"/>
          </w:tcPr>
          <w:p>
            <w:pPr>
              <w:pStyle w:val="13"/>
            </w:pPr>
            <w:r>
              <w:t>72.99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118.02</w:t>
            </w:r>
          </w:p>
        </w:tc>
        <w:tc>
          <w:tcPr>
            <w:tcW w:w="2551" w:type="dxa"/>
            <w:vAlign w:val="center"/>
          </w:tcPr>
          <w:p>
            <w:pPr>
              <w:pStyle w:val="13"/>
            </w:pPr>
            <w:r>
              <w:t>118.02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103.13</w:t>
            </w:r>
          </w:p>
        </w:tc>
        <w:tc>
          <w:tcPr>
            <w:tcW w:w="2551" w:type="dxa"/>
            <w:vAlign w:val="center"/>
          </w:tcPr>
          <w:p>
            <w:pPr>
              <w:pStyle w:val="13"/>
            </w:pPr>
            <w:r>
              <w:t>103.13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36.19</w:t>
            </w:r>
          </w:p>
        </w:tc>
        <w:tc>
          <w:tcPr>
            <w:tcW w:w="2551" w:type="dxa"/>
            <w:vAlign w:val="center"/>
          </w:tcPr>
          <w:p>
            <w:pPr>
              <w:pStyle w:val="13"/>
            </w:pPr>
            <w:r>
              <w:t>36.19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51.88</w:t>
            </w:r>
          </w:p>
        </w:tc>
        <w:tc>
          <w:tcPr>
            <w:tcW w:w="2551" w:type="dxa"/>
            <w:vAlign w:val="center"/>
          </w:tcPr>
          <w:p>
            <w:pPr>
              <w:pStyle w:val="13"/>
            </w:pPr>
            <w:r>
              <w:t>51.88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3.81</w:t>
            </w:r>
          </w:p>
        </w:tc>
        <w:tc>
          <w:tcPr>
            <w:tcW w:w="2551" w:type="dxa"/>
            <w:vAlign w:val="center"/>
          </w:tcPr>
          <w:p>
            <w:pPr>
              <w:pStyle w:val="13"/>
            </w:pPr>
            <w:r>
              <w:t>3.81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66.94</w:t>
            </w:r>
          </w:p>
        </w:tc>
        <w:tc>
          <w:tcPr>
            <w:tcW w:w="2551" w:type="dxa"/>
            <w:vAlign w:val="center"/>
          </w:tcPr>
          <w:p>
            <w:pPr>
              <w:pStyle w:val="13"/>
            </w:pPr>
            <w:r>
              <w:t>66.94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12.07</w:t>
            </w:r>
          </w:p>
        </w:tc>
        <w:tc>
          <w:tcPr>
            <w:tcW w:w="2551" w:type="dxa"/>
            <w:vAlign w:val="center"/>
          </w:tcPr>
          <w:p>
            <w:pPr>
              <w:pStyle w:val="13"/>
            </w:pPr>
            <w:r>
              <w:t>12.07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94.64</w:t>
            </w:r>
          </w:p>
        </w:tc>
        <w:tc>
          <w:tcPr>
            <w:tcW w:w="2551" w:type="dxa"/>
            <w:vAlign w:val="center"/>
          </w:tcPr>
          <w:p>
            <w:pPr>
              <w:pStyle w:val="13"/>
            </w:pPr>
          </w:p>
        </w:tc>
        <w:tc>
          <w:tcPr>
            <w:tcW w:w="2551" w:type="dxa"/>
            <w:vAlign w:val="center"/>
          </w:tcPr>
          <w:p>
            <w:pPr>
              <w:pStyle w:val="13"/>
            </w:pPr>
            <w:r>
              <w:t>94.64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2.75</w:t>
            </w:r>
          </w:p>
        </w:tc>
        <w:tc>
          <w:tcPr>
            <w:tcW w:w="2551" w:type="dxa"/>
            <w:vAlign w:val="center"/>
          </w:tcPr>
          <w:p>
            <w:pPr>
              <w:pStyle w:val="13"/>
            </w:pPr>
          </w:p>
        </w:tc>
        <w:tc>
          <w:tcPr>
            <w:tcW w:w="2551" w:type="dxa"/>
            <w:vAlign w:val="center"/>
          </w:tcPr>
          <w:p>
            <w:pPr>
              <w:pStyle w:val="13"/>
            </w:pPr>
            <w:r>
              <w:t>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17.11</w:t>
            </w:r>
          </w:p>
        </w:tc>
        <w:tc>
          <w:tcPr>
            <w:tcW w:w="2551" w:type="dxa"/>
            <w:vAlign w:val="center"/>
          </w:tcPr>
          <w:p>
            <w:pPr>
              <w:pStyle w:val="13"/>
            </w:pPr>
          </w:p>
        </w:tc>
        <w:tc>
          <w:tcPr>
            <w:tcW w:w="2551" w:type="dxa"/>
            <w:vAlign w:val="center"/>
          </w:tcPr>
          <w:p>
            <w:pPr>
              <w:pStyle w:val="13"/>
            </w:pPr>
            <w:r>
              <w:t>17.11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15.45</w:t>
            </w:r>
          </w:p>
        </w:tc>
        <w:tc>
          <w:tcPr>
            <w:tcW w:w="2551" w:type="dxa"/>
            <w:vAlign w:val="center"/>
          </w:tcPr>
          <w:p>
            <w:pPr>
              <w:pStyle w:val="13"/>
            </w:pPr>
          </w:p>
        </w:tc>
        <w:tc>
          <w:tcPr>
            <w:tcW w:w="2551" w:type="dxa"/>
            <w:vAlign w:val="center"/>
          </w:tcPr>
          <w:p>
            <w:pPr>
              <w:pStyle w:val="13"/>
            </w:pPr>
            <w:r>
              <w:t>15.45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1.77</w:t>
            </w:r>
          </w:p>
        </w:tc>
        <w:tc>
          <w:tcPr>
            <w:tcW w:w="2551" w:type="dxa"/>
            <w:vAlign w:val="center"/>
          </w:tcPr>
          <w:p>
            <w:pPr>
              <w:pStyle w:val="13"/>
            </w:pPr>
          </w:p>
        </w:tc>
        <w:tc>
          <w:tcPr>
            <w:tcW w:w="2551" w:type="dxa"/>
            <w:vAlign w:val="center"/>
          </w:tcPr>
          <w:p>
            <w:pPr>
              <w:pStyle w:val="13"/>
            </w:pPr>
            <w:r>
              <w:t>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1.86</w:t>
            </w:r>
          </w:p>
        </w:tc>
        <w:tc>
          <w:tcPr>
            <w:tcW w:w="2551" w:type="dxa"/>
            <w:vAlign w:val="center"/>
          </w:tcPr>
          <w:p>
            <w:pPr>
              <w:pStyle w:val="13"/>
            </w:pPr>
          </w:p>
        </w:tc>
        <w:tc>
          <w:tcPr>
            <w:tcW w:w="2551" w:type="dxa"/>
            <w:vAlign w:val="center"/>
          </w:tcPr>
          <w:p>
            <w:pPr>
              <w:pStyle w:val="13"/>
            </w:pPr>
            <w:r>
              <w:t>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35.70</w:t>
            </w:r>
          </w:p>
        </w:tc>
        <w:tc>
          <w:tcPr>
            <w:tcW w:w="2551" w:type="dxa"/>
            <w:vAlign w:val="center"/>
          </w:tcPr>
          <w:p>
            <w:pPr>
              <w:pStyle w:val="13"/>
            </w:pPr>
          </w:p>
        </w:tc>
        <w:tc>
          <w:tcPr>
            <w:tcW w:w="2551" w:type="dxa"/>
            <w:vAlign w:val="center"/>
          </w:tcPr>
          <w:p>
            <w:pPr>
              <w:pStyle w:val="13"/>
            </w:pPr>
            <w:r>
              <w:t>35.70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46.65</w:t>
            </w:r>
          </w:p>
        </w:tc>
        <w:tc>
          <w:tcPr>
            <w:tcW w:w="2551" w:type="dxa"/>
            <w:vAlign w:val="center"/>
          </w:tcPr>
          <w:p>
            <w:pPr>
              <w:pStyle w:val="13"/>
            </w:pPr>
            <w:r>
              <w:t>46.65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45.42</w:t>
            </w:r>
          </w:p>
        </w:tc>
        <w:tc>
          <w:tcPr>
            <w:tcW w:w="2551" w:type="dxa"/>
            <w:vAlign w:val="center"/>
          </w:tcPr>
          <w:p>
            <w:pPr>
              <w:pStyle w:val="13"/>
            </w:pPr>
            <w:r>
              <w:t>45.42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30306</w:t>
            </w:r>
          </w:p>
        </w:tc>
        <w:tc>
          <w:tcPr>
            <w:tcW w:w="4535" w:type="dxa"/>
            <w:vAlign w:val="center"/>
          </w:tcPr>
          <w:p>
            <w:pPr>
              <w:pStyle w:val="14"/>
            </w:pPr>
            <w:r>
              <w:t>救济费</w:t>
            </w:r>
          </w:p>
        </w:tc>
        <w:tc>
          <w:tcPr>
            <w:tcW w:w="2551" w:type="dxa"/>
            <w:vAlign w:val="center"/>
          </w:tcPr>
          <w:p>
            <w:pPr>
              <w:pStyle w:val="13"/>
            </w:pPr>
            <w:r>
              <w:t>0.23</w:t>
            </w:r>
          </w:p>
        </w:tc>
        <w:tc>
          <w:tcPr>
            <w:tcW w:w="2551" w:type="dxa"/>
            <w:vAlign w:val="center"/>
          </w:tcPr>
          <w:p>
            <w:pPr>
              <w:pStyle w:val="13"/>
            </w:pPr>
            <w:r>
              <w:t>0.23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1.00</w:t>
            </w:r>
          </w:p>
        </w:tc>
        <w:tc>
          <w:tcPr>
            <w:tcW w:w="2551" w:type="dxa"/>
            <w:vAlign w:val="center"/>
          </w:tcPr>
          <w:p>
            <w:pPr>
              <w:pStyle w:val="13"/>
            </w:pPr>
            <w:r>
              <w:t>1.00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489丰润区刘家营乡人民政府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489丰润区刘家营乡人民政府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489丰润区刘家营乡人民政府</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4.00</w:t>
            </w:r>
          </w:p>
        </w:tc>
        <w:tc>
          <w:tcPr>
            <w:tcW w:w="2381" w:type="dxa"/>
            <w:vAlign w:val="center"/>
          </w:tcPr>
          <w:p>
            <w:pPr>
              <w:pStyle w:val="17"/>
            </w:pPr>
            <w:r>
              <w:t>4.00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丰润区刘家营乡人民政府2023年部门预算信息公开情况说明</w:t>
      </w:r>
    </w:p>
    <w:p>
      <w:pPr>
        <w:jc w:val="center"/>
        <w:rPr>
          <w:rFonts w:hint="eastAsia" w:ascii="方正小标宋_GBK" w:hAnsi="方正小标宋_GBK" w:eastAsia="方正小标宋_GBK" w:cs="方正小标宋_GBK"/>
          <w:color w:val="000000"/>
          <w:sz w:val="44"/>
          <w:lang w:val="en-US" w:eastAsia="zh-CN"/>
        </w:rPr>
      </w:pPr>
      <w:r>
        <w:rPr>
          <w:rFonts w:ascii="方正小标宋_GBK" w:hAnsi="方正小标宋_GBK" w:eastAsia="方正小标宋_GBK" w:cs="方正小标宋_GBK"/>
          <w:color w:val="000000"/>
          <w:sz w:val="44"/>
        </w:rPr>
        <w:t>唐山市</w:t>
      </w:r>
      <w:r>
        <w:rPr>
          <w:rFonts w:hint="eastAsia" w:ascii="方正小标宋_GBK" w:hAnsi="方正小标宋_GBK" w:eastAsia="方正小标宋_GBK" w:cs="方正小标宋_GBK"/>
          <w:color w:val="000000"/>
          <w:sz w:val="44"/>
          <w:lang w:val="en-US" w:eastAsia="zh-CN"/>
        </w:rPr>
        <w:t>丰润</w:t>
      </w:r>
      <w:r>
        <w:rPr>
          <w:rFonts w:ascii="方正小标宋_GBK" w:hAnsi="方正小标宋_GBK" w:eastAsia="方正小标宋_GBK" w:cs="方正小标宋_GBK"/>
          <w:color w:val="000000"/>
          <w:sz w:val="44"/>
        </w:rPr>
        <w:t>区</w:t>
      </w:r>
      <w:r>
        <w:rPr>
          <w:rFonts w:hint="eastAsia" w:ascii="方正小标宋_GBK" w:hAnsi="方正小标宋_GBK" w:eastAsia="方正小标宋_GBK" w:cs="方正小标宋_GBK"/>
          <w:color w:val="000000"/>
          <w:sz w:val="44"/>
          <w:lang w:val="en-US" w:eastAsia="zh-CN"/>
        </w:rPr>
        <w:t>刘家营乡人民政府</w:t>
      </w:r>
    </w:p>
    <w:p>
      <w:pPr>
        <w:jc w:val="center"/>
      </w:pPr>
      <w:r>
        <w:rPr>
          <w:rFonts w:ascii="方正小标宋_GBK" w:hAnsi="方正小标宋_GBK" w:eastAsia="方正小标宋_GBK" w:cs="方正小标宋_GBK"/>
          <w:color w:val="000000"/>
          <w:sz w:val="44"/>
        </w:rPr>
        <w:t>2023年部门预算信息公开情况说明</w:t>
      </w:r>
    </w:p>
    <w:p>
      <w:pPr>
        <w:spacing w:line="500" w:lineRule="exact"/>
        <w:ind w:firstLine="560"/>
        <w:rPr>
          <w:rFonts w:eastAsia="方正仿宋_GBK" w:cs="Times New Roman"/>
          <w:color w:val="000000"/>
          <w:sz w:val="28"/>
        </w:rPr>
      </w:pP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预算法》、《地方预决算公开操作规程》和《关于进一步推进预算公开工作的实施意见》规定，现将唐山市</w:t>
      </w:r>
      <w:r>
        <w:rPr>
          <w:rFonts w:hint="eastAsia" w:eastAsia="方正仿宋_GBK" w:cs="Times New Roman"/>
          <w:color w:val="000000"/>
          <w:sz w:val="28"/>
          <w:lang w:val="en-US" w:eastAsia="zh-CN"/>
        </w:rPr>
        <w:t>丰润</w:t>
      </w:r>
      <w:r>
        <w:rPr>
          <w:rFonts w:eastAsia="方正仿宋_GBK" w:cs="Times New Roman"/>
          <w:color w:val="000000"/>
          <w:sz w:val="28"/>
        </w:rPr>
        <w:t>区</w:t>
      </w:r>
      <w:r>
        <w:rPr>
          <w:rFonts w:hint="eastAsia" w:eastAsia="方正仿宋_GBK" w:cs="Times New Roman"/>
          <w:color w:val="000000"/>
          <w:sz w:val="28"/>
          <w:lang w:eastAsia="zh-CN"/>
        </w:rPr>
        <w:t>刘家营乡人民政府</w:t>
      </w:r>
      <w:r>
        <w:rPr>
          <w:rFonts w:eastAsia="方正仿宋_GBK" w:cs="Times New Roman"/>
          <w:color w:val="000000"/>
          <w:sz w:val="28"/>
        </w:rPr>
        <w:t>2023年部门预算公开如下：</w:t>
      </w:r>
    </w:p>
    <w:p>
      <w:pPr>
        <w:spacing w:before="10" w:after="10" w:line="360" w:lineRule="auto"/>
        <w:ind w:firstLine="640"/>
        <w:outlineLvl w:val="2"/>
      </w:pPr>
      <w:r>
        <w:rPr>
          <w:rFonts w:ascii="黑体" w:hAnsi="黑体" w:eastAsia="黑体" w:cs="黑体"/>
          <w:color w:val="000000"/>
          <w:sz w:val="32"/>
        </w:rPr>
        <w:t>一、部门职责及机构设置情况</w:t>
      </w:r>
    </w:p>
    <w:p>
      <w:pPr>
        <w:ind w:firstLine="640"/>
      </w:pPr>
      <w:r>
        <w:rPr>
          <w:rFonts w:ascii="方正楷体_GBK" w:hAnsi="方正楷体_GBK" w:eastAsia="方正楷体_GBK" w:cs="方正楷体_GBK"/>
          <w:b/>
          <w:color w:val="000000"/>
          <w:sz w:val="32"/>
        </w:rPr>
        <w:t>部门职责：</w:t>
      </w:r>
    </w:p>
    <w:p>
      <w:pPr>
        <w:pStyle w:val="19"/>
      </w:pPr>
      <w:r>
        <w:t>根据《丰润区刘家营乡人民政府职能配置、内设机构和人员编制规定》， 丰润区刘家营乡人民政府的主要职责是：</w:t>
      </w:r>
    </w:p>
    <w:p>
      <w:pPr>
        <w:pStyle w:val="19"/>
      </w:pPr>
      <w:r>
        <w:t>（一）、制定和组织实施经济、科技和社会发展计划，制定资源开发技术改造和产业结构调整方案，组织指导好各业生产， 搞好商品流通，协调好本乡与外地区的经济交流与合作，抓好招商引资，人才引进项目开发，不断培育市场体系，组织经济 运行，促进经济发展。</w:t>
      </w:r>
    </w:p>
    <w:p>
      <w:pPr>
        <w:pStyle w:val="19"/>
      </w:pPr>
      <w:r>
        <w:t>（二）、制定并组织实施村镇建设规划，部署重点工程建设，地方道路建设及公共设施，水利设施的管理，负责土地、林木、 水等自然资源和生态环境的保护，做好护林防火工作。</w:t>
      </w:r>
    </w:p>
    <w:p>
      <w:pPr>
        <w:pStyle w:val="19"/>
      </w:pPr>
      <w:r>
        <w:t>（三）、负责本行政区域内的民政、计划生育、文化教育、卫生、体育等社会公益事业的综合性工作，维护一切经济单位和 个人的正当经济权益，取缔非法经济活动，调解和处理民事纠纷，打击刑事犯罪维护社会稳定。</w:t>
      </w:r>
    </w:p>
    <w:p>
      <w:pPr>
        <w:pStyle w:val="19"/>
      </w:pPr>
      <w:r>
        <w:t>（四）、按计划组织本级财政收入和地方税的征收，完成国家财政计划，不断培植税源，管好财政资金，增强财政实力。</w:t>
      </w:r>
    </w:p>
    <w:p>
      <w:pPr>
        <w:pStyle w:val="19"/>
      </w:pPr>
      <w:r>
        <w:t>（五）、抓好精神文明建设，丰富群众文化生活，提倡移风易俗，反对封建迷信，破除陈规陋习，树立社会主义新风尚。</w:t>
      </w:r>
    </w:p>
    <w:p>
      <w:pPr>
        <w:pStyle w:val="19"/>
      </w:pPr>
      <w:r>
        <w:t>（六）、完成上级政府交办的其它事项。</w:t>
      </w:r>
    </w:p>
    <w:p>
      <w:pPr>
        <w:pStyle w:val="1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20"/>
        <w:gridCol w:w="2054"/>
        <w:gridCol w:w="2369"/>
        <w:gridCol w:w="4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105" w:type="pct"/>
            <w:vAlign w:val="center"/>
          </w:tcPr>
          <w:p>
            <w:pPr>
              <w:pStyle w:val="12"/>
            </w:pPr>
            <w:r>
              <w:t>单位名称</w:t>
            </w:r>
          </w:p>
        </w:tc>
        <w:tc>
          <w:tcPr>
            <w:tcW w:w="684" w:type="pct"/>
            <w:vAlign w:val="center"/>
          </w:tcPr>
          <w:p>
            <w:pPr>
              <w:pStyle w:val="12"/>
            </w:pPr>
            <w:r>
              <w:t>单位性质</w:t>
            </w:r>
          </w:p>
        </w:tc>
        <w:tc>
          <w:tcPr>
            <w:tcW w:w="789" w:type="pct"/>
            <w:vAlign w:val="center"/>
          </w:tcPr>
          <w:p>
            <w:pPr>
              <w:pStyle w:val="12"/>
            </w:pPr>
            <w:r>
              <w:t>单位规格</w:t>
            </w:r>
          </w:p>
        </w:tc>
        <w:tc>
          <w:tcPr>
            <w:tcW w:w="1421" w:type="pct"/>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pct"/>
            <w:vAlign w:val="center"/>
          </w:tcPr>
          <w:p>
            <w:pPr>
              <w:pStyle w:val="14"/>
            </w:pPr>
            <w:r>
              <w:t>唐山市</w:t>
            </w:r>
            <w:r>
              <w:rPr>
                <w:rFonts w:hint="eastAsia"/>
                <w:lang w:val="en-US" w:eastAsia="zh-CN"/>
              </w:rPr>
              <w:t>丰润</w:t>
            </w:r>
            <w:r>
              <w:t>区</w:t>
            </w:r>
            <w:r>
              <w:rPr>
                <w:rFonts w:hint="eastAsia"/>
                <w:lang w:eastAsia="zh-CN"/>
              </w:rPr>
              <w:t>刘家营乡人民政府</w:t>
            </w:r>
            <w:r>
              <w:t>本级</w:t>
            </w:r>
          </w:p>
        </w:tc>
        <w:tc>
          <w:tcPr>
            <w:tcW w:w="684" w:type="pct"/>
            <w:vAlign w:val="center"/>
          </w:tcPr>
          <w:p>
            <w:pPr>
              <w:pStyle w:val="15"/>
            </w:pPr>
            <w:r>
              <w:t>行政</w:t>
            </w:r>
          </w:p>
        </w:tc>
        <w:tc>
          <w:tcPr>
            <w:tcW w:w="789" w:type="pct"/>
            <w:vAlign w:val="center"/>
          </w:tcPr>
          <w:p>
            <w:pPr>
              <w:pStyle w:val="15"/>
            </w:pPr>
            <w:r>
              <w:t>正科级</w:t>
            </w:r>
          </w:p>
        </w:tc>
        <w:tc>
          <w:tcPr>
            <w:tcW w:w="1421" w:type="pct"/>
            <w:vAlign w:val="center"/>
          </w:tcPr>
          <w:p>
            <w:pPr>
              <w:pStyle w:val="15"/>
            </w:pPr>
            <w:r>
              <w:t>财政拨款</w:t>
            </w:r>
          </w:p>
        </w:tc>
      </w:tr>
    </w:tbl>
    <w:p>
      <w:pPr>
        <w:spacing w:before="10" w:after="10" w:line="360" w:lineRule="auto"/>
        <w:ind w:firstLine="640"/>
        <w:outlineLvl w:val="2"/>
      </w:pPr>
      <w:r>
        <w:rPr>
          <w:rFonts w:ascii="黑体" w:hAnsi="黑体" w:eastAsia="黑体" w:cs="黑体"/>
          <w:color w:val="000000"/>
          <w:sz w:val="32"/>
        </w:rPr>
        <w:t>二、部门预算安排的总体情况</w:t>
      </w:r>
    </w:p>
    <w:p>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按照预算管理有关规定，目前我省部门预算的编制实行综合预算管理，即全部收入和支出都反映在预算中。唐山市</w:t>
      </w:r>
      <w:r>
        <w:rPr>
          <w:rFonts w:hint="eastAsia" w:eastAsia="方正仿宋_GBK" w:cs="Times New Roman"/>
          <w:color w:val="000000"/>
          <w:sz w:val="28"/>
          <w:lang w:eastAsia="zh-CN"/>
        </w:rPr>
        <w:t>丰润</w:t>
      </w:r>
      <w:r>
        <w:rPr>
          <w:rFonts w:eastAsia="方正仿宋_GBK" w:cs="Times New Roman"/>
          <w:color w:val="000000"/>
          <w:sz w:val="28"/>
        </w:rPr>
        <w:t>区</w:t>
      </w:r>
      <w:r>
        <w:rPr>
          <w:rFonts w:hint="eastAsia" w:eastAsia="方正仿宋_GBK" w:cs="Times New Roman"/>
          <w:color w:val="000000"/>
          <w:sz w:val="28"/>
          <w:lang w:eastAsia="zh-CN"/>
        </w:rPr>
        <w:t>刘家营乡人民政府</w:t>
      </w:r>
      <w:r>
        <w:rPr>
          <w:rFonts w:eastAsia="方正仿宋_GBK" w:cs="Times New Roman"/>
          <w:color w:val="000000"/>
          <w:sz w:val="28"/>
        </w:rPr>
        <w:t>机关及所属事业单位的收支包含在部门预算中。</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（一）收入说明</w:t>
      </w:r>
    </w:p>
    <w:p>
      <w:pPr>
        <w:spacing w:line="500" w:lineRule="exact"/>
        <w:ind w:firstLine="560" w:firstLineChars="200"/>
        <w:rPr>
          <w:rFonts w:eastAsia="方正仿宋_GBK" w:cs="Times New Roman"/>
          <w:sz w:val="28"/>
        </w:rPr>
      </w:pPr>
      <w:r>
        <w:rPr>
          <w:rFonts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w:t>
      </w:r>
      <w:r>
        <w:rPr>
          <w:rFonts w:hint="eastAsia" w:eastAsia="方正仿宋_GBK" w:cs="Times New Roman"/>
          <w:sz w:val="28"/>
          <w:lang w:eastAsia="zh-CN"/>
        </w:rPr>
        <w:t>部门</w:t>
      </w:r>
      <w:r>
        <w:rPr>
          <w:rFonts w:hint="eastAsia" w:eastAsia="方正仿宋_GBK" w:cs="Times New Roman"/>
          <w:sz w:val="28"/>
        </w:rPr>
        <w:t>预算收入</w:t>
      </w:r>
      <w:r>
        <w:rPr>
          <w:rFonts w:hint="eastAsia" w:eastAsia="方正仿宋_GBK" w:cs="Times New Roman"/>
          <w:sz w:val="28"/>
          <w:lang w:val="en-US" w:eastAsia="zh-CN"/>
        </w:rPr>
        <w:t>1322.99</w:t>
      </w:r>
      <w:r>
        <w:rPr>
          <w:rFonts w:hint="eastAsia" w:eastAsia="方正仿宋_GBK" w:cs="Times New Roman"/>
          <w:sz w:val="28"/>
        </w:rPr>
        <w:t>万元，其中一般公共预算收入</w:t>
      </w:r>
      <w:r>
        <w:rPr>
          <w:rFonts w:hint="eastAsia" w:eastAsia="方正仿宋_GBK" w:cs="Times New Roman"/>
          <w:sz w:val="28"/>
          <w:lang w:val="en-US" w:eastAsia="zh-CN"/>
        </w:rPr>
        <w:t>1322.99</w:t>
      </w:r>
      <w:r>
        <w:rPr>
          <w:rFonts w:hint="eastAsia" w:eastAsia="方正仿宋_GBK" w:cs="Times New Roman"/>
          <w:sz w:val="28"/>
        </w:rPr>
        <w:t>万元，政府性基金收入</w:t>
      </w:r>
      <w:r>
        <w:rPr>
          <w:rFonts w:eastAsia="方正仿宋_GBK" w:cs="Times New Roman"/>
          <w:sz w:val="28"/>
        </w:rPr>
        <w:t>0</w:t>
      </w:r>
      <w:r>
        <w:rPr>
          <w:rFonts w:hint="eastAsia" w:eastAsia="方正仿宋_GBK" w:cs="Times New Roman"/>
          <w:sz w:val="28"/>
        </w:rPr>
        <w:t>万元，国有资本经营预算收入</w:t>
      </w:r>
      <w:r>
        <w:rPr>
          <w:rFonts w:eastAsia="方正仿宋_GBK" w:cs="Times New Roman"/>
          <w:sz w:val="28"/>
        </w:rPr>
        <w:t>0</w:t>
      </w:r>
      <w:r>
        <w:rPr>
          <w:rFonts w:hint="eastAsia" w:eastAsia="方正仿宋_GBK" w:cs="Times New Roman"/>
          <w:sz w:val="28"/>
        </w:rPr>
        <w:t>万元。</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（二）支出说明</w:t>
      </w:r>
    </w:p>
    <w:p>
      <w:pPr>
        <w:spacing w:line="500" w:lineRule="exact"/>
        <w:ind w:firstLine="560" w:firstLineChars="200"/>
        <w:rPr>
          <w:rFonts w:eastAsia="方正仿宋_GBK" w:cs="Times New Roman"/>
          <w:sz w:val="28"/>
        </w:rPr>
      </w:pPr>
      <w:r>
        <w:rPr>
          <w:rFonts w:hint="eastAsia"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w:t>
      </w:r>
      <w:r>
        <w:rPr>
          <w:rFonts w:hint="eastAsia" w:eastAsia="方正仿宋_GBK" w:cs="Times New Roman"/>
          <w:sz w:val="28"/>
          <w:lang w:eastAsia="zh-CN"/>
        </w:rPr>
        <w:t>部门</w:t>
      </w:r>
      <w:r>
        <w:rPr>
          <w:rFonts w:hint="eastAsia" w:eastAsia="方正仿宋_GBK" w:cs="Times New Roman"/>
          <w:sz w:val="28"/>
        </w:rPr>
        <w:t>预算支出</w:t>
      </w:r>
      <w:r>
        <w:rPr>
          <w:rFonts w:hint="eastAsia" w:eastAsia="方正仿宋_GBK" w:cs="Times New Roman"/>
          <w:sz w:val="28"/>
          <w:lang w:val="en-US" w:eastAsia="zh-CN"/>
        </w:rPr>
        <w:t>1322.99</w:t>
      </w:r>
      <w:r>
        <w:rPr>
          <w:rFonts w:hint="eastAsia" w:eastAsia="方正仿宋_GBK" w:cs="Times New Roman"/>
          <w:sz w:val="28"/>
        </w:rPr>
        <w:t>万元，其中基本支出</w:t>
      </w:r>
      <w:r>
        <w:rPr>
          <w:rFonts w:hint="eastAsia" w:eastAsia="方正仿宋_GBK" w:cs="Times New Roman"/>
          <w:sz w:val="28"/>
          <w:lang w:val="en-US" w:eastAsia="zh-CN"/>
        </w:rPr>
        <w:t>1075.27</w:t>
      </w:r>
      <w:r>
        <w:rPr>
          <w:rFonts w:hint="eastAsia" w:eastAsia="方正仿宋_GBK" w:cs="Times New Roman"/>
          <w:sz w:val="28"/>
        </w:rPr>
        <w:t>万元，包含人员经费</w:t>
      </w:r>
      <w:r>
        <w:rPr>
          <w:rFonts w:hint="eastAsia" w:eastAsia="方正仿宋_GBK" w:cs="Times New Roman"/>
          <w:sz w:val="28"/>
          <w:lang w:val="en-US" w:eastAsia="zh-CN"/>
        </w:rPr>
        <w:t>980.63万</w:t>
      </w:r>
      <w:r>
        <w:rPr>
          <w:rFonts w:hint="eastAsia" w:eastAsia="方正仿宋_GBK" w:cs="Times New Roman"/>
          <w:sz w:val="28"/>
        </w:rPr>
        <w:t>元、正常公用经费</w:t>
      </w:r>
      <w:r>
        <w:rPr>
          <w:rFonts w:hint="eastAsia" w:eastAsia="方正仿宋_GBK" w:cs="Times New Roman"/>
          <w:sz w:val="28"/>
          <w:lang w:val="en-US" w:eastAsia="zh-CN"/>
        </w:rPr>
        <w:t>94.64</w:t>
      </w:r>
      <w:r>
        <w:rPr>
          <w:rFonts w:hint="eastAsia" w:eastAsia="方正仿宋_GBK" w:cs="Times New Roman"/>
          <w:sz w:val="28"/>
        </w:rPr>
        <w:t>万元，项目支出</w:t>
      </w:r>
      <w:r>
        <w:rPr>
          <w:rFonts w:hint="eastAsia" w:eastAsia="方正仿宋_GBK" w:cs="Times New Roman"/>
          <w:sz w:val="28"/>
          <w:lang w:val="en-US" w:eastAsia="zh-CN"/>
        </w:rPr>
        <w:t>247.72</w:t>
      </w:r>
      <w:r>
        <w:rPr>
          <w:rFonts w:hint="eastAsia" w:eastAsia="方正仿宋_GBK" w:cs="Times New Roman"/>
          <w:sz w:val="28"/>
        </w:rPr>
        <w:t>万元。</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（三）比上年增减情况</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 xml:space="preserve"> 202</w:t>
      </w:r>
      <w:r>
        <w:rPr>
          <w:rFonts w:hint="eastAsia" w:eastAsia="方正仿宋_GBK" w:cs="Times New Roman"/>
          <w:sz w:val="28"/>
          <w:lang w:eastAsia="zh-CN"/>
        </w:rPr>
        <w:t>3</w:t>
      </w:r>
      <w:r>
        <w:rPr>
          <w:rFonts w:hint="eastAsia" w:eastAsia="方正仿宋_GBK" w:cs="Times New Roman"/>
          <w:sz w:val="28"/>
        </w:rPr>
        <w:t>年</w:t>
      </w:r>
      <w:r>
        <w:rPr>
          <w:rFonts w:hint="eastAsia" w:eastAsia="方正仿宋_GBK" w:cs="Times New Roman"/>
          <w:sz w:val="28"/>
          <w:lang w:eastAsia="zh-CN"/>
        </w:rPr>
        <w:t>部门</w:t>
      </w:r>
      <w:r>
        <w:rPr>
          <w:rFonts w:hint="eastAsia" w:eastAsia="方正仿宋_GBK" w:cs="Times New Roman"/>
          <w:sz w:val="28"/>
        </w:rPr>
        <w:t>预算较202</w:t>
      </w:r>
      <w:r>
        <w:rPr>
          <w:rFonts w:hint="eastAsia" w:eastAsia="方正仿宋_GBK" w:cs="Times New Roman"/>
          <w:sz w:val="28"/>
          <w:lang w:val="en-US" w:eastAsia="zh-CN"/>
        </w:rPr>
        <w:t>2</w:t>
      </w:r>
      <w:r>
        <w:rPr>
          <w:rFonts w:hint="eastAsia" w:eastAsia="方正仿宋_GBK" w:cs="Times New Roman"/>
          <w:sz w:val="28"/>
        </w:rPr>
        <w:t>年增加</w:t>
      </w:r>
      <w:r>
        <w:rPr>
          <w:rFonts w:hint="eastAsia" w:eastAsia="方正仿宋_GBK" w:cs="Times New Roman"/>
          <w:sz w:val="28"/>
          <w:lang w:val="en-US" w:eastAsia="zh-CN"/>
        </w:rPr>
        <w:t>161.94</w:t>
      </w:r>
      <w:r>
        <w:rPr>
          <w:rFonts w:hint="eastAsia" w:eastAsia="方正仿宋_GBK" w:cs="Times New Roman"/>
          <w:sz w:val="28"/>
        </w:rPr>
        <w:t>万元，其中人员经费增加</w:t>
      </w:r>
      <w:r>
        <w:rPr>
          <w:rFonts w:hint="eastAsia" w:eastAsia="方正仿宋_GBK" w:cs="Times New Roman"/>
          <w:sz w:val="28"/>
          <w:lang w:val="en-US" w:eastAsia="zh-CN"/>
        </w:rPr>
        <w:t>208.39</w:t>
      </w:r>
      <w:r>
        <w:rPr>
          <w:rFonts w:hint="eastAsia" w:eastAsia="方正仿宋_GBK" w:cs="Times New Roman"/>
          <w:sz w:val="28"/>
        </w:rPr>
        <w:t>万元（增加原因为在职人员增加及工资</w:t>
      </w:r>
      <w:r>
        <w:rPr>
          <w:rFonts w:hint="eastAsia" w:eastAsia="方正仿宋_GBK" w:cs="Times New Roman"/>
          <w:sz w:val="28"/>
          <w:lang w:eastAsia="zh-CN"/>
        </w:rPr>
        <w:t>、各种保险基数</w:t>
      </w:r>
      <w:r>
        <w:rPr>
          <w:rFonts w:hint="eastAsia" w:eastAsia="方正仿宋_GBK" w:cs="Times New Roman"/>
          <w:sz w:val="28"/>
        </w:rPr>
        <w:t>调整</w:t>
      </w:r>
      <w:r>
        <w:rPr>
          <w:rFonts w:hint="eastAsia" w:eastAsia="方正仿宋_GBK" w:cs="Times New Roman"/>
          <w:sz w:val="28"/>
          <w:lang w:eastAsia="zh-CN"/>
        </w:rPr>
        <w:t>等</w:t>
      </w:r>
      <w:r>
        <w:rPr>
          <w:rFonts w:hint="eastAsia" w:eastAsia="方正仿宋_GBK" w:cs="Times New Roman"/>
          <w:sz w:val="28"/>
        </w:rPr>
        <w:t>）、正常公用经费</w:t>
      </w:r>
      <w:r>
        <w:rPr>
          <w:rFonts w:hint="eastAsia" w:eastAsia="方正仿宋_GBK" w:cs="Times New Roman"/>
          <w:sz w:val="28"/>
          <w:lang w:eastAsia="zh-CN"/>
        </w:rPr>
        <w:t>与去年持平；</w:t>
      </w:r>
      <w:r>
        <w:rPr>
          <w:rFonts w:hint="eastAsia" w:eastAsia="方正仿宋_GBK" w:cs="Times New Roman"/>
          <w:sz w:val="28"/>
        </w:rPr>
        <w:t>项目支出</w:t>
      </w:r>
      <w:r>
        <w:rPr>
          <w:rFonts w:hint="eastAsia" w:eastAsia="方正仿宋_GBK" w:cs="Times New Roman"/>
          <w:sz w:val="28"/>
          <w:lang w:eastAsia="zh-CN"/>
        </w:rPr>
        <w:t>减少</w:t>
      </w:r>
      <w:r>
        <w:rPr>
          <w:rFonts w:hint="eastAsia" w:eastAsia="方正仿宋_GBK" w:cs="Times New Roman"/>
          <w:sz w:val="28"/>
          <w:lang w:val="en-US" w:eastAsia="zh-CN"/>
        </w:rPr>
        <w:t>52.52</w:t>
      </w:r>
      <w:r>
        <w:rPr>
          <w:rFonts w:hint="eastAsia" w:eastAsia="方正仿宋_GBK" w:cs="Times New Roman"/>
          <w:sz w:val="28"/>
        </w:rPr>
        <w:t>万元。</w:t>
      </w:r>
    </w:p>
    <w:p>
      <w:pPr>
        <w:spacing w:line="500" w:lineRule="exact"/>
        <w:ind w:firstLine="640" w:firstLineChars="200"/>
        <w:rPr>
          <w:rFonts w:ascii="黑体" w:hAnsi="黑体" w:eastAsia="黑体" w:cs="黑体"/>
          <w:color w:val="000000"/>
          <w:sz w:val="32"/>
          <w:lang w:eastAsia="zh-CN"/>
        </w:rPr>
      </w:pPr>
      <w:r>
        <w:rPr>
          <w:rFonts w:ascii="黑体" w:hAnsi="黑体" w:eastAsia="黑体" w:cs="黑体"/>
          <w:color w:val="000000"/>
          <w:sz w:val="32"/>
        </w:rPr>
        <w:t>三、机关运行经费安排情况</w:t>
      </w:r>
    </w:p>
    <w:p>
      <w:pPr>
        <w:spacing w:line="500" w:lineRule="exact"/>
        <w:ind w:firstLine="560" w:firstLineChars="200"/>
        <w:rPr>
          <w:rFonts w:eastAsia="方正仿宋_GBK"/>
          <w:sz w:val="28"/>
          <w:lang w:eastAsia="zh-CN"/>
        </w:rPr>
      </w:pPr>
      <w:r>
        <w:rPr>
          <w:rFonts w:hint="eastAsia" w:eastAsia="方正仿宋_GBK"/>
          <w:sz w:val="28"/>
        </w:rPr>
        <w:t>202</w:t>
      </w:r>
      <w:r>
        <w:rPr>
          <w:rFonts w:hint="eastAsia" w:eastAsia="方正仿宋_GBK"/>
          <w:sz w:val="28"/>
          <w:lang w:eastAsia="zh-CN"/>
        </w:rPr>
        <w:t>3</w:t>
      </w:r>
      <w:r>
        <w:rPr>
          <w:rFonts w:hint="eastAsia" w:eastAsia="方正仿宋_GBK"/>
          <w:sz w:val="28"/>
        </w:rPr>
        <w:t>年机关运行经费共计安排</w:t>
      </w:r>
      <w:r>
        <w:rPr>
          <w:rFonts w:hint="eastAsia" w:eastAsia="方正仿宋_GBK"/>
          <w:sz w:val="28"/>
          <w:lang w:val="en-US" w:eastAsia="zh-CN"/>
        </w:rPr>
        <w:t>94.64</w:t>
      </w:r>
      <w:r>
        <w:rPr>
          <w:rFonts w:hint="eastAsia" w:eastAsia="方正仿宋_GBK"/>
          <w:sz w:val="28"/>
        </w:rPr>
        <w:t>万元，主要包括用于保证机关正常运转的办公费、邮电费、差旅费、福利费、水电费、办公取暖费、公务车运行维护费等支出。</w:t>
      </w:r>
    </w:p>
    <w:p>
      <w:pPr>
        <w:spacing w:line="500" w:lineRule="exact"/>
        <w:ind w:firstLine="640" w:firstLineChars="200"/>
        <w:rPr>
          <w:rFonts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pPr>
        <w:spacing w:line="500" w:lineRule="exact"/>
        <w:ind w:firstLine="560" w:firstLineChars="200"/>
        <w:rPr>
          <w:rFonts w:eastAsia="方正仿宋_GBK"/>
          <w:sz w:val="28"/>
          <w:lang w:eastAsia="zh-CN"/>
        </w:rPr>
      </w:pPr>
      <w:r>
        <w:rPr>
          <w:rFonts w:hint="eastAsia" w:eastAsia="方正仿宋_GBK"/>
          <w:sz w:val="28"/>
        </w:rPr>
        <w:t>202</w:t>
      </w:r>
      <w:r>
        <w:rPr>
          <w:rFonts w:hint="eastAsia" w:eastAsia="方正仿宋_GBK"/>
          <w:sz w:val="28"/>
          <w:lang w:eastAsia="zh-CN"/>
        </w:rPr>
        <w:t>3</w:t>
      </w:r>
      <w:r>
        <w:rPr>
          <w:rFonts w:hint="eastAsia" w:eastAsia="方正仿宋_GBK"/>
          <w:sz w:val="28"/>
        </w:rPr>
        <w:t>年我部门“三公”经费预算安排</w:t>
      </w:r>
      <w:r>
        <w:rPr>
          <w:rFonts w:hint="eastAsia" w:eastAsia="方正仿宋_GBK"/>
          <w:sz w:val="28"/>
          <w:lang w:val="en-US" w:eastAsia="zh-CN"/>
        </w:rPr>
        <w:t>4</w:t>
      </w:r>
      <w:r>
        <w:rPr>
          <w:rFonts w:hint="eastAsia" w:eastAsia="方正仿宋_GBK"/>
          <w:sz w:val="28"/>
        </w:rPr>
        <w:t>万元，</w:t>
      </w:r>
      <w:r>
        <w:rPr>
          <w:rFonts w:hint="eastAsia" w:eastAsia="方正仿宋_GBK"/>
          <w:sz w:val="28"/>
          <w:lang w:eastAsia="zh-CN"/>
        </w:rPr>
        <w:t>与</w:t>
      </w:r>
      <w:r>
        <w:rPr>
          <w:rFonts w:hint="eastAsia" w:eastAsia="方正仿宋_GBK"/>
          <w:sz w:val="28"/>
        </w:rPr>
        <w:t>202</w:t>
      </w:r>
      <w:r>
        <w:rPr>
          <w:rFonts w:hint="eastAsia" w:eastAsia="方正仿宋_GBK"/>
          <w:sz w:val="28"/>
          <w:lang w:eastAsia="zh-CN"/>
        </w:rPr>
        <w:t>2</w:t>
      </w:r>
      <w:r>
        <w:rPr>
          <w:rFonts w:hint="eastAsia" w:eastAsia="方正仿宋_GBK"/>
          <w:sz w:val="28"/>
        </w:rPr>
        <w:t>年预算</w:t>
      </w:r>
      <w:r>
        <w:rPr>
          <w:rFonts w:hint="eastAsia" w:eastAsia="方正仿宋_GBK"/>
          <w:sz w:val="28"/>
          <w:lang w:eastAsia="zh-CN"/>
        </w:rPr>
        <w:t>相比无变化</w:t>
      </w:r>
      <w:r>
        <w:rPr>
          <w:rFonts w:hint="eastAsia" w:eastAsia="方正仿宋_GBK"/>
          <w:sz w:val="28"/>
        </w:rPr>
        <w:t>。具体安排情况为：</w:t>
      </w:r>
    </w:p>
    <w:p>
      <w:pPr>
        <w:spacing w:line="500" w:lineRule="exact"/>
        <w:ind w:firstLine="560" w:firstLineChars="200"/>
        <w:rPr>
          <w:rFonts w:eastAsia="方正仿宋_GBK"/>
          <w:sz w:val="28"/>
          <w:lang w:eastAsia="zh-CN"/>
        </w:rPr>
      </w:pPr>
      <w:r>
        <w:rPr>
          <w:rFonts w:hint="eastAsia" w:eastAsia="方正仿宋_GBK"/>
          <w:sz w:val="28"/>
        </w:rPr>
        <w:t xml:space="preserve">  (一)公务用车购置及运行费。共计安排</w:t>
      </w:r>
      <w:r>
        <w:rPr>
          <w:rFonts w:hint="eastAsia" w:eastAsia="方正仿宋_GBK"/>
          <w:sz w:val="28"/>
          <w:lang w:val="en-US" w:eastAsia="zh-CN"/>
        </w:rPr>
        <w:t>4</w:t>
      </w:r>
      <w:bookmarkStart w:id="14" w:name="_GoBack"/>
      <w:bookmarkEnd w:id="14"/>
      <w:r>
        <w:rPr>
          <w:rFonts w:hint="eastAsia" w:eastAsia="方正仿宋_GBK"/>
          <w:sz w:val="28"/>
        </w:rPr>
        <w:t>万元，与2022年预算相比无变化。</w:t>
      </w:r>
    </w:p>
    <w:p>
      <w:pPr>
        <w:spacing w:line="500" w:lineRule="exact"/>
        <w:ind w:firstLine="560" w:firstLineChars="200"/>
        <w:rPr>
          <w:rFonts w:eastAsia="方正仿宋_GBK"/>
          <w:sz w:val="28"/>
          <w:lang w:eastAsia="zh-CN"/>
        </w:rPr>
      </w:pPr>
      <w:r>
        <w:rPr>
          <w:rFonts w:hint="eastAsia" w:eastAsia="方正仿宋_GBK"/>
          <w:sz w:val="28"/>
        </w:rPr>
        <w:t>①公务用车购置0万元，与上年持平；</w:t>
      </w:r>
    </w:p>
    <w:p>
      <w:pPr>
        <w:spacing w:line="500" w:lineRule="exact"/>
        <w:ind w:firstLine="560" w:firstLineChars="200"/>
        <w:rPr>
          <w:rFonts w:hint="eastAsia" w:eastAsia="方正仿宋_GBK"/>
          <w:sz w:val="28"/>
          <w:lang w:eastAsia="zh-CN"/>
        </w:rPr>
      </w:pPr>
      <w:r>
        <w:rPr>
          <w:rFonts w:hint="eastAsia" w:eastAsia="方正仿宋_GBK"/>
          <w:sz w:val="28"/>
        </w:rPr>
        <w:t xml:space="preserve"> ②公务运行维护经费安排</w:t>
      </w:r>
      <w:r>
        <w:rPr>
          <w:rFonts w:hint="eastAsia" w:eastAsia="方正仿宋_GBK"/>
          <w:sz w:val="28"/>
          <w:lang w:val="en-US" w:eastAsia="zh-CN"/>
        </w:rPr>
        <w:t>4</w:t>
      </w:r>
      <w:r>
        <w:rPr>
          <w:rFonts w:hint="eastAsia" w:eastAsia="方正仿宋_GBK"/>
          <w:sz w:val="28"/>
        </w:rPr>
        <w:t>万元，与上年持平</w:t>
      </w:r>
      <w:r>
        <w:rPr>
          <w:rFonts w:hint="eastAsia" w:eastAsia="方正仿宋_GBK"/>
          <w:sz w:val="28"/>
          <w:lang w:eastAsia="zh-CN"/>
        </w:rPr>
        <w:t>。</w:t>
      </w:r>
    </w:p>
    <w:p>
      <w:pPr>
        <w:spacing w:line="500" w:lineRule="exact"/>
        <w:ind w:firstLine="560" w:firstLineChars="200"/>
        <w:rPr>
          <w:rFonts w:eastAsia="方正仿宋_GBK"/>
          <w:sz w:val="28"/>
          <w:lang w:eastAsia="zh-CN"/>
        </w:rPr>
      </w:pPr>
      <w:r>
        <w:rPr>
          <w:rFonts w:hint="eastAsia" w:eastAsia="方正仿宋_GBK"/>
          <w:sz w:val="28"/>
        </w:rPr>
        <w:t>（二）公务接待费。共计安排0万元，与2022年预算相比无变化。</w:t>
      </w:r>
    </w:p>
    <w:p>
      <w:pPr>
        <w:spacing w:line="500" w:lineRule="exact"/>
        <w:ind w:firstLine="560" w:firstLineChars="200"/>
        <w:rPr>
          <w:rFonts w:eastAsia="方正仿宋_GBK"/>
          <w:sz w:val="28"/>
        </w:rPr>
      </w:pPr>
      <w:r>
        <w:rPr>
          <w:rFonts w:hint="eastAsia" w:eastAsia="方正仿宋_GBK"/>
          <w:sz w:val="28"/>
          <w:lang w:eastAsia="zh-CN"/>
        </w:rPr>
        <w:t>（</w:t>
      </w:r>
      <w:r>
        <w:rPr>
          <w:rFonts w:hint="eastAsia" w:eastAsia="方正仿宋_GBK"/>
          <w:sz w:val="28"/>
        </w:rPr>
        <w:t>三</w:t>
      </w:r>
      <w:r>
        <w:rPr>
          <w:rFonts w:hint="eastAsia" w:eastAsia="方正仿宋_GBK"/>
          <w:sz w:val="28"/>
          <w:lang w:eastAsia="zh-CN"/>
        </w:rPr>
        <w:t>）</w:t>
      </w:r>
      <w:r>
        <w:rPr>
          <w:rFonts w:hint="eastAsia" w:eastAsia="方正仿宋_GBK"/>
          <w:sz w:val="28"/>
        </w:rPr>
        <w:t>因公出国(境)费安排0万元，与2022年预算相比无变化。</w:t>
      </w:r>
    </w:p>
    <w:p>
      <w:pPr>
        <w:spacing w:line="500" w:lineRule="exact"/>
        <w:ind w:firstLine="560" w:firstLineChars="200"/>
        <w:rPr>
          <w:rFonts w:eastAsia="方正仿宋_GBK"/>
          <w:sz w:val="28"/>
          <w:lang w:eastAsia="zh-CN"/>
        </w:rPr>
      </w:pPr>
      <w:r>
        <w:rPr>
          <w:rFonts w:hint="eastAsia" w:eastAsia="方正仿宋_GBK"/>
          <w:sz w:val="28"/>
        </w:rPr>
        <w:t>（四）培训费。共计安排0万元，与2022年预算相比无变化。</w:t>
      </w:r>
    </w:p>
    <w:p/>
    <w:p>
      <w:pPr>
        <w:pStyle w:val="22"/>
      </w:pPr>
    </w:p>
    <w:p>
      <w:pPr>
        <w:spacing w:before="10" w:after="10" w:line="360" w:lineRule="auto"/>
        <w:ind w:firstLine="640"/>
        <w:jc w:val="left"/>
        <w:outlineLvl w:val="2"/>
      </w:pPr>
      <w:bookmarkStart w:id="9" w:name="_Toc_3_3_0000000014"/>
      <w:r>
        <w:rPr>
          <w:rFonts w:ascii="黑体" w:hAnsi="黑体" w:eastAsia="黑体" w:cs="黑体"/>
          <w:color w:val="000000"/>
          <w:sz w:val="32"/>
        </w:rPr>
        <w:t>五、预算绩效信息</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唐山市丰润区刘家营乡人民政府宣传贯彻执行党的路线方针政策和党中央、上级党组织及本</w:t>
      </w:r>
      <w:r>
        <w:rPr>
          <w:rFonts w:hint="eastAsia"/>
          <w:lang w:eastAsia="zh-CN"/>
        </w:rPr>
        <w:t>乡</w:t>
      </w:r>
      <w:r>
        <w:t>党员代表大会（党员大会）的决议讨论和决定本</w:t>
      </w:r>
      <w:r>
        <w:rPr>
          <w:rFonts w:hint="eastAsia"/>
          <w:lang w:eastAsia="zh-CN"/>
        </w:rPr>
        <w:t>乡</w:t>
      </w:r>
      <w:r>
        <w:t>经济建设、政治建设、文化建设、社会建设、生态文明建设和党的建设以及全乡12个村人居环境、乡村振兴中的重大问题，组织召开本级人民代表大会1次，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（一）基层党建。</w:t>
      </w:r>
    </w:p>
    <w:p>
      <w:pPr>
        <w:pStyle w:val="24"/>
      </w:pPr>
      <w:r>
        <w:t>绩效目标：加强基层党领导班子建，加强党组织建设和党员管理。</w:t>
      </w:r>
    </w:p>
    <w:p>
      <w:pPr>
        <w:pStyle w:val="24"/>
      </w:pPr>
      <w:r>
        <w:t>绩效指标：开展党员教育工作，发挥先进村示范带动作用，创建我</w:t>
      </w:r>
      <w:r>
        <w:rPr>
          <w:rFonts w:hint="eastAsia"/>
          <w:lang w:eastAsia="zh-CN"/>
        </w:rPr>
        <w:t>乡</w:t>
      </w:r>
      <w:r>
        <w:t>特色占工作任务的比例大于等于90%。</w:t>
      </w:r>
    </w:p>
    <w:p>
      <w:pPr>
        <w:pStyle w:val="24"/>
      </w:pPr>
      <w:r>
        <w:t>（二）干部队伍管理和干部教育培训</w:t>
      </w:r>
    </w:p>
    <w:p>
      <w:pPr>
        <w:pStyle w:val="24"/>
      </w:pPr>
      <w:r>
        <w:t>绩效目标：加强我乡干部队伍管理，干部教育培训。</w:t>
      </w:r>
    </w:p>
    <w:p>
      <w:pPr>
        <w:pStyle w:val="24"/>
      </w:pPr>
      <w: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90%。</w:t>
      </w:r>
    </w:p>
    <w:p>
      <w:pPr>
        <w:pStyle w:val="24"/>
      </w:pPr>
      <w:r>
        <w:t>（三）宣传思想工作</w:t>
      </w:r>
    </w:p>
    <w:p>
      <w:pPr>
        <w:pStyle w:val="24"/>
      </w:pPr>
      <w: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pPr>
        <w:pStyle w:val="24"/>
      </w:pPr>
      <w:r>
        <w:t>绩效指标：开展社会主义核心价值观宣传教育、公益广告宣传、志愿服务等活动占工作任务的比例大于等于95%。</w:t>
      </w:r>
    </w:p>
    <w:p>
      <w:pPr>
        <w:pStyle w:val="24"/>
      </w:pPr>
      <w:r>
        <w:t>（四）案件查办</w:t>
      </w:r>
    </w:p>
    <w:p>
      <w:pPr>
        <w:pStyle w:val="24"/>
      </w:pPr>
      <w:r>
        <w:t>绩效目标：受理信访、举报，集中管理问题线索、组织协调案件查办，调查、审查违纪违法案件。</w:t>
      </w:r>
    </w:p>
    <w:p>
      <w:pPr>
        <w:pStyle w:val="24"/>
      </w:pPr>
      <w:r>
        <w:t>绩效指标：乡党政领导包联化解信访事项全年不少于3件，认真落实初信初访首接首办责任，力争初信初访化解占工作任务的比例大于等于100%。</w:t>
      </w:r>
    </w:p>
    <w:p>
      <w:pPr>
        <w:pStyle w:val="24"/>
      </w:pPr>
      <w:r>
        <w:t>（五）党风廉政建设</w:t>
      </w:r>
    </w:p>
    <w:p>
      <w:pPr>
        <w:pStyle w:val="24"/>
      </w:pPr>
      <w:r>
        <w:t>绩效目标：组织协调全乡党风廉</w:t>
      </w:r>
      <w:r>
        <w:rPr>
          <w:rFonts w:hint="eastAsia"/>
          <w:lang w:eastAsia="zh-CN"/>
        </w:rPr>
        <w:t>政</w:t>
      </w:r>
      <w:r>
        <w:t>建设，维护党纪国法尊严，坚决惩处腐败分子，有效遏制腐败现象。积极发挥职能作用，加强党风廉政建设，营造风清气正、干事创业的工作氛围。积极发挥职能作用，加强党风廉政建设，营造风清气正、干事创业的工作氛围。</w:t>
      </w:r>
    </w:p>
    <w:p>
      <w:pPr>
        <w:pStyle w:val="24"/>
      </w:pPr>
      <w:r>
        <w:t>绩效指标：实际开展教育活动次数占计划组织活动次数比重大于等于95%。</w:t>
      </w:r>
    </w:p>
    <w:p>
      <w:pPr>
        <w:pStyle w:val="24"/>
      </w:pPr>
      <w:r>
        <w:t>（六）推进新农村建设</w:t>
      </w:r>
    </w:p>
    <w:p>
      <w:pPr>
        <w:pStyle w:val="24"/>
      </w:pPr>
      <w:r>
        <w:t>绩效目标：按照统筹城镇发展要求，围绕农村改造15件实事，突出重点，因地制宜，开展农村面貌改造提升。按照分期分批推进的要求，每年选定一批重点村实施改造提升。</w:t>
      </w:r>
    </w:p>
    <w:p>
      <w:pPr>
        <w:pStyle w:val="24"/>
      </w:pPr>
      <w:r>
        <w:t>绩效指标：当年完成建设任务的重点村占全部重点村的比例大于等于95%。</w:t>
      </w:r>
    </w:p>
    <w:p>
      <w:pPr>
        <w:pStyle w:val="24"/>
      </w:pPr>
      <w:r>
        <w:t>（七）双拥优抚安置政策及管理</w:t>
      </w:r>
    </w:p>
    <w:p>
      <w:pPr>
        <w:pStyle w:val="24"/>
      </w:pPr>
      <w:r>
        <w:t>绩效目标：及时申报、拨付优抚对象的生活、住房、医疗等各项补贴，切实解决困难群众的实际困难。义务兵家庭优待工作全面落实。</w:t>
      </w:r>
    </w:p>
    <w:p>
      <w:pPr>
        <w:pStyle w:val="24"/>
      </w:pPr>
      <w:r>
        <w:t>绩效指标：优抚对象生活抚恤对付资金占应兑付额的比例大于等于95%。</w:t>
      </w:r>
    </w:p>
    <w:p>
      <w:pPr>
        <w:pStyle w:val="24"/>
      </w:pPr>
      <w:r>
        <w:t>（八）基层政权建设</w:t>
      </w:r>
    </w:p>
    <w:p>
      <w:pPr>
        <w:pStyle w:val="24"/>
      </w:pPr>
      <w:r>
        <w:t>绩效目标：组织指导村干部培训，充分利用预算资金13.8万元，建立健全基层群众自治组织，充分发挥村级组织的基层战斗堡垒作用，指导协助村集体开展各项工作，做好监督和考核工作。</w:t>
      </w:r>
    </w:p>
    <w:p>
      <w:pPr>
        <w:pStyle w:val="24"/>
      </w:pPr>
      <w:r>
        <w:t>绩效指标：指导12个村民委员会民主选举，指导村民主决策、民主管理、民主监督以及居务公开占工作任务的比例大于等于90%。</w:t>
      </w:r>
    </w:p>
    <w:p>
      <w:pPr>
        <w:pStyle w:val="24"/>
      </w:pPr>
      <w:r>
        <w:t>（九）卫计政务管理</w:t>
      </w:r>
    </w:p>
    <w:p>
      <w:pPr>
        <w:pStyle w:val="24"/>
      </w:pPr>
      <w:r>
        <w:t>绩效目标：保障卫生计生法律法规的落实，提升卫生计生工作规范化和法制化水平，监督政策落实，落实政务公开和业务宣传工作，加强卫生计生能力建设，计生服务达到满意。</w:t>
      </w:r>
    </w:p>
    <w:p>
      <w:pPr>
        <w:pStyle w:val="24"/>
      </w:pPr>
      <w:r>
        <w:t>绩效指标：开展卫生计生规划、统计、法制、政策研究、宣传教育占工作任务的比例大于等于85%。</w:t>
      </w:r>
    </w:p>
    <w:p>
      <w:pPr>
        <w:pStyle w:val="24"/>
      </w:pPr>
      <w:r>
        <w:t>（十）政务公开</w:t>
      </w:r>
    </w:p>
    <w:p>
      <w:pPr>
        <w:pStyle w:val="24"/>
      </w:pPr>
      <w:r>
        <w:t>绩效目标：指导和协调全乡政务公开，通过完成政务信息公开工作的指导监督工作，使政府信息公开业务队伍素质不断提高，反映全乡政务公开工作程度。</w:t>
      </w:r>
    </w:p>
    <w:p>
      <w:pPr>
        <w:pStyle w:val="24"/>
      </w:pPr>
      <w:r>
        <w:t>绩效指标：全乡政务公开数量占全年政务公开任务的比例大于等于95%。</w:t>
      </w:r>
    </w:p>
    <w:p>
      <w:pPr>
        <w:pStyle w:val="24"/>
      </w:pPr>
      <w:r>
        <w:t>（十一）会议管理</w:t>
      </w:r>
    </w:p>
    <w:p>
      <w:pPr>
        <w:pStyle w:val="24"/>
      </w:pPr>
      <w:r>
        <w:t>绩效目标：做好乡政府会议保障；控制会议费开支规模。反映大型会议控制预算规模的结果。</w:t>
      </w:r>
    </w:p>
    <w:p>
      <w:pPr>
        <w:pStyle w:val="24"/>
      </w:pPr>
      <w:r>
        <w:t>绩效指标：全乡会议质量的优良率达到良。</w:t>
      </w:r>
    </w:p>
    <w:p>
      <w:pPr>
        <w:pStyle w:val="24"/>
      </w:pPr>
      <w:r>
        <w:t>（十二）综合业务</w:t>
      </w:r>
    </w:p>
    <w:p>
      <w:pPr>
        <w:pStyle w:val="24"/>
      </w:pPr>
      <w:r>
        <w:t>绩效目标：推进机关事务管理工作科学发展；提高管理、保障、服务水平。</w:t>
      </w:r>
    </w:p>
    <w:p>
      <w:pPr>
        <w:pStyle w:val="24"/>
      </w:pPr>
      <w:r>
        <w:t>绩效指标：全乡机关事务管理综合业务工作完成率大于等于95%。</w:t>
      </w:r>
    </w:p>
    <w:p>
      <w:pPr>
        <w:pStyle w:val="24"/>
      </w:pPr>
      <w:r>
        <w:t>（十三）应急管理</w:t>
      </w:r>
    </w:p>
    <w:p>
      <w:pPr>
        <w:pStyle w:val="24"/>
      </w:pPr>
      <w:r>
        <w:t>绩效目标：加强办事处值班工作，传达和督促落实办事处领导指示。确保全乡应急工作顺利完成；各类突发事件得到及时妥善处置。</w:t>
      </w:r>
    </w:p>
    <w:p>
      <w:pPr>
        <w:pStyle w:val="24"/>
      </w:pPr>
      <w:r>
        <w:t>绩效指标：有效保证办事处日常应急值守和突发事件应对处置工作等，各项综合业务工作完成占工作任务的比例大于等于95%。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2023年我乡坚持“厉行节俭、勤俭办事”的原则进一步调配支出，优化支出结构，按照公共财政改革和稳健财政政策的要求，逐步规范公共财政供给和保障范围，大力压缩政府一般性支出，提高财政资金的使用效率。为使财政资金更好的发挥作用，我乡将认真落实上级文件精神，加大财政资金监管看力度，将所有财政资金全部纳入监管范围，进一步健全制度，建立内部监管检查机制，确保财政资金安全及使用效益最大化。</w:t>
      </w:r>
    </w:p>
    <w:p>
      <w:pPr>
        <w:pStyle w:val="25"/>
      </w:pPr>
      <w:r>
        <w:t>（一）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pPr>
        <w:pStyle w:val="25"/>
      </w:pPr>
      <w:r>
        <w:t>（二）加强支出管理。通过优化支出结构、编细编实预算、加快履行政府采购手续、尽快启动项目、及时支付资金、6月底前按规定及时下达资金等多种措施，确保支出进度达标。组织统筹现有的环境资源及优越的地理位置，将功能定位放在开发产业化、系列化、现代化的便民服务业上，大力开拓以便民利民服务为宗旨的便民服务业。发展个</w:t>
      </w:r>
      <w:r>
        <w:rPr>
          <w:rFonts w:hint="eastAsia"/>
          <w:lang w:eastAsia="zh-CN"/>
        </w:rPr>
        <w:t>体</w:t>
      </w:r>
      <w:r>
        <w:t>私</w:t>
      </w:r>
      <w:r>
        <w:rPr>
          <w:rFonts w:hint="eastAsia"/>
          <w:lang w:eastAsia="zh-CN"/>
        </w:rPr>
        <w:t>营</w:t>
      </w:r>
      <w:r>
        <w:t>经济，使中小型的个体私营经济成为便民服务产业乃至本镇经济的新的增长点。</w:t>
      </w:r>
    </w:p>
    <w:p>
      <w:pPr>
        <w:pStyle w:val="25"/>
      </w:pPr>
      <w:r>
        <w:t>（三）加强绩效运行监控。按要求开展绩效运行监控，发现问题及时采取措施，确保绩效目标如期保质实现。</w:t>
      </w:r>
    </w:p>
    <w:p>
      <w:pPr>
        <w:pStyle w:val="25"/>
      </w:pPr>
      <w:r>
        <w:t>（四）做好绩效自评。按要求开展上年度部门预算绩效自评和重点评价工作，对评价中发现的问题及时整改，调整优化支出结构，提高财政资金使用效益。</w:t>
      </w:r>
    </w:p>
    <w:p>
      <w:pPr>
        <w:pStyle w:val="25"/>
      </w:pPr>
      <w:r>
        <w:t>（五）规范财务资产管理。完善财务管理制度，严格审批程序，加强固定资产登记、使用和报废处置管理，做到支出合理，物尽其用。</w:t>
      </w:r>
    </w:p>
    <w:p>
      <w:pPr>
        <w:pStyle w:val="2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七）加强宣传培训调研等。加强人员培训，提高本部门职工业务素质；加强调研，提出优化财政资金配置、提高资金使用效益的意见建议；加大宣传力度，强化预算绩效管理意识，促进预算绩效管理水平进一步提升。以提升组织力为重点，突出政治功能，把基层党组织建设成为宣传党的主张、贯彻党的决定、领导基层治理、团结动员群众的坚强堡垒。加强环境建设。坚持“以人为本，全民参与，明确责任，严格考核”的原则，调动广大干部、群众的积极性，全面提高辖区环境卫生质量。</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pPr>
        <w:spacing w:before="0" w:after="0" w:line="240" w:lineRule="auto"/>
        <w:ind w:firstLine="640"/>
        <w:jc w:val="left"/>
        <w:outlineLvl w:val="9"/>
      </w:pPr>
      <w:r>
        <w:rPr>
          <w:rFonts w:ascii="方正仿宋_GBK" w:hAnsi="方正仿宋_GBK" w:eastAsia="方正仿宋_GBK" w:cs="方正仿宋_GBK"/>
          <w:b/>
          <w:color w:val="000000"/>
          <w:sz w:val="28"/>
        </w:rPr>
        <w:t>1、2022年未拨付村级转移支付绩效目标表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1.资金按时拨付到位，用于村级日常办公费、水电费、书报费等</w:t>
            </w:r>
          </w:p>
          <w:p>
            <w:pPr>
              <w:pStyle w:val="14"/>
            </w:pPr>
            <w:r>
              <w:t>2.通过此项工作的开展，确保全乡各村工作的正常运转</w:t>
            </w:r>
          </w:p>
          <w:p>
            <w:pPr>
              <w:pStyle w:val="14"/>
            </w:pPr>
            <w:r>
              <w:t>3.保证工作正常有序开展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运转村级数量</w:t>
            </w:r>
          </w:p>
        </w:tc>
        <w:tc>
          <w:tcPr>
            <w:tcW w:w="2835" w:type="dxa"/>
            <w:vAlign w:val="center"/>
          </w:tcPr>
          <w:p>
            <w:pPr>
              <w:pStyle w:val="14"/>
            </w:pPr>
            <w:r>
              <w:t>保障村级正常运转的个数</w:t>
            </w:r>
          </w:p>
        </w:tc>
        <w:tc>
          <w:tcPr>
            <w:tcW w:w="2551" w:type="dxa"/>
            <w:vAlign w:val="center"/>
          </w:tcPr>
          <w:p>
            <w:pPr>
              <w:pStyle w:val="14"/>
            </w:pPr>
            <w:r>
              <w:t>≥12个</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村级正常运转率</w:t>
            </w:r>
          </w:p>
        </w:tc>
        <w:tc>
          <w:tcPr>
            <w:tcW w:w="2835" w:type="dxa"/>
            <w:vAlign w:val="center"/>
          </w:tcPr>
          <w:p>
            <w:pPr>
              <w:pStyle w:val="14"/>
            </w:pPr>
            <w:r>
              <w:t>村级正常运转的个数占总数的比率</w:t>
            </w:r>
          </w:p>
        </w:tc>
        <w:tc>
          <w:tcPr>
            <w:tcW w:w="2551" w:type="dxa"/>
            <w:vAlign w:val="center"/>
          </w:tcPr>
          <w:p>
            <w:pPr>
              <w:pStyle w:val="14"/>
            </w:pPr>
            <w:r>
              <w:t>≥98%</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根据年初预算安排，按时完成</w:t>
            </w:r>
          </w:p>
        </w:tc>
        <w:tc>
          <w:tcPr>
            <w:tcW w:w="2551" w:type="dxa"/>
            <w:vAlign w:val="center"/>
          </w:tcPr>
          <w:p>
            <w:pPr>
              <w:pStyle w:val="14"/>
            </w:pPr>
            <w:r>
              <w:t>2023年12月31日前完成成</w:t>
            </w:r>
          </w:p>
        </w:tc>
        <w:tc>
          <w:tcPr>
            <w:tcW w:w="2268"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经济成本指标</w:t>
            </w:r>
          </w:p>
        </w:tc>
        <w:tc>
          <w:tcPr>
            <w:tcW w:w="2835" w:type="dxa"/>
            <w:vAlign w:val="center"/>
          </w:tcPr>
          <w:p>
            <w:pPr>
              <w:pStyle w:val="14"/>
            </w:pPr>
            <w:r>
              <w:t>每村平均发放村级转移支付资金</w:t>
            </w:r>
          </w:p>
        </w:tc>
        <w:tc>
          <w:tcPr>
            <w:tcW w:w="2551" w:type="dxa"/>
            <w:vAlign w:val="center"/>
          </w:tcPr>
          <w:p>
            <w:pPr>
              <w:pStyle w:val="14"/>
            </w:pPr>
            <w:r>
              <w:t>≤5750元</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保障村级工作顺利开展，改善民生，促进社会稳定</w:t>
            </w:r>
          </w:p>
        </w:tc>
        <w:tc>
          <w:tcPr>
            <w:tcW w:w="2551" w:type="dxa"/>
            <w:vAlign w:val="center"/>
          </w:tcPr>
          <w:p>
            <w:pPr>
              <w:pStyle w:val="14"/>
            </w:pPr>
            <w:r>
              <w:t>优</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维护社会长期稳定 </w:t>
            </w:r>
          </w:p>
        </w:tc>
        <w:tc>
          <w:tcPr>
            <w:tcW w:w="2835" w:type="dxa"/>
            <w:vAlign w:val="center"/>
          </w:tcPr>
          <w:p>
            <w:pPr>
              <w:pStyle w:val="14"/>
            </w:pPr>
            <w:r>
              <w:t xml:space="preserve">维护社会长期稳定 </w:t>
            </w:r>
          </w:p>
        </w:tc>
        <w:tc>
          <w:tcPr>
            <w:tcW w:w="2551" w:type="dxa"/>
            <w:vAlign w:val="center"/>
          </w:tcPr>
          <w:p>
            <w:pPr>
              <w:pStyle w:val="14"/>
            </w:pPr>
            <w:r>
              <w:t>维护社会稳定</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该项工作产生一定的影响，基层群众对工作的满意度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2、2022年乡镇体制经费绩效目标表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1.充分调动我乡经济发展，组织收入积极性</w:t>
            </w:r>
          </w:p>
          <w:p>
            <w:pPr>
              <w:pStyle w:val="14"/>
            </w:pPr>
            <w:r>
              <w:t>2.用于乡办公、维稳、经济发展等各项社会事业支出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采购次数</w:t>
            </w:r>
          </w:p>
        </w:tc>
        <w:tc>
          <w:tcPr>
            <w:tcW w:w="2835" w:type="dxa"/>
            <w:vAlign w:val="center"/>
          </w:tcPr>
          <w:p>
            <w:pPr>
              <w:pStyle w:val="14"/>
            </w:pPr>
            <w:r>
              <w:t>采购次数</w:t>
            </w:r>
          </w:p>
        </w:tc>
        <w:tc>
          <w:tcPr>
            <w:tcW w:w="2551" w:type="dxa"/>
            <w:vAlign w:val="center"/>
          </w:tcPr>
          <w:p>
            <w:pPr>
              <w:pStyle w:val="14"/>
            </w:pPr>
            <w:r>
              <w:t>≥20次</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维稳次数</w:t>
            </w:r>
          </w:p>
        </w:tc>
        <w:tc>
          <w:tcPr>
            <w:tcW w:w="2835" w:type="dxa"/>
            <w:vAlign w:val="center"/>
          </w:tcPr>
          <w:p>
            <w:pPr>
              <w:pStyle w:val="14"/>
            </w:pPr>
            <w:r>
              <w:t>维稳次数</w:t>
            </w:r>
          </w:p>
        </w:tc>
        <w:tc>
          <w:tcPr>
            <w:tcW w:w="2551" w:type="dxa"/>
            <w:vAlign w:val="center"/>
          </w:tcPr>
          <w:p>
            <w:pPr>
              <w:pStyle w:val="14"/>
            </w:pPr>
            <w:r>
              <w:t>≥10次</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工作完成质量</w:t>
            </w:r>
          </w:p>
        </w:tc>
        <w:tc>
          <w:tcPr>
            <w:tcW w:w="2835" w:type="dxa"/>
            <w:vAlign w:val="center"/>
          </w:tcPr>
          <w:p>
            <w:pPr>
              <w:pStyle w:val="14"/>
            </w:pPr>
            <w:r>
              <w:t>完成工作占全年比率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根据年初预算安排，确保资金科学有效使用，按时完成</w:t>
            </w:r>
          </w:p>
        </w:tc>
        <w:tc>
          <w:tcPr>
            <w:tcW w:w="2551" w:type="dxa"/>
            <w:vAlign w:val="center"/>
          </w:tcPr>
          <w:p>
            <w:pPr>
              <w:pStyle w:val="14"/>
            </w:pPr>
            <w:r>
              <w:t xml:space="preserve">2023年12月31日完成 </w:t>
            </w:r>
          </w:p>
        </w:tc>
        <w:tc>
          <w:tcPr>
            <w:tcW w:w="2268"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经济成本指标</w:t>
            </w:r>
          </w:p>
        </w:tc>
        <w:tc>
          <w:tcPr>
            <w:tcW w:w="2835" w:type="dxa"/>
            <w:vAlign w:val="center"/>
          </w:tcPr>
          <w:p>
            <w:pPr>
              <w:pStyle w:val="14"/>
            </w:pPr>
            <w:r>
              <w:t>每月保证购买物品成本</w:t>
            </w:r>
          </w:p>
        </w:tc>
        <w:tc>
          <w:tcPr>
            <w:tcW w:w="2551" w:type="dxa"/>
            <w:vAlign w:val="center"/>
          </w:tcPr>
          <w:p>
            <w:pPr>
              <w:pStyle w:val="14"/>
            </w:pPr>
            <w:r>
              <w:t>≤35000元</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用于信访稳定、补充办公经费，保障机关正常运转</w:t>
            </w:r>
          </w:p>
        </w:tc>
        <w:tc>
          <w:tcPr>
            <w:tcW w:w="2551" w:type="dxa"/>
            <w:vAlign w:val="center"/>
          </w:tcPr>
          <w:p>
            <w:pPr>
              <w:pStyle w:val="14"/>
            </w:pPr>
            <w:r>
              <w:t>优</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优</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基层群众对工作的满意度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3、2022年一事一议项目绩效目标表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1.用于村级道路硬化、路灯安装等</w:t>
            </w:r>
          </w:p>
          <w:p>
            <w:pPr>
              <w:pStyle w:val="14"/>
            </w:pPr>
            <w:r>
              <w:t xml:space="preserve">2.方便群众出行，美化村居环境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村级数量</w:t>
            </w:r>
          </w:p>
        </w:tc>
        <w:tc>
          <w:tcPr>
            <w:tcW w:w="2835" w:type="dxa"/>
            <w:vAlign w:val="center"/>
          </w:tcPr>
          <w:p>
            <w:pPr>
              <w:pStyle w:val="14"/>
            </w:pPr>
            <w:r>
              <w:t>改善村级环境数量</w:t>
            </w:r>
          </w:p>
        </w:tc>
        <w:tc>
          <w:tcPr>
            <w:tcW w:w="2551" w:type="dxa"/>
            <w:vAlign w:val="center"/>
          </w:tcPr>
          <w:p>
            <w:pPr>
              <w:pStyle w:val="14"/>
            </w:pPr>
            <w:r>
              <w:t>≥5个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工程验收合格率</w:t>
            </w:r>
          </w:p>
        </w:tc>
        <w:tc>
          <w:tcPr>
            <w:tcW w:w="2551" w:type="dxa"/>
            <w:vAlign w:val="center"/>
          </w:tcPr>
          <w:p>
            <w:pPr>
              <w:pStyle w:val="14"/>
            </w:pPr>
            <w:r>
              <w:t>≥95%</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项目完成时限</w:t>
            </w:r>
          </w:p>
        </w:tc>
        <w:tc>
          <w:tcPr>
            <w:tcW w:w="2835" w:type="dxa"/>
            <w:vAlign w:val="center"/>
          </w:tcPr>
          <w:p>
            <w:pPr>
              <w:pStyle w:val="14"/>
            </w:pPr>
            <w:r>
              <w:t>项目完成时限</w:t>
            </w:r>
          </w:p>
        </w:tc>
        <w:tc>
          <w:tcPr>
            <w:tcW w:w="2551" w:type="dxa"/>
            <w:vAlign w:val="center"/>
          </w:tcPr>
          <w:p>
            <w:pPr>
              <w:pStyle w:val="14"/>
            </w:pPr>
            <w:r>
              <w:t>2023年12月底完成</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村资金使用成本</w:t>
            </w:r>
          </w:p>
        </w:tc>
        <w:tc>
          <w:tcPr>
            <w:tcW w:w="2551" w:type="dxa"/>
            <w:vAlign w:val="center"/>
          </w:tcPr>
          <w:p>
            <w:pPr>
              <w:pStyle w:val="14"/>
            </w:pPr>
            <w:r>
              <w:t>≤16万元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方便群众、美化环境，得到社会的认可率</w:t>
            </w:r>
          </w:p>
        </w:tc>
        <w:tc>
          <w:tcPr>
            <w:tcW w:w="2551" w:type="dxa"/>
            <w:vAlign w:val="center"/>
          </w:tcPr>
          <w:p>
            <w:pPr>
              <w:pStyle w:val="14"/>
            </w:pPr>
            <w:r>
              <w:t>≥95%</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保障工作顺利进行，维护社会稳定发展</w:t>
            </w:r>
          </w:p>
        </w:tc>
        <w:tc>
          <w:tcPr>
            <w:tcW w:w="2551" w:type="dxa"/>
            <w:vAlign w:val="center"/>
          </w:tcPr>
          <w:p>
            <w:pPr>
              <w:pStyle w:val="14"/>
            </w:pPr>
            <w:r>
              <w:t xml:space="preserve">维护社会稳定 </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4、2023年财政所经费绩效目标表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1.按照工作需要，开展财政所工作，购买办公用品，确保财政各项工作顺利完成。</w:t>
            </w:r>
          </w:p>
          <w:p>
            <w:pPr>
              <w:pStyle w:val="14"/>
            </w:pPr>
            <w:r>
              <w:t>2.对工作的开展，提升财务人员工作水平，起到切实服务大局的作用。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购买办公用品次数</w:t>
            </w:r>
          </w:p>
        </w:tc>
        <w:tc>
          <w:tcPr>
            <w:tcW w:w="2835" w:type="dxa"/>
            <w:vAlign w:val="center"/>
          </w:tcPr>
          <w:p>
            <w:pPr>
              <w:pStyle w:val="14"/>
            </w:pPr>
            <w:r>
              <w:t>购买办公用品次数</w:t>
            </w:r>
          </w:p>
        </w:tc>
        <w:tc>
          <w:tcPr>
            <w:tcW w:w="2551" w:type="dxa"/>
            <w:vAlign w:val="center"/>
          </w:tcPr>
          <w:p>
            <w:pPr>
              <w:pStyle w:val="14"/>
            </w:pPr>
            <w:r>
              <w:t>≥2次</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购买产品的合格率</w:t>
            </w:r>
          </w:p>
        </w:tc>
        <w:tc>
          <w:tcPr>
            <w:tcW w:w="2835" w:type="dxa"/>
            <w:vAlign w:val="center"/>
          </w:tcPr>
          <w:p>
            <w:pPr>
              <w:pStyle w:val="14"/>
            </w:pPr>
            <w:r>
              <w:t>购买产品的合格率</w:t>
            </w:r>
          </w:p>
        </w:tc>
        <w:tc>
          <w:tcPr>
            <w:tcW w:w="2551" w:type="dxa"/>
            <w:vAlign w:val="center"/>
          </w:tcPr>
          <w:p>
            <w:pPr>
              <w:pStyle w:val="14"/>
            </w:pPr>
            <w:r>
              <w:t>≥98%</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 xml:space="preserve">根据年初预算安排，确保资金科学有效使用，按预定时间完成 </w:t>
            </w:r>
          </w:p>
        </w:tc>
        <w:tc>
          <w:tcPr>
            <w:tcW w:w="2551" w:type="dxa"/>
            <w:vAlign w:val="center"/>
          </w:tcPr>
          <w:p>
            <w:pPr>
              <w:pStyle w:val="14"/>
            </w:pPr>
            <w:r>
              <w:t>2023年12月31日完成</w:t>
            </w:r>
          </w:p>
        </w:tc>
        <w:tc>
          <w:tcPr>
            <w:tcW w:w="2268"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经济成本指标</w:t>
            </w:r>
          </w:p>
        </w:tc>
        <w:tc>
          <w:tcPr>
            <w:tcW w:w="2835" w:type="dxa"/>
            <w:vAlign w:val="center"/>
          </w:tcPr>
          <w:p>
            <w:pPr>
              <w:pStyle w:val="14"/>
            </w:pPr>
            <w:r>
              <w:t>每月保证购买物品成本</w:t>
            </w:r>
          </w:p>
        </w:tc>
        <w:tc>
          <w:tcPr>
            <w:tcW w:w="2551" w:type="dxa"/>
            <w:vAlign w:val="center"/>
          </w:tcPr>
          <w:p>
            <w:pPr>
              <w:pStyle w:val="14"/>
            </w:pPr>
            <w:r>
              <w:t>≥1600元</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保证财政所工作正常运转，促进社会稳定</w:t>
            </w:r>
          </w:p>
        </w:tc>
        <w:tc>
          <w:tcPr>
            <w:tcW w:w="2551" w:type="dxa"/>
            <w:vAlign w:val="center"/>
          </w:tcPr>
          <w:p>
            <w:pPr>
              <w:pStyle w:val="14"/>
            </w:pPr>
            <w:r>
              <w:t>保证工作正常运转</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 xml:space="preserve">维护社会稳定 </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基层群众对工作的满意度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5、2023年村级转移支付资金绩效目标表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1.资金及时拨付到位，用于村级日常办公费、水电费、书报费等。</w:t>
            </w:r>
          </w:p>
          <w:p>
            <w:pPr>
              <w:pStyle w:val="14"/>
            </w:pPr>
            <w:r>
              <w:t>2.通过此项工作的开展，确保全乡各村工作的正常运转。</w:t>
            </w:r>
          </w:p>
          <w:p>
            <w:pPr>
              <w:pStyle w:val="14"/>
            </w:pPr>
            <w:r>
              <w:t>3.保证工作正常有序开展。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运转村级数</w:t>
            </w:r>
          </w:p>
        </w:tc>
        <w:tc>
          <w:tcPr>
            <w:tcW w:w="2835" w:type="dxa"/>
            <w:vAlign w:val="center"/>
          </w:tcPr>
          <w:p>
            <w:pPr>
              <w:pStyle w:val="14"/>
            </w:pPr>
            <w:r>
              <w:t>保障村级正常运转的个数</w:t>
            </w:r>
          </w:p>
        </w:tc>
        <w:tc>
          <w:tcPr>
            <w:tcW w:w="2551" w:type="dxa"/>
            <w:vAlign w:val="center"/>
          </w:tcPr>
          <w:p>
            <w:pPr>
              <w:pStyle w:val="14"/>
            </w:pPr>
            <w:r>
              <w:t>≥12个</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村级正常运转率</w:t>
            </w:r>
          </w:p>
        </w:tc>
        <w:tc>
          <w:tcPr>
            <w:tcW w:w="2835" w:type="dxa"/>
            <w:vAlign w:val="center"/>
          </w:tcPr>
          <w:p>
            <w:pPr>
              <w:pStyle w:val="14"/>
            </w:pPr>
            <w:r>
              <w:t>村级正常运转的个数占总数的比率</w:t>
            </w:r>
          </w:p>
        </w:tc>
        <w:tc>
          <w:tcPr>
            <w:tcW w:w="2551" w:type="dxa"/>
            <w:vAlign w:val="center"/>
          </w:tcPr>
          <w:p>
            <w:pPr>
              <w:pStyle w:val="14"/>
            </w:pPr>
            <w:r>
              <w:t>≥98%</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根据年初预算安排，按时完成</w:t>
            </w:r>
          </w:p>
        </w:tc>
        <w:tc>
          <w:tcPr>
            <w:tcW w:w="2551" w:type="dxa"/>
            <w:vAlign w:val="center"/>
          </w:tcPr>
          <w:p>
            <w:pPr>
              <w:pStyle w:val="14"/>
            </w:pPr>
            <w:r>
              <w:t xml:space="preserve">2023年12月31日完成 </w:t>
            </w:r>
          </w:p>
        </w:tc>
        <w:tc>
          <w:tcPr>
            <w:tcW w:w="2268"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经济成本指标</w:t>
            </w:r>
          </w:p>
        </w:tc>
        <w:tc>
          <w:tcPr>
            <w:tcW w:w="2835" w:type="dxa"/>
            <w:vAlign w:val="center"/>
          </w:tcPr>
          <w:p>
            <w:pPr>
              <w:pStyle w:val="14"/>
            </w:pPr>
            <w:r>
              <w:t xml:space="preserve">每村平均发放村级转移支付金额 </w:t>
            </w:r>
          </w:p>
        </w:tc>
        <w:tc>
          <w:tcPr>
            <w:tcW w:w="2551" w:type="dxa"/>
            <w:vAlign w:val="center"/>
          </w:tcPr>
          <w:p>
            <w:pPr>
              <w:pStyle w:val="14"/>
            </w:pPr>
            <w:r>
              <w:t>≤11500元</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保障村级工作顺利开展，改善民生，促进社会稳定。</w:t>
            </w:r>
          </w:p>
        </w:tc>
        <w:tc>
          <w:tcPr>
            <w:tcW w:w="2551" w:type="dxa"/>
            <w:vAlign w:val="center"/>
          </w:tcPr>
          <w:p>
            <w:pPr>
              <w:pStyle w:val="14"/>
            </w:pPr>
            <w:r>
              <w:t>优</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维护各村社会稳定</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该项工作产生一定的影响，基层群众对工作的满意度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6、2023年四术并发症费用 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1.对因实施计划生育政策引发并发症人员进行补贴</w:t>
            </w:r>
          </w:p>
          <w:p>
            <w:pPr>
              <w:pStyle w:val="14"/>
            </w:pPr>
            <w:r>
              <w:t>2.通过此项工作，达到切实服务群众的作用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发放补贴人数</w:t>
            </w:r>
          </w:p>
        </w:tc>
        <w:tc>
          <w:tcPr>
            <w:tcW w:w="2835" w:type="dxa"/>
            <w:vAlign w:val="center"/>
          </w:tcPr>
          <w:p>
            <w:pPr>
              <w:pStyle w:val="14"/>
            </w:pPr>
            <w:r>
              <w:t>发放补贴人数</w:t>
            </w:r>
          </w:p>
        </w:tc>
        <w:tc>
          <w:tcPr>
            <w:tcW w:w="2551" w:type="dxa"/>
            <w:vAlign w:val="center"/>
          </w:tcPr>
          <w:p>
            <w:pPr>
              <w:pStyle w:val="14"/>
            </w:pPr>
            <w:r>
              <w:t>≥2个</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发放比例</w:t>
            </w:r>
          </w:p>
        </w:tc>
        <w:tc>
          <w:tcPr>
            <w:tcW w:w="2835" w:type="dxa"/>
            <w:vAlign w:val="center"/>
          </w:tcPr>
          <w:p>
            <w:pPr>
              <w:pStyle w:val="14"/>
            </w:pPr>
            <w:r>
              <w:t>发放补贴人数完成比例</w:t>
            </w:r>
          </w:p>
        </w:tc>
        <w:tc>
          <w:tcPr>
            <w:tcW w:w="2551" w:type="dxa"/>
            <w:vAlign w:val="center"/>
          </w:tcPr>
          <w:p>
            <w:pPr>
              <w:pStyle w:val="14"/>
            </w:pPr>
            <w:r>
              <w:t>≥98%</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补贴发放时间</w:t>
            </w:r>
          </w:p>
        </w:tc>
        <w:tc>
          <w:tcPr>
            <w:tcW w:w="2835" w:type="dxa"/>
            <w:vAlign w:val="center"/>
          </w:tcPr>
          <w:p>
            <w:pPr>
              <w:pStyle w:val="14"/>
            </w:pPr>
            <w:r>
              <w:t>根据年初预算安排，按时发放补贴</w:t>
            </w:r>
          </w:p>
        </w:tc>
        <w:tc>
          <w:tcPr>
            <w:tcW w:w="2551" w:type="dxa"/>
            <w:vAlign w:val="center"/>
          </w:tcPr>
          <w:p>
            <w:pPr>
              <w:pStyle w:val="14"/>
            </w:pPr>
            <w:r>
              <w:t>2023年12月31日完成</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经济成本指标</w:t>
            </w:r>
          </w:p>
        </w:tc>
        <w:tc>
          <w:tcPr>
            <w:tcW w:w="2835" w:type="dxa"/>
            <w:vAlign w:val="center"/>
          </w:tcPr>
          <w:p>
            <w:pPr>
              <w:pStyle w:val="14"/>
            </w:pPr>
            <w:r>
              <w:t>四术人员每月享受补贴金额</w:t>
            </w:r>
          </w:p>
        </w:tc>
        <w:tc>
          <w:tcPr>
            <w:tcW w:w="2551" w:type="dxa"/>
            <w:vAlign w:val="center"/>
          </w:tcPr>
          <w:p>
            <w:pPr>
              <w:pStyle w:val="14"/>
            </w:pPr>
            <w:r>
              <w:t>≤3000元</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保证四术人员按政策享受补贴，消除信访隐患</w:t>
            </w:r>
          </w:p>
        </w:tc>
        <w:tc>
          <w:tcPr>
            <w:tcW w:w="2551" w:type="dxa"/>
            <w:vAlign w:val="center"/>
          </w:tcPr>
          <w:p>
            <w:pPr>
              <w:pStyle w:val="14"/>
            </w:pPr>
            <w:r>
              <w:t>优</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维护社会稳定 </w:t>
            </w:r>
          </w:p>
        </w:tc>
        <w:tc>
          <w:tcPr>
            <w:tcW w:w="2835" w:type="dxa"/>
            <w:vAlign w:val="center"/>
          </w:tcPr>
          <w:p>
            <w:pPr>
              <w:pStyle w:val="14"/>
            </w:pPr>
            <w:r>
              <w:t>维护社会稳定</w:t>
            </w:r>
          </w:p>
        </w:tc>
        <w:tc>
          <w:tcPr>
            <w:tcW w:w="2551" w:type="dxa"/>
            <w:vAlign w:val="center"/>
          </w:tcPr>
          <w:p>
            <w:pPr>
              <w:pStyle w:val="14"/>
            </w:pPr>
            <w:r>
              <w:t>维护社会稳定</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该项工作产生的一定影响，基层群众对工作的满意度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7、2023年征兵工作经费绩效目标表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1.主要用于征兵工作各项支出，保障征兵工作顺利开展</w:t>
            </w:r>
          </w:p>
          <w:p>
            <w:pPr>
              <w:pStyle w:val="14"/>
            </w:pPr>
            <w:r>
              <w:t xml:space="preserve">2.保障我乡办公、维稳、经济发展等各项事业支出 </w:t>
            </w:r>
          </w:p>
          <w:p>
            <w:pPr>
              <w:pStyle w:val="14"/>
            </w:pPr>
            <w:r>
              <w:t>3.保证工作正常有序开展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完成征兵比率民</w:t>
            </w:r>
          </w:p>
        </w:tc>
        <w:tc>
          <w:tcPr>
            <w:tcW w:w="2835" w:type="dxa"/>
            <w:vAlign w:val="center"/>
          </w:tcPr>
          <w:p>
            <w:pPr>
              <w:pStyle w:val="14"/>
            </w:pPr>
            <w:r>
              <w:t>完成征兵数量占征兵任务数的比例</w:t>
            </w:r>
          </w:p>
        </w:tc>
        <w:tc>
          <w:tcPr>
            <w:tcW w:w="2551" w:type="dxa"/>
            <w:vAlign w:val="center"/>
          </w:tcPr>
          <w:p>
            <w:pPr>
              <w:pStyle w:val="14"/>
            </w:pPr>
            <w:r>
              <w:t>≥95%</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征兵质量</w:t>
            </w:r>
          </w:p>
        </w:tc>
        <w:tc>
          <w:tcPr>
            <w:tcW w:w="2835" w:type="dxa"/>
            <w:vAlign w:val="center"/>
          </w:tcPr>
          <w:p>
            <w:pPr>
              <w:pStyle w:val="14"/>
            </w:pPr>
            <w:r>
              <w:t>所征义务兵的优秀率</w:t>
            </w:r>
          </w:p>
        </w:tc>
        <w:tc>
          <w:tcPr>
            <w:tcW w:w="2551" w:type="dxa"/>
            <w:vAlign w:val="center"/>
          </w:tcPr>
          <w:p>
            <w:pPr>
              <w:pStyle w:val="14"/>
            </w:pPr>
            <w:r>
              <w:t>≥95%</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根据上级要求，按时完成</w:t>
            </w:r>
          </w:p>
        </w:tc>
        <w:tc>
          <w:tcPr>
            <w:tcW w:w="2551" w:type="dxa"/>
            <w:vAlign w:val="center"/>
          </w:tcPr>
          <w:p>
            <w:pPr>
              <w:pStyle w:val="14"/>
            </w:pPr>
            <w:r>
              <w:t>2023年12月31日完成</w:t>
            </w:r>
          </w:p>
        </w:tc>
        <w:tc>
          <w:tcPr>
            <w:tcW w:w="2268"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经济成本指标</w:t>
            </w:r>
          </w:p>
        </w:tc>
        <w:tc>
          <w:tcPr>
            <w:tcW w:w="2835" w:type="dxa"/>
            <w:vAlign w:val="center"/>
          </w:tcPr>
          <w:p>
            <w:pPr>
              <w:pStyle w:val="14"/>
            </w:pPr>
            <w:r>
              <w:t>平均每月所需经费</w:t>
            </w:r>
          </w:p>
        </w:tc>
        <w:tc>
          <w:tcPr>
            <w:tcW w:w="2551" w:type="dxa"/>
            <w:vAlign w:val="center"/>
          </w:tcPr>
          <w:p>
            <w:pPr>
              <w:pStyle w:val="14"/>
            </w:pPr>
            <w:r>
              <w:t>≤2500元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 xml:space="preserve">保障征兵工作顺利开展，促进社会稳定 </w:t>
            </w:r>
          </w:p>
        </w:tc>
        <w:tc>
          <w:tcPr>
            <w:tcW w:w="2551" w:type="dxa"/>
            <w:vAlign w:val="center"/>
          </w:tcPr>
          <w:p>
            <w:pPr>
              <w:pStyle w:val="14"/>
            </w:pPr>
            <w:r>
              <w:t>保障征兵工作顺利开展</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维护社会稳定 </w:t>
            </w:r>
          </w:p>
        </w:tc>
        <w:tc>
          <w:tcPr>
            <w:tcW w:w="2835" w:type="dxa"/>
            <w:vAlign w:val="center"/>
          </w:tcPr>
          <w:p>
            <w:pPr>
              <w:pStyle w:val="14"/>
            </w:pPr>
            <w:r>
              <w:t xml:space="preserve">保障工作顺利进行，维护社会稳定 </w:t>
            </w:r>
          </w:p>
        </w:tc>
        <w:tc>
          <w:tcPr>
            <w:tcW w:w="2551" w:type="dxa"/>
            <w:vAlign w:val="center"/>
          </w:tcPr>
          <w:p>
            <w:pPr>
              <w:pStyle w:val="14"/>
            </w:pPr>
            <w:r>
              <w:t>维护社会稳定</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8、统计专项业务工作经费绩效目标表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1.按照工作需要，开展统计工作，确保统计工作顺利完成</w:t>
            </w:r>
          </w:p>
          <w:p>
            <w:pPr>
              <w:pStyle w:val="14"/>
            </w:pPr>
            <w:r>
              <w:t>2.对工作的开展，提升统计人员工作水平，起到切实服务大局的作用。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购买办公用品次数</w:t>
            </w:r>
          </w:p>
        </w:tc>
        <w:tc>
          <w:tcPr>
            <w:tcW w:w="2835" w:type="dxa"/>
            <w:vAlign w:val="center"/>
          </w:tcPr>
          <w:p>
            <w:pPr>
              <w:pStyle w:val="14"/>
            </w:pPr>
            <w:r>
              <w:t>购买办公用品次数</w:t>
            </w:r>
          </w:p>
        </w:tc>
        <w:tc>
          <w:tcPr>
            <w:tcW w:w="2551" w:type="dxa"/>
            <w:vAlign w:val="center"/>
          </w:tcPr>
          <w:p>
            <w:pPr>
              <w:pStyle w:val="14"/>
            </w:pPr>
            <w:r>
              <w:t>≥2次</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产品合格率</w:t>
            </w:r>
          </w:p>
        </w:tc>
        <w:tc>
          <w:tcPr>
            <w:tcW w:w="2835" w:type="dxa"/>
            <w:vAlign w:val="center"/>
          </w:tcPr>
          <w:p>
            <w:pPr>
              <w:pStyle w:val="14"/>
            </w:pPr>
            <w:r>
              <w:t>购买产品的合格率</w:t>
            </w:r>
          </w:p>
        </w:tc>
        <w:tc>
          <w:tcPr>
            <w:tcW w:w="2551" w:type="dxa"/>
            <w:vAlign w:val="center"/>
          </w:tcPr>
          <w:p>
            <w:pPr>
              <w:pStyle w:val="14"/>
            </w:pPr>
            <w:r>
              <w:t>≥98%</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根据年初预算安排，确保资金科学有效使用</w:t>
            </w:r>
          </w:p>
        </w:tc>
        <w:tc>
          <w:tcPr>
            <w:tcW w:w="2551" w:type="dxa"/>
            <w:vAlign w:val="center"/>
          </w:tcPr>
          <w:p>
            <w:pPr>
              <w:pStyle w:val="14"/>
            </w:pPr>
            <w:r>
              <w:t xml:space="preserve">2023年12月31日完成 </w:t>
            </w:r>
          </w:p>
        </w:tc>
        <w:tc>
          <w:tcPr>
            <w:tcW w:w="2268"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经济成本指标</w:t>
            </w:r>
          </w:p>
        </w:tc>
        <w:tc>
          <w:tcPr>
            <w:tcW w:w="2835" w:type="dxa"/>
            <w:vAlign w:val="center"/>
          </w:tcPr>
          <w:p>
            <w:pPr>
              <w:pStyle w:val="14"/>
            </w:pPr>
            <w:r>
              <w:t>每月保证购买物品成本</w:t>
            </w:r>
          </w:p>
        </w:tc>
        <w:tc>
          <w:tcPr>
            <w:tcW w:w="2551" w:type="dxa"/>
            <w:vAlign w:val="center"/>
          </w:tcPr>
          <w:p>
            <w:pPr>
              <w:pStyle w:val="14"/>
            </w:pPr>
            <w:r>
              <w:t>≤1600元</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保证统计工作正常运转，促进社会稳定</w:t>
            </w:r>
          </w:p>
        </w:tc>
        <w:tc>
          <w:tcPr>
            <w:tcW w:w="2551" w:type="dxa"/>
            <w:vAlign w:val="center"/>
          </w:tcPr>
          <w:p>
            <w:pPr>
              <w:pStyle w:val="14"/>
            </w:pPr>
            <w:r>
              <w:t>优</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维护社会稳定 </w:t>
            </w:r>
          </w:p>
        </w:tc>
        <w:tc>
          <w:tcPr>
            <w:tcW w:w="2835" w:type="dxa"/>
            <w:vAlign w:val="center"/>
          </w:tcPr>
          <w:p>
            <w:pPr>
              <w:pStyle w:val="14"/>
            </w:pPr>
            <w:r>
              <w:t xml:space="preserve">维护社会稳定 </w:t>
            </w:r>
          </w:p>
        </w:tc>
        <w:tc>
          <w:tcPr>
            <w:tcW w:w="2551" w:type="dxa"/>
            <w:vAlign w:val="center"/>
          </w:tcPr>
          <w:p>
            <w:pPr>
              <w:pStyle w:val="14"/>
            </w:pPr>
            <w:r>
              <w:t>优</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基层群众对工作的满意度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9、2023年乡镇体制经费绩效目标表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1.充分调动乡镇经济发展，组织收入积极性</w:t>
            </w:r>
          </w:p>
          <w:p>
            <w:pPr>
              <w:pStyle w:val="14"/>
            </w:pPr>
            <w:r>
              <w:t xml:space="preserve">2.用于保障乡镇办公、维稳、经济发展等各项社会事业支出 </w:t>
            </w:r>
          </w:p>
          <w:p>
            <w:pPr>
              <w:pStyle w:val="14"/>
            </w:pPr>
            <w:r>
              <w:t>3.保障机关工作正常运转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采购次数</w:t>
            </w:r>
          </w:p>
        </w:tc>
        <w:tc>
          <w:tcPr>
            <w:tcW w:w="2835" w:type="dxa"/>
            <w:vAlign w:val="center"/>
          </w:tcPr>
          <w:p>
            <w:pPr>
              <w:pStyle w:val="14"/>
            </w:pPr>
            <w:r>
              <w:t>采购次数</w:t>
            </w:r>
          </w:p>
        </w:tc>
        <w:tc>
          <w:tcPr>
            <w:tcW w:w="2551" w:type="dxa"/>
            <w:vAlign w:val="center"/>
          </w:tcPr>
          <w:p>
            <w:pPr>
              <w:pStyle w:val="14"/>
            </w:pPr>
            <w:r>
              <w:t>≥30次</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维稳次数</w:t>
            </w:r>
          </w:p>
        </w:tc>
        <w:tc>
          <w:tcPr>
            <w:tcW w:w="2835" w:type="dxa"/>
            <w:vAlign w:val="center"/>
          </w:tcPr>
          <w:p>
            <w:pPr>
              <w:pStyle w:val="14"/>
            </w:pPr>
            <w:r>
              <w:t>维稳次数</w:t>
            </w:r>
          </w:p>
        </w:tc>
        <w:tc>
          <w:tcPr>
            <w:tcW w:w="2551" w:type="dxa"/>
            <w:vAlign w:val="center"/>
          </w:tcPr>
          <w:p>
            <w:pPr>
              <w:pStyle w:val="14"/>
            </w:pPr>
            <w:r>
              <w:t>≥20次</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工作完成质量</w:t>
            </w:r>
          </w:p>
        </w:tc>
        <w:tc>
          <w:tcPr>
            <w:tcW w:w="2835" w:type="dxa"/>
            <w:vAlign w:val="center"/>
          </w:tcPr>
          <w:p>
            <w:pPr>
              <w:pStyle w:val="14"/>
            </w:pPr>
            <w:r>
              <w:t>完成工作占全年比</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根据年初预算安排，确保资金科学有效使用，按时完成</w:t>
            </w:r>
          </w:p>
        </w:tc>
        <w:tc>
          <w:tcPr>
            <w:tcW w:w="2551" w:type="dxa"/>
            <w:vAlign w:val="center"/>
          </w:tcPr>
          <w:p>
            <w:pPr>
              <w:pStyle w:val="14"/>
            </w:pPr>
            <w:r>
              <w:t>2023年12月31日完成</w:t>
            </w:r>
          </w:p>
        </w:tc>
        <w:tc>
          <w:tcPr>
            <w:tcW w:w="2268"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经济成本指标</w:t>
            </w:r>
          </w:p>
        </w:tc>
        <w:tc>
          <w:tcPr>
            <w:tcW w:w="2835" w:type="dxa"/>
            <w:vAlign w:val="center"/>
          </w:tcPr>
          <w:p>
            <w:pPr>
              <w:pStyle w:val="14"/>
            </w:pPr>
            <w:r>
              <w:t>每月购买物品成本</w:t>
            </w:r>
          </w:p>
        </w:tc>
        <w:tc>
          <w:tcPr>
            <w:tcW w:w="2551" w:type="dxa"/>
            <w:vAlign w:val="center"/>
          </w:tcPr>
          <w:p>
            <w:pPr>
              <w:pStyle w:val="14"/>
            </w:pPr>
            <w:r>
              <w:t>≤60000元</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用于信访稳定、补充办公经费，保障机关正常运转，得到的认可程度</w:t>
            </w:r>
          </w:p>
        </w:tc>
        <w:tc>
          <w:tcPr>
            <w:tcW w:w="2551" w:type="dxa"/>
            <w:vAlign w:val="center"/>
          </w:tcPr>
          <w:p>
            <w:pPr>
              <w:pStyle w:val="14"/>
            </w:pPr>
            <w:r>
              <w:t>优</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维护社会稳定 </w:t>
            </w:r>
          </w:p>
        </w:tc>
        <w:tc>
          <w:tcPr>
            <w:tcW w:w="2835" w:type="dxa"/>
            <w:vAlign w:val="center"/>
          </w:tcPr>
          <w:p>
            <w:pPr>
              <w:pStyle w:val="14"/>
            </w:pPr>
            <w:r>
              <w:t>维护社会稳定</w:t>
            </w:r>
          </w:p>
        </w:tc>
        <w:tc>
          <w:tcPr>
            <w:tcW w:w="2551" w:type="dxa"/>
            <w:vAlign w:val="center"/>
          </w:tcPr>
          <w:p>
            <w:pPr>
              <w:pStyle w:val="14"/>
            </w:pPr>
            <w:r>
              <w:t>优</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基层群众对工作的满意度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10、北大树绿化租地费绩效目标表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1.资金按时拨付到位，用于被租地的补偿</w:t>
            </w:r>
          </w:p>
          <w:p>
            <w:pPr>
              <w:pStyle w:val="14"/>
            </w:pPr>
            <w:r>
              <w:t>2.通过此项工作的开展，切实达到服务群众的作用</w:t>
            </w:r>
          </w:p>
          <w:p>
            <w:pPr>
              <w:pStyle w:val="14"/>
            </w:pPr>
            <w:r>
              <w:t>3.消除信访隐患，维持社会稳定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发放亩数</w:t>
            </w:r>
          </w:p>
        </w:tc>
        <w:tc>
          <w:tcPr>
            <w:tcW w:w="2835" w:type="dxa"/>
            <w:vAlign w:val="center"/>
          </w:tcPr>
          <w:p>
            <w:pPr>
              <w:pStyle w:val="14"/>
            </w:pPr>
            <w:r>
              <w:t>租地费发放亩数</w:t>
            </w:r>
          </w:p>
        </w:tc>
        <w:tc>
          <w:tcPr>
            <w:tcW w:w="2551" w:type="dxa"/>
            <w:vAlign w:val="center"/>
          </w:tcPr>
          <w:p>
            <w:pPr>
              <w:pStyle w:val="14"/>
            </w:pPr>
            <w:r>
              <w:t>≥33.6亩</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发放比例</w:t>
            </w:r>
          </w:p>
        </w:tc>
        <w:tc>
          <w:tcPr>
            <w:tcW w:w="2835" w:type="dxa"/>
            <w:vAlign w:val="center"/>
          </w:tcPr>
          <w:p>
            <w:pPr>
              <w:pStyle w:val="14"/>
            </w:pPr>
            <w:r>
              <w:t>发放补偿完成比例</w:t>
            </w:r>
          </w:p>
        </w:tc>
        <w:tc>
          <w:tcPr>
            <w:tcW w:w="2551" w:type="dxa"/>
            <w:vAlign w:val="center"/>
          </w:tcPr>
          <w:p>
            <w:pPr>
              <w:pStyle w:val="14"/>
            </w:pPr>
            <w:r>
              <w:t>≥98%</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w:t>
            </w:r>
          </w:p>
        </w:tc>
        <w:tc>
          <w:tcPr>
            <w:tcW w:w="2835" w:type="dxa"/>
            <w:vAlign w:val="center"/>
          </w:tcPr>
          <w:p>
            <w:pPr>
              <w:pStyle w:val="14"/>
            </w:pPr>
            <w:r>
              <w:t>保证及时发放绿化租地费</w:t>
            </w:r>
          </w:p>
        </w:tc>
        <w:tc>
          <w:tcPr>
            <w:tcW w:w="2551" w:type="dxa"/>
            <w:vAlign w:val="center"/>
          </w:tcPr>
          <w:p>
            <w:pPr>
              <w:pStyle w:val="14"/>
            </w:pPr>
            <w:r>
              <w:t>2023年12月31日完成</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每年每亩地补偿标准</w:t>
            </w:r>
          </w:p>
        </w:tc>
        <w:tc>
          <w:tcPr>
            <w:tcW w:w="2835" w:type="dxa"/>
            <w:vAlign w:val="center"/>
          </w:tcPr>
          <w:p>
            <w:pPr>
              <w:pStyle w:val="14"/>
            </w:pPr>
            <w:r>
              <w:t xml:space="preserve">每亩被租地的补偿金额 </w:t>
            </w:r>
          </w:p>
        </w:tc>
        <w:tc>
          <w:tcPr>
            <w:tcW w:w="2551" w:type="dxa"/>
            <w:vAlign w:val="center"/>
          </w:tcPr>
          <w:p>
            <w:pPr>
              <w:pStyle w:val="14"/>
            </w:pPr>
            <w:r>
              <w:t>≤1200元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保证被租地户及时得到补偿，消除信访隐患。</w:t>
            </w:r>
          </w:p>
        </w:tc>
        <w:tc>
          <w:tcPr>
            <w:tcW w:w="2551" w:type="dxa"/>
            <w:vAlign w:val="center"/>
          </w:tcPr>
          <w:p>
            <w:pPr>
              <w:pStyle w:val="14"/>
            </w:pPr>
            <w:r>
              <w:t>优</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维护社会稳定 </w:t>
            </w:r>
          </w:p>
        </w:tc>
        <w:tc>
          <w:tcPr>
            <w:tcW w:w="2835" w:type="dxa"/>
            <w:vAlign w:val="center"/>
          </w:tcPr>
          <w:p>
            <w:pPr>
              <w:pStyle w:val="14"/>
            </w:pPr>
            <w:r>
              <w:t>维护社会稳定</w:t>
            </w:r>
          </w:p>
        </w:tc>
        <w:tc>
          <w:tcPr>
            <w:tcW w:w="2551" w:type="dxa"/>
            <w:vAlign w:val="center"/>
          </w:tcPr>
          <w:p>
            <w:pPr>
              <w:pStyle w:val="14"/>
            </w:pPr>
            <w:r>
              <w:t>优</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0" w:name="_Toc_3_3_0000000015"/>
      <w:r>
        <w:rPr>
          <w:rFonts w:ascii="黑体" w:hAnsi="黑体" w:eastAsia="黑体" w:cs="黑体"/>
          <w:color w:val="000000"/>
          <w:sz w:val="32"/>
        </w:rPr>
        <w:t>六、政府采购预算情况</w:t>
      </w:r>
      <w:bookmarkEnd w:id="10"/>
    </w:p>
    <w:p>
      <w:pPr>
        <w:spacing w:before="0" w:after="0" w:line="500" w:lineRule="exact"/>
        <w:ind w:firstLine="560"/>
        <w:jc w:val="left"/>
        <w:outlineLvl w:val="9"/>
      </w:pPr>
      <w:r>
        <w:rPr>
          <w:rFonts w:ascii="Times New Roman" w:hAnsi="Times New Roman" w:eastAsia="方正仿宋_GBK" w:cs="Times New Roman"/>
          <w:b w:val="0"/>
          <w:color w:val="000000"/>
          <w:sz w:val="28"/>
        </w:rPr>
        <w:t>2023年，丰润区刘家营乡人民政府安排政府采购预算0.00万元。具体内容见下表。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489丰润区刘家营乡人民政府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1" w:name="_Toc_3_3_0000000016"/>
      <w:r>
        <w:rPr>
          <w:rFonts w:ascii="黑体" w:hAnsi="黑体" w:eastAsia="黑体" w:cs="黑体"/>
          <w:color w:val="000000"/>
          <w:sz w:val="32"/>
        </w:rPr>
        <w:t>七、国有资产信息</w:t>
      </w:r>
      <w:bookmarkEnd w:id="11"/>
    </w:p>
    <w:p>
      <w:pPr>
        <w:snapToGrid w:val="0"/>
        <w:spacing w:line="588" w:lineRule="exact"/>
        <w:ind w:firstLine="640" w:firstLineChars="200"/>
        <w:rPr>
          <w:rFonts w:hint="eastAsia" w:ascii="仿宋" w:hAnsi="仿宋" w:eastAsia="仿宋" w:cs="仿宋"/>
          <w:sz w:val="32"/>
          <w:szCs w:val="32"/>
        </w:rPr>
      </w:pPr>
      <w:r>
        <w:rPr>
          <w:rFonts w:hint="eastAsia" w:ascii="仿宋" w:hAnsi="仿宋" w:eastAsia="仿宋" w:cs="仿宋"/>
          <w:b w:val="0"/>
          <w:color w:val="000000"/>
          <w:sz w:val="32"/>
          <w:szCs w:val="32"/>
        </w:rPr>
        <w:t>丰润区刘家营乡人民政府（含所属单位）</w:t>
      </w:r>
      <w:r>
        <w:rPr>
          <w:rFonts w:hint="eastAsia" w:ascii="仿宋" w:hAnsi="仿宋" w:eastAsia="仿宋" w:cs="仿宋"/>
          <w:b w:val="0"/>
          <w:color w:val="000000"/>
          <w:sz w:val="32"/>
          <w:szCs w:val="32"/>
          <w:lang w:val="en-US" w:eastAsia="zh-CN"/>
        </w:rPr>
        <w:t>2022年底</w:t>
      </w:r>
      <w:r>
        <w:rPr>
          <w:rFonts w:hint="eastAsia" w:ascii="仿宋" w:hAnsi="仿宋" w:eastAsia="仿宋" w:cs="仿宋"/>
          <w:b w:val="0"/>
          <w:color w:val="000000"/>
          <w:sz w:val="32"/>
          <w:szCs w:val="32"/>
        </w:rPr>
        <w:t>固定资产</w:t>
      </w:r>
      <w:r>
        <w:rPr>
          <w:rFonts w:hint="eastAsia" w:ascii="仿宋" w:hAnsi="仿宋" w:eastAsia="仿宋" w:cs="仿宋"/>
          <w:b w:val="0"/>
          <w:color w:val="000000"/>
          <w:sz w:val="32"/>
          <w:szCs w:val="32"/>
          <w:lang w:eastAsia="zh-CN"/>
        </w:rPr>
        <w:t>原值</w:t>
      </w:r>
      <w:r>
        <w:rPr>
          <w:rFonts w:hint="eastAsia" w:ascii="仿宋" w:hAnsi="仿宋" w:eastAsia="仿宋" w:cs="仿宋"/>
          <w:b w:val="0"/>
          <w:color w:val="000000"/>
          <w:sz w:val="32"/>
          <w:szCs w:val="32"/>
        </w:rPr>
        <w:t>为</w:t>
      </w:r>
      <w:r>
        <w:rPr>
          <w:rFonts w:hint="eastAsia" w:ascii="仿宋" w:hAnsi="仿宋" w:eastAsia="仿宋" w:cs="仿宋"/>
          <w:b w:val="0"/>
          <w:color w:val="000000"/>
          <w:sz w:val="32"/>
          <w:szCs w:val="32"/>
          <w:lang w:val="en-US" w:eastAsia="zh-CN"/>
        </w:rPr>
        <w:t>281.62</w:t>
      </w:r>
      <w:r>
        <w:rPr>
          <w:rFonts w:hint="eastAsia" w:ascii="仿宋" w:hAnsi="仿宋" w:eastAsia="仿宋" w:cs="仿宋"/>
          <w:b w:val="0"/>
          <w:color w:val="000000"/>
          <w:sz w:val="32"/>
          <w:szCs w:val="32"/>
        </w:rPr>
        <w:t>万元（详见下表）。</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年底固定资产原值</w:t>
      </w:r>
      <w:r>
        <w:rPr>
          <w:rFonts w:hint="eastAsia" w:ascii="仿宋" w:hAnsi="仿宋" w:eastAsia="仿宋" w:cs="仿宋"/>
          <w:sz w:val="32"/>
          <w:szCs w:val="32"/>
          <w:lang w:val="en-US" w:eastAsia="zh-CN"/>
        </w:rPr>
        <w:t>269.08</w:t>
      </w:r>
      <w:r>
        <w:rPr>
          <w:rFonts w:hint="eastAsia" w:ascii="仿宋" w:hAnsi="仿宋" w:eastAsia="仿宋" w:cs="仿宋"/>
          <w:sz w:val="32"/>
          <w:szCs w:val="32"/>
        </w:rPr>
        <w:t>万元，其中房屋及建筑物</w:t>
      </w:r>
      <w:r>
        <w:rPr>
          <w:rFonts w:hint="eastAsia" w:ascii="仿宋" w:hAnsi="仿宋" w:eastAsia="仿宋" w:cs="仿宋"/>
          <w:sz w:val="32"/>
          <w:szCs w:val="32"/>
          <w:lang w:val="en-US" w:eastAsia="zh-CN"/>
        </w:rPr>
        <w:t>101.64</w:t>
      </w:r>
      <w:r>
        <w:rPr>
          <w:rFonts w:hint="eastAsia" w:ascii="仿宋" w:hAnsi="仿宋" w:eastAsia="仿宋" w:cs="仿宋"/>
          <w:sz w:val="32"/>
          <w:szCs w:val="32"/>
        </w:rPr>
        <w:t>万元，车辆</w:t>
      </w:r>
      <w:r>
        <w:rPr>
          <w:rFonts w:hint="eastAsia" w:ascii="仿宋" w:hAnsi="仿宋" w:eastAsia="仿宋" w:cs="仿宋"/>
          <w:sz w:val="32"/>
          <w:szCs w:val="32"/>
          <w:lang w:val="en-US" w:eastAsia="zh-CN"/>
        </w:rPr>
        <w:t>7</w:t>
      </w:r>
      <w:r>
        <w:rPr>
          <w:rFonts w:hint="eastAsia" w:ascii="仿宋" w:hAnsi="仿宋" w:eastAsia="仿宋" w:cs="仿宋"/>
          <w:sz w:val="32"/>
          <w:szCs w:val="32"/>
        </w:rPr>
        <w:t>.08万元，其他通用设备、家具、用具等</w:t>
      </w:r>
      <w:r>
        <w:rPr>
          <w:rFonts w:hint="eastAsia" w:ascii="仿宋" w:hAnsi="仿宋" w:eastAsia="仿宋" w:cs="仿宋"/>
          <w:sz w:val="32"/>
          <w:szCs w:val="32"/>
          <w:lang w:val="en-US" w:eastAsia="zh-CN"/>
        </w:rPr>
        <w:t>172.9</w:t>
      </w:r>
      <w:r>
        <w:rPr>
          <w:rFonts w:hint="eastAsia" w:ascii="仿宋" w:hAnsi="仿宋" w:eastAsia="仿宋" w:cs="仿宋"/>
          <w:sz w:val="32"/>
          <w:szCs w:val="32"/>
        </w:rPr>
        <w:t>万元。</w:t>
      </w:r>
    </w:p>
    <w:p>
      <w:pPr>
        <w:snapToGrid w:val="0"/>
        <w:spacing w:line="588" w:lineRule="exact"/>
        <w:ind w:firstLine="640" w:firstLineChars="200"/>
        <w:rPr>
          <w:rFonts w:hint="eastAsia" w:ascii="仿宋" w:hAnsi="仿宋" w:eastAsia="仿宋" w:cs="仿宋"/>
          <w:b w:val="0"/>
          <w:bCs w:val="0"/>
          <w:sz w:val="32"/>
          <w:szCs w:val="32"/>
        </w:rPr>
      </w:pPr>
      <w:r>
        <w:rPr>
          <w:rFonts w:hint="eastAsia" w:ascii="仿宋" w:hAnsi="仿宋" w:eastAsia="仿宋" w:cs="仿宋"/>
          <w:sz w:val="32"/>
          <w:szCs w:val="32"/>
        </w:rPr>
        <w:t>比20</w:t>
      </w:r>
      <w:r>
        <w:rPr>
          <w:rFonts w:hint="eastAsia" w:ascii="仿宋" w:hAnsi="仿宋" w:eastAsia="仿宋" w:cs="仿宋"/>
          <w:sz w:val="32"/>
          <w:szCs w:val="32"/>
          <w:lang w:val="en-US" w:eastAsia="zh-CN"/>
        </w:rPr>
        <w:t>20</w:t>
      </w:r>
      <w:r>
        <w:rPr>
          <w:rFonts w:hint="eastAsia" w:ascii="仿宋" w:hAnsi="仿宋" w:eastAsia="仿宋" w:cs="仿宋"/>
          <w:sz w:val="32"/>
          <w:szCs w:val="32"/>
        </w:rPr>
        <w:t>年固定资产原值</w:t>
      </w:r>
      <w:r>
        <w:rPr>
          <w:rFonts w:hint="eastAsia" w:ascii="仿宋" w:hAnsi="仿宋" w:eastAsia="仿宋" w:cs="仿宋"/>
          <w:sz w:val="32"/>
          <w:szCs w:val="32"/>
          <w:lang w:val="en-US" w:eastAsia="zh-CN"/>
        </w:rPr>
        <w:t>269.08</w:t>
      </w:r>
      <w:r>
        <w:rPr>
          <w:rFonts w:hint="eastAsia" w:ascii="仿宋" w:hAnsi="仿宋" w:eastAsia="仿宋" w:cs="仿宋"/>
          <w:sz w:val="32"/>
          <w:szCs w:val="32"/>
        </w:rPr>
        <w:t>万元，增加了</w:t>
      </w:r>
      <w:r>
        <w:rPr>
          <w:rFonts w:hint="eastAsia" w:ascii="仿宋" w:hAnsi="仿宋" w:eastAsia="仿宋" w:cs="仿宋"/>
          <w:sz w:val="32"/>
          <w:szCs w:val="32"/>
          <w:lang w:val="en-US" w:eastAsia="zh-CN"/>
        </w:rPr>
        <w:t>15.54</w:t>
      </w:r>
      <w:r>
        <w:rPr>
          <w:rFonts w:hint="eastAsia" w:ascii="仿宋" w:hAnsi="仿宋" w:eastAsia="仿宋" w:cs="仿宋"/>
          <w:sz w:val="32"/>
          <w:szCs w:val="32"/>
        </w:rPr>
        <w:t>万元，主要是正常办公需要增加固定资产。</w:t>
      </w:r>
      <w:r>
        <w:rPr>
          <w:rFonts w:hint="eastAsia" w:ascii="仿宋" w:hAnsi="仿宋" w:eastAsia="仿宋" w:cs="仿宋"/>
          <w:b w:val="0"/>
          <w:bCs w:val="0"/>
          <w:color w:val="000000"/>
          <w:sz w:val="32"/>
          <w:szCs w:val="32"/>
        </w:rPr>
        <w:t>本年度拟购置固定资产总额为0.00万元。</w:t>
      </w:r>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p>
          <w:p>
            <w:pPr>
              <w:pStyle w:val="11"/>
            </w:pPr>
          </w:p>
          <w:p>
            <w:pPr>
              <w:pStyle w:val="11"/>
            </w:pPr>
          </w:p>
          <w:p>
            <w:pPr>
              <w:pStyle w:val="11"/>
            </w:pPr>
            <w:r>
              <w:t>489丰润区刘家营乡人民政府</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4933" w:type="dxa"/>
            <w:tcBorders>
              <w:bottom w:val="single" w:color="auto" w:sz="4" w:space="0"/>
            </w:tcBorders>
            <w:vAlign w:val="center"/>
          </w:tcPr>
          <w:p>
            <w:pPr>
              <w:widowControl/>
              <w:jc w:val="center"/>
              <w:rPr>
                <w:rFonts w:ascii="Times New Roman" w:hAnsi="Times New Roman" w:eastAsia="仿宋" w:cstheme="minorBidi"/>
                <w:kern w:val="0"/>
                <w:sz w:val="22"/>
                <w:szCs w:val="24"/>
                <w:lang w:val="en-US" w:eastAsia="uk-UA" w:bidi="ar-SA"/>
              </w:rPr>
            </w:pPr>
            <w:r>
              <w:rPr>
                <w:rFonts w:eastAsia="仿宋"/>
                <w:kern w:val="0"/>
                <w:sz w:val="22"/>
              </w:rPr>
              <w:t>资产总额</w:t>
            </w:r>
          </w:p>
        </w:tc>
        <w:tc>
          <w:tcPr>
            <w:tcW w:w="4933" w:type="dxa"/>
            <w:tcBorders>
              <w:bottom w:val="single" w:color="auto" w:sz="4" w:space="0"/>
            </w:tcBorders>
            <w:vAlign w:val="center"/>
          </w:tcPr>
          <w:p>
            <w:pPr>
              <w:widowControl/>
              <w:jc w:val="center"/>
              <w:rPr>
                <w:rFonts w:hint="eastAsia" w:ascii="Times New Roman" w:hAnsi="Times New Roman" w:eastAsia="仿宋" w:cstheme="minorBidi"/>
                <w:kern w:val="0"/>
                <w:sz w:val="22"/>
                <w:szCs w:val="24"/>
                <w:lang w:val="en-US" w:eastAsia="uk-UA" w:bidi="ar-SA"/>
              </w:rPr>
            </w:pPr>
            <w:r>
              <w:rPr>
                <w:rFonts w:eastAsia="仿宋"/>
                <w:kern w:val="0"/>
                <w:sz w:val="22"/>
              </w:rPr>
              <w:t>——</w:t>
            </w:r>
          </w:p>
        </w:tc>
        <w:tc>
          <w:tcPr>
            <w:tcW w:w="4933" w:type="dxa"/>
            <w:tcBorders>
              <w:bottom w:val="single" w:color="auto" w:sz="4" w:space="0"/>
            </w:tcBorders>
            <w:vAlign w:val="center"/>
          </w:tcPr>
          <w:p>
            <w:pPr>
              <w:widowControl/>
              <w:jc w:val="center"/>
              <w:rPr>
                <w:rFonts w:hint="default" w:ascii="Times New Roman" w:hAnsi="Times New Roman" w:eastAsia="仿宋" w:cstheme="minorBidi"/>
                <w:kern w:val="0"/>
                <w:sz w:val="22"/>
                <w:szCs w:val="24"/>
                <w:lang w:val="en-US" w:eastAsia="zh-CN" w:bidi="ar-SA"/>
              </w:rPr>
            </w:pPr>
            <w:r>
              <w:rPr>
                <w:rFonts w:hint="eastAsia" w:eastAsia="仿宋"/>
                <w:kern w:val="0"/>
                <w:sz w:val="22"/>
                <w:lang w:val="en-US" w:eastAsia="zh-CN"/>
              </w:rPr>
              <w:t>281.62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4933" w:type="dxa"/>
            <w:tcBorders>
              <w:bottom w:val="single" w:color="auto" w:sz="4" w:space="0"/>
            </w:tcBorders>
            <w:vAlign w:val="center"/>
          </w:tcPr>
          <w:p>
            <w:pPr>
              <w:widowControl/>
              <w:jc w:val="left"/>
              <w:rPr>
                <w:rFonts w:hint="eastAsia" w:ascii="Times New Roman" w:hAnsi="Times New Roman" w:eastAsia="仿宋" w:cstheme="minorBidi"/>
                <w:kern w:val="0"/>
                <w:sz w:val="22"/>
                <w:szCs w:val="24"/>
                <w:lang w:val="en-US" w:eastAsia="zh-CN" w:bidi="ar-SA"/>
              </w:rPr>
            </w:pPr>
            <w:r>
              <w:rPr>
                <w:rFonts w:eastAsia="仿宋"/>
                <w:kern w:val="0"/>
                <w:sz w:val="22"/>
              </w:rPr>
              <w:t>1、房屋（平方米）</w:t>
            </w:r>
          </w:p>
        </w:tc>
        <w:tc>
          <w:tcPr>
            <w:tcW w:w="4933" w:type="dxa"/>
            <w:tcBorders>
              <w:bottom w:val="single" w:color="auto" w:sz="4" w:space="0"/>
            </w:tcBorders>
            <w:vAlign w:val="center"/>
          </w:tcPr>
          <w:p>
            <w:pPr>
              <w:widowControl/>
              <w:jc w:val="center"/>
              <w:rPr>
                <w:rFonts w:hint="eastAsia" w:ascii="Times New Roman" w:hAnsi="Times New Roman" w:eastAsia="仿宋" w:cstheme="minorBidi"/>
                <w:kern w:val="0"/>
                <w:sz w:val="22"/>
                <w:szCs w:val="24"/>
                <w:lang w:val="en-US" w:eastAsia="zh-CN" w:bidi="ar-SA"/>
              </w:rPr>
            </w:pPr>
            <w:r>
              <w:rPr>
                <w:rFonts w:hint="eastAsia" w:eastAsia="仿宋"/>
                <w:kern w:val="0"/>
                <w:sz w:val="22"/>
              </w:rPr>
              <w:t>2672</w:t>
            </w:r>
          </w:p>
        </w:tc>
        <w:tc>
          <w:tcPr>
            <w:tcW w:w="4933" w:type="dxa"/>
            <w:tcBorders>
              <w:bottom w:val="single" w:color="auto" w:sz="4" w:space="0"/>
            </w:tcBorders>
            <w:vAlign w:val="center"/>
          </w:tcPr>
          <w:p>
            <w:pPr>
              <w:widowControl/>
              <w:jc w:val="center"/>
              <w:rPr>
                <w:rFonts w:hint="default" w:ascii="Times New Roman" w:hAnsi="Times New Roman" w:eastAsia="仿宋" w:cstheme="minorBidi"/>
                <w:kern w:val="0"/>
                <w:sz w:val="22"/>
                <w:szCs w:val="24"/>
                <w:lang w:val="en-US" w:eastAsia="zh-CN" w:bidi="ar-SA"/>
              </w:rPr>
            </w:pPr>
            <w:r>
              <w:rPr>
                <w:rFonts w:hint="eastAsia" w:eastAsia="仿宋"/>
                <w:kern w:val="0"/>
                <w:sz w:val="22"/>
                <w:lang w:val="en-US" w:eastAsia="zh-CN"/>
              </w:rPr>
              <w:t>101.64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4933" w:type="dxa"/>
            <w:tcBorders>
              <w:top w:val="single" w:color="auto" w:sz="4" w:space="0"/>
              <w:bottom w:val="single" w:color="auto" w:sz="4" w:space="0"/>
            </w:tcBorders>
            <w:vAlign w:val="center"/>
          </w:tcPr>
          <w:p>
            <w:pPr>
              <w:widowControl/>
              <w:jc w:val="left"/>
              <w:rPr>
                <w:rFonts w:hint="eastAsia" w:ascii="Times New Roman" w:hAnsi="Times New Roman" w:eastAsia="仿宋" w:cstheme="minorBidi"/>
                <w:kern w:val="0"/>
                <w:sz w:val="22"/>
                <w:szCs w:val="24"/>
                <w:lang w:val="en-US" w:eastAsia="zh-CN" w:bidi="ar-SA"/>
              </w:rPr>
            </w:pPr>
            <w:r>
              <w:rPr>
                <w:rFonts w:eastAsia="仿宋"/>
                <w:kern w:val="0"/>
                <w:sz w:val="22"/>
              </w:rPr>
              <w:t>其中：办公用房（平方米）</w:t>
            </w:r>
          </w:p>
        </w:tc>
        <w:tc>
          <w:tcPr>
            <w:tcW w:w="4933" w:type="dxa"/>
            <w:tcBorders>
              <w:top w:val="single" w:color="auto" w:sz="4" w:space="0"/>
              <w:bottom w:val="single" w:color="auto" w:sz="4" w:space="0"/>
            </w:tcBorders>
            <w:vAlign w:val="center"/>
          </w:tcPr>
          <w:p>
            <w:pPr>
              <w:widowControl/>
              <w:jc w:val="center"/>
              <w:rPr>
                <w:rFonts w:hint="default" w:ascii="Times New Roman" w:hAnsi="Times New Roman" w:eastAsia="仿宋" w:cstheme="minorBidi"/>
                <w:kern w:val="0"/>
                <w:sz w:val="22"/>
                <w:szCs w:val="24"/>
                <w:lang w:val="en-US" w:eastAsia="zh-CN" w:bidi="ar-SA"/>
              </w:rPr>
            </w:pPr>
            <w:r>
              <w:rPr>
                <w:rFonts w:hint="eastAsia" w:eastAsia="仿宋"/>
                <w:kern w:val="0"/>
                <w:sz w:val="22"/>
              </w:rPr>
              <w:t>2672</w:t>
            </w:r>
          </w:p>
        </w:tc>
        <w:tc>
          <w:tcPr>
            <w:tcW w:w="4933" w:type="dxa"/>
            <w:tcBorders>
              <w:top w:val="single" w:color="auto" w:sz="4" w:space="0"/>
              <w:bottom w:val="single" w:color="auto" w:sz="4" w:space="0"/>
            </w:tcBorders>
            <w:vAlign w:val="center"/>
          </w:tcPr>
          <w:p>
            <w:pPr>
              <w:widowControl/>
              <w:jc w:val="center"/>
              <w:rPr>
                <w:rFonts w:hint="default" w:ascii="Times New Roman" w:hAnsi="Times New Roman" w:eastAsia="仿宋" w:cstheme="minorBidi"/>
                <w:kern w:val="0"/>
                <w:sz w:val="22"/>
                <w:szCs w:val="24"/>
                <w:lang w:val="en-US" w:eastAsia="zh-CN" w:bidi="ar-SA"/>
              </w:rPr>
            </w:pPr>
            <w:r>
              <w:rPr>
                <w:rFonts w:hint="eastAsia" w:eastAsia="仿宋"/>
                <w:kern w:val="0"/>
                <w:sz w:val="22"/>
                <w:lang w:val="en-US" w:eastAsia="zh-CN"/>
              </w:rPr>
              <w:t>101.64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4933" w:type="dxa"/>
            <w:tcBorders>
              <w:top w:val="single" w:color="auto" w:sz="4" w:space="0"/>
              <w:bottom w:val="single" w:color="auto" w:sz="4" w:space="0"/>
            </w:tcBorders>
            <w:vAlign w:val="center"/>
          </w:tcPr>
          <w:p>
            <w:pPr>
              <w:widowControl/>
              <w:jc w:val="left"/>
              <w:rPr>
                <w:rFonts w:hint="eastAsia" w:ascii="Times New Roman" w:hAnsi="Times New Roman" w:eastAsia="仿宋" w:cstheme="minorBidi"/>
                <w:kern w:val="0"/>
                <w:sz w:val="22"/>
                <w:szCs w:val="24"/>
                <w:lang w:val="en-US" w:eastAsia="zh-CN" w:bidi="ar-SA"/>
              </w:rPr>
            </w:pPr>
            <w:r>
              <w:rPr>
                <w:rFonts w:eastAsia="仿宋"/>
                <w:kern w:val="0"/>
                <w:sz w:val="22"/>
              </w:rPr>
              <w:t>2、车辆（台、辆）</w:t>
            </w:r>
          </w:p>
        </w:tc>
        <w:tc>
          <w:tcPr>
            <w:tcW w:w="4933" w:type="dxa"/>
            <w:tcBorders>
              <w:top w:val="single" w:color="auto" w:sz="4" w:space="0"/>
              <w:bottom w:val="single" w:color="auto" w:sz="4" w:space="0"/>
            </w:tcBorders>
            <w:vAlign w:val="center"/>
          </w:tcPr>
          <w:p>
            <w:pPr>
              <w:widowControl/>
              <w:jc w:val="center"/>
              <w:rPr>
                <w:rFonts w:hint="eastAsia" w:ascii="Times New Roman" w:hAnsi="Times New Roman" w:eastAsia="仿宋" w:cstheme="minorBidi"/>
                <w:kern w:val="0"/>
                <w:sz w:val="22"/>
                <w:szCs w:val="24"/>
                <w:lang w:val="en-US" w:eastAsia="zh-CN" w:bidi="ar-SA"/>
              </w:rPr>
            </w:pPr>
            <w:r>
              <w:rPr>
                <w:rFonts w:hint="eastAsia" w:eastAsia="仿宋"/>
                <w:kern w:val="0"/>
                <w:sz w:val="22"/>
                <w:lang w:val="en-US" w:eastAsia="zh-CN"/>
              </w:rPr>
              <w:t>1</w:t>
            </w:r>
          </w:p>
        </w:tc>
        <w:tc>
          <w:tcPr>
            <w:tcW w:w="4933" w:type="dxa"/>
            <w:tcBorders>
              <w:top w:val="single" w:color="auto" w:sz="4" w:space="0"/>
              <w:bottom w:val="single" w:color="auto" w:sz="4" w:space="0"/>
            </w:tcBorders>
            <w:vAlign w:val="center"/>
          </w:tcPr>
          <w:p>
            <w:pPr>
              <w:widowControl/>
              <w:jc w:val="center"/>
              <w:rPr>
                <w:rFonts w:hint="default" w:ascii="Times New Roman" w:hAnsi="Times New Roman" w:eastAsia="仿宋" w:cstheme="minorBidi"/>
                <w:kern w:val="0"/>
                <w:sz w:val="22"/>
                <w:szCs w:val="24"/>
                <w:lang w:val="en-US" w:eastAsia="zh-CN" w:bidi="ar-SA"/>
              </w:rPr>
            </w:pPr>
            <w:r>
              <w:rPr>
                <w:rFonts w:hint="eastAsia" w:eastAsia="仿宋"/>
                <w:kern w:val="0"/>
                <w:sz w:val="22"/>
                <w:lang w:val="en-US" w:eastAsia="zh-CN"/>
              </w:rPr>
              <w:t>7</w:t>
            </w:r>
            <w:r>
              <w:rPr>
                <w:rFonts w:hint="eastAsia" w:eastAsia="仿宋"/>
                <w:kern w:val="0"/>
                <w:sz w:val="22"/>
              </w:rPr>
              <w:t>.08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4933" w:type="dxa"/>
            <w:tcBorders>
              <w:top w:val="single" w:color="auto" w:sz="4" w:space="0"/>
              <w:bottom w:val="single" w:color="auto" w:sz="4" w:space="0"/>
            </w:tcBorders>
            <w:vAlign w:val="center"/>
          </w:tcPr>
          <w:p>
            <w:pPr>
              <w:widowControl/>
              <w:jc w:val="left"/>
              <w:rPr>
                <w:rFonts w:hint="eastAsia" w:ascii="Times New Roman" w:hAnsi="Times New Roman" w:eastAsia="仿宋" w:cstheme="minorBidi"/>
                <w:kern w:val="0"/>
                <w:sz w:val="22"/>
                <w:szCs w:val="24"/>
                <w:lang w:val="en-US" w:eastAsia="zh-CN" w:bidi="ar-SA"/>
              </w:rPr>
            </w:pPr>
            <w:r>
              <w:rPr>
                <w:rFonts w:eastAsia="仿宋"/>
                <w:kern w:val="0"/>
                <w:sz w:val="22"/>
              </w:rPr>
              <w:t>3、单价在20万元以上设备</w:t>
            </w:r>
          </w:p>
        </w:tc>
        <w:tc>
          <w:tcPr>
            <w:tcW w:w="4933" w:type="dxa"/>
            <w:tcBorders>
              <w:top w:val="single" w:color="auto" w:sz="4" w:space="0"/>
              <w:bottom w:val="single" w:color="auto" w:sz="4" w:space="0"/>
            </w:tcBorders>
            <w:vAlign w:val="center"/>
          </w:tcPr>
          <w:p>
            <w:pPr>
              <w:widowControl/>
              <w:jc w:val="center"/>
              <w:rPr>
                <w:rFonts w:hint="eastAsia" w:ascii="Times New Roman" w:hAnsi="Times New Roman" w:eastAsia="仿宋" w:cstheme="minorBidi"/>
                <w:kern w:val="0"/>
                <w:sz w:val="22"/>
                <w:szCs w:val="24"/>
                <w:lang w:val="en-US" w:eastAsia="zh-CN" w:bidi="ar-SA"/>
              </w:rPr>
            </w:pPr>
            <w:r>
              <w:rPr>
                <w:rFonts w:eastAsia="仿宋"/>
                <w:kern w:val="0"/>
                <w:sz w:val="22"/>
              </w:rPr>
              <w:t>——</w:t>
            </w:r>
          </w:p>
        </w:tc>
        <w:tc>
          <w:tcPr>
            <w:tcW w:w="4933" w:type="dxa"/>
            <w:tcBorders>
              <w:top w:val="single" w:color="auto" w:sz="4" w:space="0"/>
              <w:bottom w:val="single" w:color="auto" w:sz="4" w:space="0"/>
            </w:tcBorders>
            <w:vAlign w:val="center"/>
          </w:tcPr>
          <w:p>
            <w:pPr>
              <w:widowControl/>
              <w:jc w:val="center"/>
              <w:rPr>
                <w:rFonts w:hint="default" w:ascii="Times New Roman" w:hAnsi="Times New Roman" w:eastAsia="仿宋" w:cstheme="minorBidi"/>
                <w:kern w:val="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4933" w:type="dxa"/>
            <w:tcBorders>
              <w:top w:val="single" w:color="auto" w:sz="4" w:space="0"/>
              <w:bottom w:val="single" w:color="auto" w:sz="4" w:space="0"/>
            </w:tcBorders>
            <w:vAlign w:val="center"/>
          </w:tcPr>
          <w:p>
            <w:pPr>
              <w:widowControl/>
              <w:jc w:val="left"/>
              <w:rPr>
                <w:rFonts w:hint="eastAsia" w:ascii="Times New Roman" w:hAnsi="Times New Roman" w:eastAsia="仿宋" w:cstheme="minorBidi"/>
                <w:kern w:val="0"/>
                <w:sz w:val="22"/>
                <w:szCs w:val="24"/>
                <w:lang w:val="en-US" w:eastAsia="zh-CN" w:bidi="ar-SA"/>
              </w:rPr>
            </w:pPr>
            <w:r>
              <w:rPr>
                <w:rFonts w:eastAsia="仿宋"/>
                <w:kern w:val="0"/>
                <w:sz w:val="22"/>
              </w:rPr>
              <w:t>4、其他固定资产</w:t>
            </w:r>
          </w:p>
        </w:tc>
        <w:tc>
          <w:tcPr>
            <w:tcW w:w="4933" w:type="dxa"/>
            <w:tcBorders>
              <w:top w:val="single" w:color="auto" w:sz="4" w:space="0"/>
              <w:bottom w:val="single" w:color="auto" w:sz="4" w:space="0"/>
            </w:tcBorders>
            <w:vAlign w:val="center"/>
          </w:tcPr>
          <w:p>
            <w:pPr>
              <w:widowControl/>
              <w:jc w:val="center"/>
              <w:rPr>
                <w:rFonts w:hint="default" w:ascii="Times New Roman" w:hAnsi="Times New Roman" w:eastAsia="仿宋" w:cstheme="minorBidi"/>
                <w:kern w:val="0"/>
                <w:sz w:val="22"/>
                <w:szCs w:val="24"/>
                <w:lang w:val="en-US" w:eastAsia="zh-CN" w:bidi="ar-SA"/>
              </w:rPr>
            </w:pPr>
            <w:r>
              <w:rPr>
                <w:rFonts w:eastAsia="仿宋"/>
                <w:kern w:val="0"/>
                <w:sz w:val="22"/>
              </w:rPr>
              <w:t>——</w:t>
            </w:r>
          </w:p>
        </w:tc>
        <w:tc>
          <w:tcPr>
            <w:tcW w:w="4933" w:type="dxa"/>
            <w:tcBorders>
              <w:top w:val="single" w:color="auto" w:sz="4" w:space="0"/>
              <w:bottom w:val="single" w:color="auto" w:sz="4" w:space="0"/>
            </w:tcBorders>
            <w:vAlign w:val="center"/>
          </w:tcPr>
          <w:p>
            <w:pPr>
              <w:widowControl/>
              <w:jc w:val="center"/>
              <w:rPr>
                <w:rFonts w:hint="default" w:ascii="Times New Roman" w:hAnsi="Times New Roman" w:eastAsia="仿宋" w:cstheme="minorBidi"/>
                <w:kern w:val="0"/>
                <w:sz w:val="22"/>
                <w:szCs w:val="24"/>
                <w:lang w:val="en-US" w:eastAsia="zh-CN" w:bidi="ar-SA"/>
              </w:rPr>
            </w:pPr>
            <w:r>
              <w:rPr>
                <w:rFonts w:hint="eastAsia" w:eastAsia="仿宋" w:cstheme="minorBidi"/>
                <w:kern w:val="0"/>
                <w:sz w:val="22"/>
                <w:szCs w:val="24"/>
                <w:lang w:val="en-US" w:eastAsia="zh-CN" w:bidi="ar-SA"/>
              </w:rPr>
              <w:t>172.9</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2" w:name="_Toc_3_3_0000000017"/>
      <w:r>
        <w:rPr>
          <w:rFonts w:ascii="黑体" w:hAnsi="黑体" w:eastAsia="黑体" w:cs="黑体"/>
          <w:color w:val="000000"/>
          <w:sz w:val="32"/>
        </w:rPr>
        <w:t>八、名词解释</w:t>
      </w:r>
      <w:bookmarkEnd w:id="12"/>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中央或区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3" w:name="_Toc_3_3_0000000018"/>
      <w:r>
        <w:rPr>
          <w:rFonts w:ascii="黑体" w:hAnsi="黑体" w:eastAsia="黑体" w:cs="黑体"/>
          <w:color w:val="000000"/>
          <w:sz w:val="32"/>
        </w:rPr>
        <w:t>九、其他需要说明的事项</w:t>
      </w:r>
      <w:bookmarkEnd w:id="13"/>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lhMjUzZjhhNWUyNGQ5ZjczYTM3YTYyMTNiNDVlZWIifQ=="/>
  </w:docVars>
  <w:rsids>
    <w:rsidRoot w:val="00000000"/>
    <w:rsid w:val="004062CE"/>
    <w:rsid w:val="02A660C8"/>
    <w:rsid w:val="06523298"/>
    <w:rsid w:val="0ED74673"/>
    <w:rsid w:val="125F53A6"/>
    <w:rsid w:val="198354B3"/>
    <w:rsid w:val="2369111C"/>
    <w:rsid w:val="266F6F74"/>
    <w:rsid w:val="2A1C2CB5"/>
    <w:rsid w:val="2A7D380C"/>
    <w:rsid w:val="2F640D23"/>
    <w:rsid w:val="311B46BF"/>
    <w:rsid w:val="377E2351"/>
    <w:rsid w:val="43E45C35"/>
    <w:rsid w:val="447A039F"/>
    <w:rsid w:val="49A7357A"/>
    <w:rsid w:val="53477A3F"/>
    <w:rsid w:val="54137FFD"/>
    <w:rsid w:val="5DA8782E"/>
    <w:rsid w:val="64D5366F"/>
    <w:rsid w:val="68E41480"/>
    <w:rsid w:val="69853081"/>
    <w:rsid w:val="744B56A6"/>
    <w:rsid w:val="7CDC31AB"/>
    <w:rsid w:val="7E1179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6" Type="http://schemas.openxmlformats.org/officeDocument/2006/relationships/fontTable" Target="fontTable.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2023-03-09T10:09:13Z</dcterms:created>
  <dcterms:modified xsi:type="dcterms:W3CDTF">2023-03-09T02:09:13Z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2023-03-09T10:09:22Z</dcterms:created>
  <dcterms:modified xsi:type="dcterms:W3CDTF">2023-03-09T02:09:22Z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2023-03-09T10:09:22Z</dcterms:created>
  <dcterms:modified xsi:type="dcterms:W3CDTF">2023-03-09T02:09:22Z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2023-03-09T10:09:22Z</dcterms:created>
  <dcterms:modified xsi:type="dcterms:W3CDTF">2023-03-09T02:09:22Z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2023-03-09T10:09:22Z</dcterms:created>
  <dcterms:modified xsi:type="dcterms:W3CDTF">2023-03-09T02:09:22Z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2023-03-09T10:09:21Z</dcterms:created>
  <dcterms:modified xsi:type="dcterms:W3CDTF">2023-03-09T02:09:21Z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2023-03-09T10:09:21Z</dcterms:created>
  <dcterms:modified xsi:type="dcterms:W3CDTF">2023-03-09T02:09:21Z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2023-03-09T10:09:21Z</dcterms:created>
  <dcterms:modified xsi:type="dcterms:W3CDTF">2023-03-09T02:09:21Z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2023-03-09T10:09:21Z</dcterms:created>
  <dcterms:modified xsi:type="dcterms:W3CDTF">2023-03-09T02:09:21Z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2023-03-09T10:09:12Z</dcterms:created>
  <dcterms:modified xsi:type="dcterms:W3CDTF">2023-03-09T02:09:12Z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2023-03-09T10:09:21Z</dcterms:created>
  <dcterms:modified xsi:type="dcterms:W3CDTF">2023-03-09T02:09:21Z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2023-03-09T10:09:13Z</dcterms:created>
  <dcterms:modified xsi:type="dcterms:W3CDTF">2023-03-09T02:09:13Z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2023-03-09T10:09:19Z</dcterms:created>
  <dcterms:modified xsi:type="dcterms:W3CDTF">2023-03-09T02:09:19Z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2023-03-09T10:09:15Z</dcterms:created>
  <dcterms:modified xsi:type="dcterms:W3CDTF">2023-03-09T02:09:15Z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2023-03-09T10:09:14Z</dcterms:created>
  <dcterms:modified xsi:type="dcterms:W3CDTF">2023-03-09T02:09:14Z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2023-03-09T10:09:14Z</dcterms:created>
  <dcterms:modified xsi:type="dcterms:W3CDTF">2023-03-09T02:09:14Z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2023-03-09T10:09:14Z</dcterms:created>
  <dcterms:modified xsi:type="dcterms:W3CDTF">2023-03-09T02:09:14Z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2023-03-09T10:09:14Z</dcterms:created>
  <dcterms:modified xsi:type="dcterms:W3CDTF">2023-03-09T02:09:14Z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2023-03-09T10:09:14Z</dcterms:created>
  <dcterms:modified xsi:type="dcterms:W3CDTF">2023-03-09T02:09:14Z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2023-03-09T10:09:13Z</dcterms:created>
  <dcterms:modified xsi:type="dcterms:W3CDTF">2023-03-09T02:09:13Z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2023-03-09T10:09:13Z</dcterms:created>
  <dcterms:modified xsi:type="dcterms:W3CDTF">2023-03-09T02:09:13Z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2023-03-09T10:09:10Z</dcterms:created>
  <dcterms:modified xsi:type="dcterms:W3CDTF">2023-03-09T02:09:10Z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2023-03-09T10:09:13Z</dcterms:created>
  <dcterms:modified xsi:type="dcterms:W3CDTF">2023-03-09T02:09:13Z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2023-03-09T10:09:23Z</dcterms:created>
  <dcterms:modified xsi:type="dcterms:W3CDTF">2023-03-09T02:09:23Z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2023-03-09T10:09:22Z</dcterms:created>
  <dcterms:modified xsi:type="dcterms:W3CDTF">2023-03-09T02:09:22Z</dcterms:modified>
</cp:coreProperties>
</file>

<file path=customXml/itemProps1.xml><?xml version="1.0" encoding="utf-8"?>
<ds:datastoreItem xmlns:ds="http://schemas.openxmlformats.org/officeDocument/2006/customXml" ds:itemID="{60e7e09e-51b9-4cb1-92f7-0062bf439316}">
  <ds:schemaRefs/>
</ds:datastoreItem>
</file>

<file path=customXml/itemProps10.xml><?xml version="1.0" encoding="utf-8"?>
<ds:datastoreItem xmlns:ds="http://schemas.openxmlformats.org/officeDocument/2006/customXml" ds:itemID="{be1dd185-e339-4ded-a091-42f748b09096}">
  <ds:schemaRefs/>
</ds:datastoreItem>
</file>

<file path=customXml/itemProps11.xml><?xml version="1.0" encoding="utf-8"?>
<ds:datastoreItem xmlns:ds="http://schemas.openxmlformats.org/officeDocument/2006/customXml" ds:itemID="{df8ba37c-a71e-4d72-8a4d-5f2b5018d1e6}">
  <ds:schemaRefs/>
</ds:datastoreItem>
</file>

<file path=customXml/itemProps12.xml><?xml version="1.0" encoding="utf-8"?>
<ds:datastoreItem xmlns:ds="http://schemas.openxmlformats.org/officeDocument/2006/customXml" ds:itemID="{ab4aeba7-1ba6-4898-b812-b8384c3ef7bc}">
  <ds:schemaRefs/>
</ds:datastoreItem>
</file>

<file path=customXml/itemProps13.xml><?xml version="1.0" encoding="utf-8"?>
<ds:datastoreItem xmlns:ds="http://schemas.openxmlformats.org/officeDocument/2006/customXml" ds:itemID="{30f83fd6-43aa-43ad-9aac-18b172b9fe81}">
  <ds:schemaRefs/>
</ds:datastoreItem>
</file>

<file path=customXml/itemProps14.xml><?xml version="1.0" encoding="utf-8"?>
<ds:datastoreItem xmlns:ds="http://schemas.openxmlformats.org/officeDocument/2006/customXml" ds:itemID="{a4246b89-ddd0-4d57-bc7b-a54c040009d3}">
  <ds:schemaRefs/>
</ds:datastoreItem>
</file>

<file path=customXml/itemProps15.xml><?xml version="1.0" encoding="utf-8"?>
<ds:datastoreItem xmlns:ds="http://schemas.openxmlformats.org/officeDocument/2006/customXml" ds:itemID="{5baa4efe-e611-4c33-a36a-110bcbf8b26f}">
  <ds:schemaRefs/>
</ds:datastoreItem>
</file>

<file path=customXml/itemProps16.xml><?xml version="1.0" encoding="utf-8"?>
<ds:datastoreItem xmlns:ds="http://schemas.openxmlformats.org/officeDocument/2006/customXml" ds:itemID="{c531260a-a008-4742-9155-9a098b20e7c0}">
  <ds:schemaRefs/>
</ds:datastoreItem>
</file>

<file path=customXml/itemProps17.xml><?xml version="1.0" encoding="utf-8"?>
<ds:datastoreItem xmlns:ds="http://schemas.openxmlformats.org/officeDocument/2006/customXml" ds:itemID="{71bd7b6f-5011-4e31-a34e-d6d5fdb89438}">
  <ds:schemaRefs/>
</ds:datastoreItem>
</file>

<file path=customXml/itemProps18.xml><?xml version="1.0" encoding="utf-8"?>
<ds:datastoreItem xmlns:ds="http://schemas.openxmlformats.org/officeDocument/2006/customXml" ds:itemID="{74663932-4cb0-4e7a-9a67-ac5048a81606}">
  <ds:schemaRefs/>
</ds:datastoreItem>
</file>

<file path=customXml/itemProps19.xml><?xml version="1.0" encoding="utf-8"?>
<ds:datastoreItem xmlns:ds="http://schemas.openxmlformats.org/officeDocument/2006/customXml" ds:itemID="{b13f55ba-9efd-4a91-a300-8f561e38a6d9}">
  <ds:schemaRefs/>
</ds:datastoreItem>
</file>

<file path=customXml/itemProps2.xml><?xml version="1.0" encoding="utf-8"?>
<ds:datastoreItem xmlns:ds="http://schemas.openxmlformats.org/officeDocument/2006/customXml" ds:itemID="{90066997-5708-47b1-af9a-895a754b57dd}">
  <ds:schemaRefs/>
</ds:datastoreItem>
</file>

<file path=customXml/itemProps20.xml><?xml version="1.0" encoding="utf-8"?>
<ds:datastoreItem xmlns:ds="http://schemas.openxmlformats.org/officeDocument/2006/customXml" ds:itemID="{96d33cb5-3222-4531-9e4b-d57e7b784bd3}">
  <ds:schemaRefs/>
</ds:datastoreItem>
</file>

<file path=customXml/itemProps21.xml><?xml version="1.0" encoding="utf-8"?>
<ds:datastoreItem xmlns:ds="http://schemas.openxmlformats.org/officeDocument/2006/customXml" ds:itemID="{b5c089c4-fc9d-43cb-b39f-c20999916ecc}">
  <ds:schemaRefs/>
</ds:datastoreItem>
</file>

<file path=customXml/itemProps22.xml><?xml version="1.0" encoding="utf-8"?>
<ds:datastoreItem xmlns:ds="http://schemas.openxmlformats.org/officeDocument/2006/customXml" ds:itemID="{b25a15c0-0d2b-407a-b4f9-f5d2b776c31b}">
  <ds:schemaRefs/>
</ds:datastoreItem>
</file>

<file path=customXml/itemProps23.xml><?xml version="1.0" encoding="utf-8"?>
<ds:datastoreItem xmlns:ds="http://schemas.openxmlformats.org/officeDocument/2006/customXml" ds:itemID="{1334d173-73f8-4f6d-a4a5-1d3f1ccef788}">
  <ds:schemaRefs/>
</ds:datastoreItem>
</file>

<file path=customXml/itemProps24.xml><?xml version="1.0" encoding="utf-8"?>
<ds:datastoreItem xmlns:ds="http://schemas.openxmlformats.org/officeDocument/2006/customXml" ds:itemID="{d0736559-68c7-4793-a3dd-2857307c9484}">
  <ds:schemaRefs/>
</ds:datastoreItem>
</file>

<file path=customXml/itemProps25.xml><?xml version="1.0" encoding="utf-8"?>
<ds:datastoreItem xmlns:ds="http://schemas.openxmlformats.org/officeDocument/2006/customXml" ds:itemID="{ed83142e-45bc-4afd-af97-7dd1df9205b9}">
  <ds:schemaRefs/>
</ds:datastoreItem>
</file>

<file path=customXml/itemProps26.xml><?xml version="1.0" encoding="utf-8"?>
<ds:datastoreItem xmlns:ds="http://schemas.openxmlformats.org/officeDocument/2006/customXml" ds:itemID="{db14e244-8e3f-4ea2-addb-c942b455402d}">
  <ds:schemaRefs/>
</ds:datastoreItem>
</file>

<file path=customXml/itemProps27.xml><?xml version="1.0" encoding="utf-8"?>
<ds:datastoreItem xmlns:ds="http://schemas.openxmlformats.org/officeDocument/2006/customXml" ds:itemID="{cca6c97d-f593-4841-8df3-989527115a83}">
  <ds:schemaRefs/>
</ds:datastoreItem>
</file>

<file path=customXml/itemProps28.xml><?xml version="1.0" encoding="utf-8"?>
<ds:datastoreItem xmlns:ds="http://schemas.openxmlformats.org/officeDocument/2006/customXml" ds:itemID="{4e5889df-4523-433c-8d7b-c65ca86074e5}">
  <ds:schemaRefs/>
</ds:datastoreItem>
</file>

<file path=customXml/itemProps29.xml><?xml version="1.0" encoding="utf-8"?>
<ds:datastoreItem xmlns:ds="http://schemas.openxmlformats.org/officeDocument/2006/customXml" ds:itemID="{eb053637-05e9-48fd-bb1e-4851484c6c67}">
  <ds:schemaRefs/>
</ds:datastoreItem>
</file>

<file path=customXml/itemProps3.xml><?xml version="1.0" encoding="utf-8"?>
<ds:datastoreItem xmlns:ds="http://schemas.openxmlformats.org/officeDocument/2006/customXml" ds:itemID="{a9909542-32cc-4634-8068-60545da2b078}">
  <ds:schemaRefs/>
</ds:datastoreItem>
</file>

<file path=customXml/itemProps30.xml><?xml version="1.0" encoding="utf-8"?>
<ds:datastoreItem xmlns:ds="http://schemas.openxmlformats.org/officeDocument/2006/customXml" ds:itemID="{52af6984-9eaa-428d-a00d-bb94ad4ca6ca}">
  <ds:schemaRefs/>
</ds:datastoreItem>
</file>

<file path=customXml/itemProps31.xml><?xml version="1.0" encoding="utf-8"?>
<ds:datastoreItem xmlns:ds="http://schemas.openxmlformats.org/officeDocument/2006/customXml" ds:itemID="{11b613c1-23a7-4bca-be0d-539872e3dd52}">
  <ds:schemaRefs/>
</ds:datastoreItem>
</file>

<file path=customXml/itemProps32.xml><?xml version="1.0" encoding="utf-8"?>
<ds:datastoreItem xmlns:ds="http://schemas.openxmlformats.org/officeDocument/2006/customXml" ds:itemID="{3c1249ea-514c-4c37-9d3d-ce988e00cc11}">
  <ds:schemaRefs/>
</ds:datastoreItem>
</file>

<file path=customXml/itemProps33.xml><?xml version="1.0" encoding="utf-8"?>
<ds:datastoreItem xmlns:ds="http://schemas.openxmlformats.org/officeDocument/2006/customXml" ds:itemID="{2b23963b-ad58-4ae9-8948-8153cb5c349e}">
  <ds:schemaRefs/>
</ds:datastoreItem>
</file>

<file path=customXml/itemProps34.xml><?xml version="1.0" encoding="utf-8"?>
<ds:datastoreItem xmlns:ds="http://schemas.openxmlformats.org/officeDocument/2006/customXml" ds:itemID="{243afb4e-c7a7-4f4a-95e9-e36008fd7424}">
  <ds:schemaRefs/>
</ds:datastoreItem>
</file>

<file path=customXml/itemProps35.xml><?xml version="1.0" encoding="utf-8"?>
<ds:datastoreItem xmlns:ds="http://schemas.openxmlformats.org/officeDocument/2006/customXml" ds:itemID="{d54901cf-7bb4-4505-900c-92f3f737e79f}">
  <ds:schemaRefs/>
</ds:datastoreItem>
</file>

<file path=customXml/itemProps36.xml><?xml version="1.0" encoding="utf-8"?>
<ds:datastoreItem xmlns:ds="http://schemas.openxmlformats.org/officeDocument/2006/customXml" ds:itemID="{99f5d097-5d86-44b6-860d-81ed3126735f}">
  <ds:schemaRefs/>
</ds:datastoreItem>
</file>

<file path=customXml/itemProps37.xml><?xml version="1.0" encoding="utf-8"?>
<ds:datastoreItem xmlns:ds="http://schemas.openxmlformats.org/officeDocument/2006/customXml" ds:itemID="{f0b20dd2-17a9-4b13-a89c-35539538f7e6}">
  <ds:schemaRefs/>
</ds:datastoreItem>
</file>

<file path=customXml/itemProps38.xml><?xml version="1.0" encoding="utf-8"?>
<ds:datastoreItem xmlns:ds="http://schemas.openxmlformats.org/officeDocument/2006/customXml" ds:itemID="{02e6adca-c330-49db-903b-8608ddbe518d}">
  <ds:schemaRefs/>
</ds:datastoreItem>
</file>

<file path=customXml/itemProps39.xml><?xml version="1.0" encoding="utf-8"?>
<ds:datastoreItem xmlns:ds="http://schemas.openxmlformats.org/officeDocument/2006/customXml" ds:itemID="{d89b04c9-4fe7-47a6-8626-a3290c8d400b}">
  <ds:schemaRefs/>
</ds:datastoreItem>
</file>

<file path=customXml/itemProps4.xml><?xml version="1.0" encoding="utf-8"?>
<ds:datastoreItem xmlns:ds="http://schemas.openxmlformats.org/officeDocument/2006/customXml" ds:itemID="{573650eb-18b2-4072-af22-6145e9538135}">
  <ds:schemaRefs/>
</ds:datastoreItem>
</file>

<file path=customXml/itemProps40.xml><?xml version="1.0" encoding="utf-8"?>
<ds:datastoreItem xmlns:ds="http://schemas.openxmlformats.org/officeDocument/2006/customXml" ds:itemID="{f8d60465-142f-4e7d-9a33-2ee9260ea7ce}">
  <ds:schemaRefs/>
</ds:datastoreItem>
</file>

<file path=customXml/itemProps41.xml><?xml version="1.0" encoding="utf-8"?>
<ds:datastoreItem xmlns:ds="http://schemas.openxmlformats.org/officeDocument/2006/customXml" ds:itemID="{0b838da5-3e68-4bbf-80e6-90f4aa9e0e19}">
  <ds:schemaRefs/>
</ds:datastoreItem>
</file>

<file path=customXml/itemProps42.xml><?xml version="1.0" encoding="utf-8"?>
<ds:datastoreItem xmlns:ds="http://schemas.openxmlformats.org/officeDocument/2006/customXml" ds:itemID="{17ca9b0c-e516-4915-8f8e-b1a6f1e310a3}">
  <ds:schemaRefs/>
</ds:datastoreItem>
</file>

<file path=customXml/itemProps43.xml><?xml version="1.0" encoding="utf-8"?>
<ds:datastoreItem xmlns:ds="http://schemas.openxmlformats.org/officeDocument/2006/customXml" ds:itemID="{21a45dc2-c351-406d-aeaf-fe0d58eb3fea}">
  <ds:schemaRefs/>
</ds:datastoreItem>
</file>

<file path=customXml/itemProps44.xml><?xml version="1.0" encoding="utf-8"?>
<ds:datastoreItem xmlns:ds="http://schemas.openxmlformats.org/officeDocument/2006/customXml" ds:itemID="{ccd54e6b-c18f-4b86-92ad-15ae183d71e3}">
  <ds:schemaRefs/>
</ds:datastoreItem>
</file>

<file path=customXml/itemProps45.xml><?xml version="1.0" encoding="utf-8"?>
<ds:datastoreItem xmlns:ds="http://schemas.openxmlformats.org/officeDocument/2006/customXml" ds:itemID="{10cfa58f-7dce-4d37-81e4-095a58bbfead}">
  <ds:schemaRefs/>
</ds:datastoreItem>
</file>

<file path=customXml/itemProps46.xml><?xml version="1.0" encoding="utf-8"?>
<ds:datastoreItem xmlns:ds="http://schemas.openxmlformats.org/officeDocument/2006/customXml" ds:itemID="{4c9538f7-de2b-4957-a25c-140f7f7846c6}">
  <ds:schemaRefs/>
</ds:datastoreItem>
</file>

<file path=customXml/itemProps47.xml><?xml version="1.0" encoding="utf-8"?>
<ds:datastoreItem xmlns:ds="http://schemas.openxmlformats.org/officeDocument/2006/customXml" ds:itemID="{0214d10e-618a-45eb-8685-bc4b76a9cf4f}">
  <ds:schemaRefs/>
</ds:datastoreItem>
</file>

<file path=customXml/itemProps48.xml><?xml version="1.0" encoding="utf-8"?>
<ds:datastoreItem xmlns:ds="http://schemas.openxmlformats.org/officeDocument/2006/customXml" ds:itemID="{09f5dc38-7acf-4fd4-8847-4d04fd3e1cdc}">
  <ds:schemaRefs/>
</ds:datastoreItem>
</file>

<file path=customXml/itemProps49.xml><?xml version="1.0" encoding="utf-8"?>
<ds:datastoreItem xmlns:ds="http://schemas.openxmlformats.org/officeDocument/2006/customXml" ds:itemID="{3de1eca9-8b7e-4b8d-943a-4b92b832005b}">
  <ds:schemaRefs/>
</ds:datastoreItem>
</file>

<file path=customXml/itemProps5.xml><?xml version="1.0" encoding="utf-8"?>
<ds:datastoreItem xmlns:ds="http://schemas.openxmlformats.org/officeDocument/2006/customXml" ds:itemID="{40bd2cee-c680-46b5-9072-6b54ea0e084f}">
  <ds:schemaRefs/>
</ds:datastoreItem>
</file>

<file path=customXml/itemProps50.xml><?xml version="1.0" encoding="utf-8"?>
<ds:datastoreItem xmlns:ds="http://schemas.openxmlformats.org/officeDocument/2006/customXml" ds:itemID="{5dc97d65-52aa-4cf0-a088-47aaf93c09a3}">
  <ds:schemaRefs/>
</ds:datastoreItem>
</file>

<file path=customXml/itemProps6.xml><?xml version="1.0" encoding="utf-8"?>
<ds:datastoreItem xmlns:ds="http://schemas.openxmlformats.org/officeDocument/2006/customXml" ds:itemID="{287c1364-e602-4ad1-85b4-e300bed0202d}">
  <ds:schemaRefs/>
</ds:datastoreItem>
</file>

<file path=customXml/itemProps7.xml><?xml version="1.0" encoding="utf-8"?>
<ds:datastoreItem xmlns:ds="http://schemas.openxmlformats.org/officeDocument/2006/customXml" ds:itemID="{baf8fc5c-a18f-40c8-81eb-1a254e39103a}">
  <ds:schemaRefs/>
</ds:datastoreItem>
</file>

<file path=customXml/itemProps8.xml><?xml version="1.0" encoding="utf-8"?>
<ds:datastoreItem xmlns:ds="http://schemas.openxmlformats.org/officeDocument/2006/customXml" ds:itemID="{c3be4e5b-322d-4b09-858c-32e8427717a9}">
  <ds:schemaRefs/>
</ds:datastoreItem>
</file>

<file path=customXml/itemProps9.xml><?xml version="1.0" encoding="utf-8"?>
<ds:datastoreItem xmlns:ds="http://schemas.openxmlformats.org/officeDocument/2006/customXml" ds:itemID="{81495ce2-de5a-4d12-bc9f-811c84e42fc5}">
  <ds:schemaRefs/>
</ds:datastoreItem>
</file>

<file path=docProps/app.xml><?xml version="1.0" encoding="utf-8"?>
<Properties xmlns="http://schemas.openxmlformats.org/officeDocument/2006/extended-properties" xmlns:vt="http://schemas.openxmlformats.org/officeDocument/2006/docPropsVTypes">
  <Pages>94</Pages>
  <Words>19296</Words>
  <Characters>22814</Characters>
  <TotalTime>12</TotalTime>
  <ScaleCrop>false</ScaleCrop>
  <LinksUpToDate>false</LinksUpToDate>
  <CharactersWithSpaces>23243</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2023-03-09T10:09:00Z</dcterms:created>
  <dc:creator>Administrator</dc:creator>
  <cp:lastModifiedBy>谷淑新</cp:lastModifiedBy>
  <dcterms:modified xsi:type="dcterms:W3CDTF">2024-03-19T01:18:10Z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E3D9959D623642C48494FCA627EB8DF6</vt:lpwstr>
  </property>
</Properties>
</file>