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楷体_GBK" w:hAnsi="方正楷体_GBK"/>
          <w:b/>
          <w:bCs/>
          <w:sz w:val="44"/>
          <w:szCs w:val="44"/>
        </w:rPr>
      </w:pPr>
      <w:bookmarkStart w:id="8" w:name="_GoBack"/>
      <w:bookmarkEnd w:id="8"/>
      <w:r>
        <w:rPr>
          <w:rFonts w:hint="eastAsia" w:ascii="方正楷体_GBK" w:hAnsi="方正楷体_GBK"/>
          <w:b/>
          <w:bCs/>
          <w:sz w:val="44"/>
          <w:szCs w:val="44"/>
        </w:rPr>
        <w:t>唐山市丰润区泉河头镇人民</w:t>
      </w:r>
    </w:p>
    <w:p>
      <w:pPr>
        <w:widowControl/>
        <w:jc w:val="center"/>
        <w:rPr>
          <w:rFonts w:ascii="方正楷体_GBK" w:hAnsi="方正楷体_GBK"/>
          <w:b/>
          <w:bCs/>
          <w:sz w:val="44"/>
          <w:szCs w:val="44"/>
        </w:rPr>
      </w:pPr>
      <w:r>
        <w:rPr>
          <w:rFonts w:hint="eastAsia" w:ascii="方正楷体_GBK" w:hAnsi="方正楷体_GBK"/>
          <w:b/>
          <w:bCs/>
          <w:sz w:val="44"/>
          <w:szCs w:val="44"/>
        </w:rPr>
        <w:t>政府</w:t>
      </w:r>
      <w:r>
        <w:rPr>
          <w:rFonts w:ascii="方正楷体_GBK" w:hAnsi="方正楷体_GBK"/>
          <w:b/>
          <w:bCs/>
          <w:sz w:val="44"/>
          <w:szCs w:val="44"/>
        </w:rPr>
        <w:t>2020</w:t>
      </w:r>
      <w:r>
        <w:rPr>
          <w:rFonts w:hint="eastAsia" w:ascii="方正楷体_GBK" w:hAnsi="方正楷体_GBK"/>
          <w:b/>
          <w:bCs/>
          <w:sz w:val="44"/>
          <w:szCs w:val="44"/>
        </w:rPr>
        <w:t>年预算公开情况说明</w:t>
      </w:r>
    </w:p>
    <w:p>
      <w:pPr>
        <w:widowControl/>
        <w:ind w:firstLine="640" w:firstLineChars="200"/>
        <w:rPr>
          <w:rFonts w:ascii="仿宋" w:hAnsi="仿宋" w:eastAsia="仿宋"/>
          <w:b/>
          <w:sz w:val="32"/>
          <w:szCs w:val="32"/>
        </w:rPr>
      </w:pPr>
      <w:r>
        <w:rPr>
          <w:rFonts w:hint="eastAsia" w:ascii="仿宋" w:hAnsi="仿宋" w:eastAsia="仿宋"/>
          <w:b/>
          <w:sz w:val="32"/>
          <w:szCs w:val="32"/>
        </w:rPr>
        <w:t>一、部门职责、机构设置情况</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1、主要职能</w:t>
      </w:r>
    </w:p>
    <w:p>
      <w:pPr>
        <w:spacing w:line="500" w:lineRule="exact"/>
        <w:ind w:firstLine="560" w:firstLineChars="200"/>
        <w:jc w:val="left"/>
        <w:rPr>
          <w:rFonts w:eastAsia="方正仿宋_GBK"/>
          <w:sz w:val="28"/>
        </w:rPr>
      </w:pPr>
      <w:r>
        <w:rPr>
          <w:rFonts w:eastAsia="方正仿宋_GBK"/>
          <w:sz w:val="28"/>
        </w:rPr>
        <w:t>（1）执行上级国家行政机关的决定、命令和国家制定的法令、法规，接受同级党委的领导，执行本级人民代表大会的各项决议，并报告执行决议、决定和命令的情况。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jc w:val="left"/>
        <w:rPr>
          <w:rFonts w:eastAsia="方正仿宋_GBK"/>
          <w:sz w:val="28"/>
        </w:rPr>
      </w:pPr>
      <w:r>
        <w:rPr>
          <w:rFonts w:eastAsia="方正仿宋_GBK"/>
          <w:sz w:val="28"/>
        </w:rPr>
        <w:t>（2）制定并落实本行政区域的经济计划和措施，促进产业结构调整及其他经济保持平衡协调发展，全面提高人民群众的生活水平和生活质量。</w:t>
      </w:r>
    </w:p>
    <w:p>
      <w:pPr>
        <w:spacing w:line="500" w:lineRule="exact"/>
        <w:ind w:firstLine="560" w:firstLineChars="200"/>
        <w:jc w:val="left"/>
        <w:rPr>
          <w:rFonts w:eastAsia="方正仿宋_GBK"/>
          <w:sz w:val="28"/>
        </w:rPr>
      </w:pPr>
      <w:r>
        <w:rPr>
          <w:rFonts w:eastAsia="方正仿宋_GBK"/>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jc w:val="left"/>
        <w:rPr>
          <w:rFonts w:eastAsia="方正仿宋_GBK"/>
          <w:sz w:val="28"/>
        </w:rPr>
      </w:pPr>
      <w:r>
        <w:rPr>
          <w:rFonts w:eastAsia="方正仿宋_GBK"/>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00" w:lineRule="exact"/>
        <w:ind w:firstLine="560" w:firstLineChars="200"/>
        <w:jc w:val="left"/>
        <w:rPr>
          <w:rFonts w:eastAsia="方正仿宋_GBK"/>
          <w:sz w:val="28"/>
        </w:rPr>
      </w:pPr>
      <w:r>
        <w:rPr>
          <w:rFonts w:eastAsia="方正仿宋_GBK"/>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00" w:lineRule="exact"/>
        <w:ind w:firstLine="560" w:firstLineChars="200"/>
        <w:jc w:val="left"/>
        <w:rPr>
          <w:rFonts w:eastAsia="方正仿宋_GBK"/>
          <w:sz w:val="28"/>
        </w:rPr>
      </w:pPr>
      <w:r>
        <w:rPr>
          <w:rFonts w:eastAsia="方正仿宋_GBK"/>
          <w:sz w:val="28"/>
        </w:rPr>
        <w:t>（6）加强镇级财政的监督和管理，按计划组织、管理镇财政收入和支出，执行国家有关财经纪律和政策，保证国家财政收入的完成;做好统计工作。</w:t>
      </w:r>
    </w:p>
    <w:p>
      <w:pPr>
        <w:spacing w:line="500" w:lineRule="exact"/>
        <w:ind w:firstLine="560" w:firstLineChars="200"/>
        <w:jc w:val="left"/>
        <w:rPr>
          <w:rFonts w:eastAsia="方正仿宋_GBK"/>
          <w:sz w:val="28"/>
        </w:rPr>
      </w:pPr>
      <w:r>
        <w:rPr>
          <w:rFonts w:eastAsia="方正仿宋_GBK"/>
          <w:sz w:val="28"/>
        </w:rPr>
        <w:t>（7）指导、支持、帮助村民委员会的组织制度建设和业务建设，促进村民委员会民主自治。</w:t>
      </w:r>
    </w:p>
    <w:p>
      <w:pPr>
        <w:spacing w:line="500" w:lineRule="exact"/>
        <w:ind w:firstLine="560" w:firstLineChars="200"/>
        <w:jc w:val="left"/>
        <w:rPr>
          <w:rFonts w:eastAsia="方正仿宋_GBK"/>
          <w:sz w:val="28"/>
        </w:rPr>
      </w:pPr>
      <w:r>
        <w:rPr>
          <w:rFonts w:eastAsia="方正仿宋_GBK"/>
          <w:sz w:val="28"/>
        </w:rPr>
        <w:t>（8）制定和组织实施镇村建设规划;加强公用、市政设施、水利建设和管理以及房屋土地管理和环境综合整治工作，保护和改善生活环境和生态环境。</w:t>
      </w:r>
    </w:p>
    <w:p>
      <w:pPr>
        <w:spacing w:line="500" w:lineRule="exact"/>
        <w:ind w:firstLine="560" w:firstLineChars="200"/>
        <w:jc w:val="left"/>
        <w:rPr>
          <w:rFonts w:eastAsia="方正仿宋_GBK"/>
          <w:sz w:val="28"/>
        </w:rPr>
      </w:pPr>
      <w:r>
        <w:rPr>
          <w:rFonts w:eastAsia="方正仿宋_GBK"/>
          <w:sz w:val="28"/>
        </w:rPr>
        <w:t>（9）协助和支持设置在本行政区域内不隶属于乡的国家机关和企事业单位工作，监督其遵守和执行国家的法律、法规和政策。</w:t>
      </w:r>
    </w:p>
    <w:p>
      <w:pPr>
        <w:spacing w:line="500" w:lineRule="exact"/>
        <w:ind w:firstLine="560" w:firstLineChars="200"/>
        <w:jc w:val="left"/>
        <w:rPr>
          <w:rFonts w:eastAsia="方正仿宋_GBK"/>
          <w:sz w:val="28"/>
        </w:rPr>
      </w:pPr>
      <w:r>
        <w:rPr>
          <w:rFonts w:eastAsia="方正仿宋_GBK"/>
          <w:sz w:val="28"/>
        </w:rPr>
        <w:t>（10）承办区政府交办的其它事项。</w:t>
      </w:r>
    </w:p>
    <w:p>
      <w:pPr>
        <w:widowControl/>
        <w:snapToGrid w:val="0"/>
        <w:spacing w:line="588" w:lineRule="exact"/>
        <w:rPr>
          <w:rFonts w:ascii="仿宋" w:hAnsi="仿宋" w:eastAsia="仿宋"/>
          <w:sz w:val="32"/>
          <w:szCs w:val="32"/>
        </w:rPr>
      </w:pPr>
      <w:r>
        <w:rPr>
          <w:rFonts w:hint="eastAsia" w:ascii="仿宋" w:hAnsi="仿宋" w:eastAsia="仿宋"/>
          <w:sz w:val="32"/>
          <w:szCs w:val="32"/>
        </w:rPr>
        <w:t xml:space="preserve">    2、机构人员情况</w:t>
      </w:r>
    </w:p>
    <w:p>
      <w:pPr>
        <w:spacing w:line="500" w:lineRule="exact"/>
        <w:ind w:firstLine="560"/>
        <w:rPr>
          <w:rFonts w:ascii="仿宋" w:hAnsi="仿宋" w:eastAsia="仿宋"/>
          <w:sz w:val="32"/>
          <w:szCs w:val="32"/>
        </w:rPr>
      </w:pPr>
      <w:r>
        <w:rPr>
          <w:rFonts w:hint="eastAsia" w:ascii="仿宋" w:hAnsi="仿宋" w:eastAsia="仿宋"/>
          <w:sz w:val="32"/>
          <w:szCs w:val="32"/>
        </w:rPr>
        <w:t>部门机构设置情况</w:t>
      </w:r>
    </w:p>
    <w:p>
      <w:pPr>
        <w:ind w:firstLine="640" w:firstLineChars="200"/>
        <w:rPr>
          <w:rFonts w:ascii="仿宋_GB2312" w:hAnsi="仿宋" w:eastAsia="仿宋_GB2312"/>
          <w:sz w:val="32"/>
          <w:szCs w:val="32"/>
        </w:rPr>
      </w:pPr>
    </w:p>
    <w:tbl>
      <w:tblPr>
        <w:tblStyle w:val="5"/>
        <w:tblpPr w:leftFromText="180" w:rightFromText="180" w:vertAnchor="text" w:horzAnchor="page" w:tblpX="1222"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1519"/>
        <w:gridCol w:w="153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单位名称</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单位性质</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单位规格</w:t>
            </w:r>
          </w:p>
        </w:tc>
        <w:tc>
          <w:tcPr>
            <w:tcW w:w="259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110" w:type="dxa"/>
            <w:tcBorders>
              <w:top w:val="single" w:color="auto" w:sz="4" w:space="0"/>
              <w:left w:val="single" w:color="auto" w:sz="4" w:space="0"/>
              <w:bottom w:val="single" w:color="auto" w:sz="4" w:space="0"/>
              <w:right w:val="single" w:color="auto" w:sz="4" w:space="0"/>
            </w:tcBorders>
          </w:tcPr>
          <w:p>
            <w:pPr>
              <w:widowControl/>
              <w:spacing w:line="540" w:lineRule="exact"/>
              <w:rPr>
                <w:rFonts w:ascii="仿宋" w:hAnsi="仿宋" w:eastAsia="仿宋"/>
                <w:sz w:val="32"/>
                <w:szCs w:val="32"/>
              </w:rPr>
            </w:pPr>
            <w:r>
              <w:rPr>
                <w:rFonts w:hint="eastAsia" w:ascii="仿宋" w:hAnsi="仿宋" w:eastAsia="仿宋"/>
                <w:sz w:val="32"/>
                <w:szCs w:val="32"/>
              </w:rPr>
              <w:t>唐山市丰润区泉河头镇人民政府</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行政</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正科级</w:t>
            </w:r>
          </w:p>
        </w:tc>
        <w:tc>
          <w:tcPr>
            <w:tcW w:w="259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 w:hAnsi="仿宋" w:eastAsia="仿宋"/>
                <w:sz w:val="32"/>
                <w:szCs w:val="32"/>
              </w:rPr>
            </w:pPr>
            <w:r>
              <w:rPr>
                <w:rFonts w:hint="eastAsia" w:ascii="仿宋" w:hAnsi="仿宋" w:eastAsia="仿宋"/>
                <w:sz w:val="32"/>
                <w:szCs w:val="32"/>
              </w:rPr>
              <w:t>财政拨款</w:t>
            </w:r>
          </w:p>
        </w:tc>
      </w:tr>
    </w:tbl>
    <w:p>
      <w:pPr>
        <w:spacing w:line="500" w:lineRule="exact"/>
        <w:rPr>
          <w:rFonts w:ascii="仿宋" w:hAnsi="仿宋" w:eastAsia="仿宋"/>
          <w:sz w:val="32"/>
          <w:szCs w:val="32"/>
        </w:rPr>
      </w:pPr>
    </w:p>
    <w:p>
      <w:pPr>
        <w:spacing w:line="500" w:lineRule="exact"/>
        <w:ind w:firstLine="560"/>
        <w:rPr>
          <w:rFonts w:ascii="仿宋" w:hAnsi="仿宋" w:eastAsia="仿宋"/>
          <w:sz w:val="32"/>
          <w:szCs w:val="32"/>
        </w:rPr>
      </w:pPr>
      <w:r>
        <w:rPr>
          <w:rFonts w:ascii="仿宋" w:hAnsi="仿宋" w:eastAsia="仿宋"/>
          <w:sz w:val="32"/>
          <w:szCs w:val="32"/>
        </w:rPr>
        <w:t>根据区编办最近核定的三定方案要求，丰润区</w:t>
      </w:r>
      <w:r>
        <w:rPr>
          <w:rFonts w:hint="eastAsia" w:ascii="仿宋" w:hAnsi="仿宋" w:eastAsia="仿宋"/>
          <w:sz w:val="32"/>
          <w:szCs w:val="32"/>
        </w:rPr>
        <w:t>泉河头镇人民政府</w:t>
      </w:r>
      <w:r>
        <w:rPr>
          <w:rFonts w:ascii="仿宋" w:hAnsi="仿宋" w:eastAsia="仿宋"/>
          <w:sz w:val="32"/>
          <w:szCs w:val="32"/>
        </w:rPr>
        <w:t>为行政编制单位，</w:t>
      </w:r>
    </w:p>
    <w:p>
      <w:pPr>
        <w:spacing w:line="500" w:lineRule="exact"/>
        <w:ind w:firstLine="560"/>
        <w:rPr>
          <w:rFonts w:ascii="仿宋" w:hAnsi="仿宋" w:eastAsia="仿宋"/>
          <w:sz w:val="32"/>
          <w:szCs w:val="32"/>
        </w:rPr>
      </w:pPr>
      <w:r>
        <w:rPr>
          <w:rFonts w:ascii="仿宋" w:hAnsi="仿宋" w:eastAsia="仿宋"/>
          <w:sz w:val="32"/>
          <w:szCs w:val="32"/>
        </w:rPr>
        <w:t>内设</w:t>
      </w:r>
      <w:r>
        <w:rPr>
          <w:rFonts w:hint="eastAsia" w:ascii="仿宋" w:hAnsi="仿宋" w:eastAsia="仿宋"/>
          <w:sz w:val="32"/>
          <w:szCs w:val="32"/>
        </w:rPr>
        <w:t>3</w:t>
      </w:r>
      <w:r>
        <w:rPr>
          <w:rFonts w:ascii="仿宋" w:hAnsi="仿宋" w:eastAsia="仿宋"/>
          <w:sz w:val="32"/>
          <w:szCs w:val="32"/>
        </w:rPr>
        <w:t>个行政职能科室</w:t>
      </w:r>
      <w:r>
        <w:rPr>
          <w:rFonts w:hint="eastAsia" w:ascii="仿宋" w:hAnsi="仿宋" w:eastAsia="仿宋"/>
          <w:sz w:val="32"/>
          <w:szCs w:val="32"/>
        </w:rPr>
        <w:t>：党政综合办、社会事务办、经济发展办。3</w:t>
      </w:r>
      <w:r>
        <w:rPr>
          <w:rFonts w:ascii="仿宋" w:hAnsi="仿宋" w:eastAsia="仿宋"/>
          <w:sz w:val="32"/>
          <w:szCs w:val="32"/>
        </w:rPr>
        <w:t>个事业科室</w:t>
      </w:r>
      <w:r>
        <w:rPr>
          <w:rFonts w:hint="eastAsia" w:ascii="仿宋" w:hAnsi="仿宋" w:eastAsia="仿宋"/>
          <w:sz w:val="32"/>
          <w:szCs w:val="32"/>
        </w:rPr>
        <w:t>：</w:t>
      </w:r>
      <w:r>
        <w:rPr>
          <w:rFonts w:ascii="仿宋" w:hAnsi="仿宋" w:eastAsia="仿宋"/>
          <w:sz w:val="32"/>
          <w:szCs w:val="32"/>
        </w:rPr>
        <w:t>文化综合服务中心、劳动保障事务站</w:t>
      </w:r>
      <w:r>
        <w:rPr>
          <w:rFonts w:hint="eastAsia" w:ascii="仿宋" w:hAnsi="仿宋" w:eastAsia="仿宋"/>
          <w:sz w:val="32"/>
          <w:szCs w:val="32"/>
        </w:rPr>
        <w:t>、退役军人管理服务站</w:t>
      </w:r>
      <w:r>
        <w:rPr>
          <w:rFonts w:ascii="仿宋" w:hAnsi="仿宋" w:eastAsia="仿宋"/>
          <w:sz w:val="32"/>
          <w:szCs w:val="32"/>
        </w:rPr>
        <w:t>。泉河头镇人员编制包括：行政编制</w:t>
      </w:r>
      <w:r>
        <w:rPr>
          <w:rFonts w:hint="eastAsia" w:ascii="仿宋" w:hAnsi="仿宋" w:eastAsia="仿宋"/>
          <w:sz w:val="32"/>
          <w:szCs w:val="32"/>
        </w:rPr>
        <w:t>34</w:t>
      </w:r>
      <w:r>
        <w:rPr>
          <w:rFonts w:ascii="仿宋" w:hAnsi="仿宋" w:eastAsia="仿宋"/>
          <w:sz w:val="32"/>
          <w:szCs w:val="32"/>
        </w:rPr>
        <w:t>名，事业编制</w:t>
      </w:r>
      <w:r>
        <w:rPr>
          <w:rFonts w:hint="eastAsia" w:ascii="仿宋" w:hAnsi="仿宋" w:eastAsia="仿宋"/>
          <w:sz w:val="32"/>
          <w:szCs w:val="32"/>
        </w:rPr>
        <w:t>26</w:t>
      </w:r>
      <w:r>
        <w:rPr>
          <w:rFonts w:ascii="仿宋" w:hAnsi="仿宋" w:eastAsia="仿宋"/>
          <w:sz w:val="32"/>
          <w:szCs w:val="32"/>
        </w:rPr>
        <w:t>名。截止到2019年底实有</w:t>
      </w:r>
      <w:r>
        <w:rPr>
          <w:rFonts w:hint="eastAsia" w:ascii="仿宋" w:hAnsi="仿宋" w:eastAsia="仿宋"/>
          <w:sz w:val="32"/>
          <w:szCs w:val="32"/>
        </w:rPr>
        <w:t>在职人员57人，退休</w:t>
      </w:r>
      <w:r>
        <w:rPr>
          <w:rFonts w:ascii="仿宋" w:hAnsi="仿宋" w:eastAsia="仿宋"/>
          <w:sz w:val="32"/>
          <w:szCs w:val="32"/>
        </w:rPr>
        <w:t>29</w:t>
      </w:r>
      <w:r>
        <w:rPr>
          <w:rFonts w:hint="eastAsia" w:ascii="仿宋" w:hAnsi="仿宋" w:eastAsia="仿宋"/>
          <w:sz w:val="32"/>
          <w:szCs w:val="32"/>
        </w:rPr>
        <w:t>人</w:t>
      </w:r>
      <w:r>
        <w:rPr>
          <w:rFonts w:ascii="仿宋" w:hAnsi="仿宋" w:eastAsia="仿宋"/>
          <w:sz w:val="32"/>
          <w:szCs w:val="32"/>
        </w:rPr>
        <w:t>。</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二、部门预算总体安排情况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2020</w:t>
      </w:r>
      <w:r>
        <w:rPr>
          <w:rFonts w:hint="eastAsia" w:ascii="仿宋" w:hAnsi="仿宋" w:eastAsia="仿宋"/>
          <w:sz w:val="32"/>
          <w:szCs w:val="32"/>
        </w:rPr>
        <w:t>年一般公共预算拨款收入</w:t>
      </w:r>
      <w:r>
        <w:rPr>
          <w:rFonts w:ascii="方正仿宋_GBK" w:eastAsia="方正仿宋_GBK"/>
          <w:sz w:val="28"/>
        </w:rPr>
        <w:t>890.84</w:t>
      </w:r>
      <w:r>
        <w:rPr>
          <w:rFonts w:hint="eastAsia" w:ascii="方正仿宋_GBK" w:eastAsia="方正仿宋_GBK"/>
          <w:sz w:val="28"/>
        </w:rPr>
        <w:t>万</w:t>
      </w:r>
      <w:r>
        <w:rPr>
          <w:rFonts w:hint="eastAsia" w:ascii="仿宋" w:hAnsi="仿宋" w:eastAsia="仿宋"/>
          <w:sz w:val="32"/>
          <w:szCs w:val="32"/>
        </w:rPr>
        <w:t>元。</w:t>
      </w:r>
    </w:p>
    <w:p>
      <w:pPr>
        <w:spacing w:line="500" w:lineRule="exact"/>
        <w:ind w:firstLine="560"/>
        <w:rPr>
          <w:rFonts w:ascii="仿宋" w:hAnsi="仿宋" w:eastAsia="仿宋"/>
          <w:sz w:val="32"/>
          <w:szCs w:val="32"/>
        </w:rPr>
      </w:pPr>
      <w:r>
        <w:rPr>
          <w:rFonts w:hint="eastAsia" w:ascii="仿宋" w:hAnsi="仿宋" w:eastAsia="仿宋"/>
          <w:sz w:val="32"/>
          <w:szCs w:val="32"/>
        </w:rPr>
        <w:t>2、20</w:t>
      </w:r>
      <w:r>
        <w:rPr>
          <w:rFonts w:ascii="仿宋" w:hAnsi="仿宋" w:eastAsia="仿宋"/>
          <w:sz w:val="32"/>
          <w:szCs w:val="32"/>
        </w:rPr>
        <w:t>20</w:t>
      </w:r>
      <w:r>
        <w:rPr>
          <w:rFonts w:hint="eastAsia" w:ascii="仿宋" w:hAnsi="仿宋" w:eastAsia="仿宋"/>
          <w:sz w:val="32"/>
          <w:szCs w:val="32"/>
        </w:rPr>
        <w:t>年，根据本单位职责和工作任务规划，共安排部门预算支出</w:t>
      </w:r>
      <w:r>
        <w:rPr>
          <w:rFonts w:ascii="仿宋" w:hAnsi="仿宋" w:eastAsia="仿宋"/>
          <w:sz w:val="32"/>
          <w:szCs w:val="32"/>
        </w:rPr>
        <w:t>890.84</w:t>
      </w:r>
      <w:r>
        <w:rPr>
          <w:rFonts w:hint="eastAsia" w:ascii="仿宋" w:hAnsi="仿宋" w:eastAsia="仿宋"/>
          <w:sz w:val="32"/>
          <w:szCs w:val="32"/>
        </w:rPr>
        <w:t>万元。其中人员经费支出</w:t>
      </w:r>
      <w:r>
        <w:rPr>
          <w:rFonts w:ascii="仿宋" w:hAnsi="仿宋" w:eastAsia="仿宋"/>
          <w:sz w:val="32"/>
          <w:szCs w:val="32"/>
        </w:rPr>
        <w:t>723.74</w:t>
      </w:r>
      <w:r>
        <w:rPr>
          <w:rFonts w:hint="eastAsia" w:ascii="仿宋" w:hAnsi="仿宋" w:eastAsia="仿宋"/>
          <w:sz w:val="32"/>
          <w:szCs w:val="32"/>
        </w:rPr>
        <w:t>万元，日常公用经费支出</w:t>
      </w:r>
      <w:r>
        <w:rPr>
          <w:rFonts w:ascii="仿宋" w:hAnsi="仿宋" w:eastAsia="仿宋"/>
          <w:sz w:val="32"/>
          <w:szCs w:val="32"/>
        </w:rPr>
        <w:t>58.86</w:t>
      </w:r>
      <w:r>
        <w:rPr>
          <w:rFonts w:hint="eastAsia" w:ascii="仿宋" w:hAnsi="仿宋" w:eastAsia="仿宋"/>
          <w:sz w:val="32"/>
          <w:szCs w:val="32"/>
        </w:rPr>
        <w:t xml:space="preserve">万元，项目支出 </w:t>
      </w:r>
      <w:r>
        <w:rPr>
          <w:rFonts w:ascii="仿宋" w:hAnsi="仿宋" w:eastAsia="仿宋"/>
          <w:sz w:val="32"/>
          <w:szCs w:val="32"/>
        </w:rPr>
        <w:t>108.24</w:t>
      </w:r>
      <w:r>
        <w:rPr>
          <w:rFonts w:hint="eastAsia" w:ascii="仿宋" w:hAnsi="仿宋" w:eastAsia="仿宋"/>
          <w:sz w:val="32"/>
          <w:szCs w:val="32"/>
        </w:rPr>
        <w:t>万元。</w:t>
      </w:r>
    </w:p>
    <w:p>
      <w:pPr>
        <w:widowControl/>
        <w:spacing w:line="540" w:lineRule="exact"/>
        <w:ind w:firstLine="640" w:firstLineChars="200"/>
        <w:rPr>
          <w:rFonts w:ascii="仿宋" w:hAnsi="仿宋" w:eastAsia="仿宋"/>
          <w:sz w:val="32"/>
          <w:szCs w:val="32"/>
        </w:rPr>
      </w:pP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3、与上年相比增加</w:t>
      </w:r>
      <w:r>
        <w:rPr>
          <w:rFonts w:ascii="仿宋" w:hAnsi="仿宋" w:eastAsia="仿宋"/>
          <w:sz w:val="32"/>
          <w:szCs w:val="32"/>
        </w:rPr>
        <w:t>87.86</w:t>
      </w:r>
      <w:r>
        <w:rPr>
          <w:rFonts w:hint="eastAsia" w:ascii="仿宋" w:hAnsi="仿宋" w:eastAsia="仿宋"/>
          <w:sz w:val="32"/>
          <w:szCs w:val="32"/>
        </w:rPr>
        <w:t>万元，其中：人员经费增加</w:t>
      </w:r>
      <w:r>
        <w:rPr>
          <w:rFonts w:ascii="仿宋" w:hAnsi="仿宋" w:eastAsia="仿宋"/>
          <w:sz w:val="32"/>
          <w:szCs w:val="32"/>
        </w:rPr>
        <w:t>77.86</w:t>
      </w:r>
      <w:r>
        <w:rPr>
          <w:rFonts w:hint="eastAsia" w:ascii="仿宋" w:hAnsi="仿宋" w:eastAsia="仿宋"/>
          <w:sz w:val="32"/>
          <w:szCs w:val="32"/>
        </w:rPr>
        <w:t>万元，正常公用经费增加</w:t>
      </w:r>
      <w:r>
        <w:rPr>
          <w:rFonts w:ascii="仿宋" w:hAnsi="仿宋" w:eastAsia="仿宋"/>
          <w:sz w:val="32"/>
          <w:szCs w:val="32"/>
        </w:rPr>
        <w:t>0.46</w:t>
      </w:r>
      <w:r>
        <w:rPr>
          <w:rFonts w:hint="eastAsia" w:ascii="仿宋" w:hAnsi="仿宋" w:eastAsia="仿宋"/>
          <w:sz w:val="32"/>
          <w:szCs w:val="32"/>
        </w:rPr>
        <w:t>万元。主要因为人员变动、工资调整、预算标准变化等原因。项目支出增加</w:t>
      </w:r>
      <w:r>
        <w:rPr>
          <w:rFonts w:ascii="仿宋" w:hAnsi="仿宋" w:eastAsia="仿宋"/>
          <w:sz w:val="32"/>
          <w:szCs w:val="32"/>
        </w:rPr>
        <w:t>9.54</w:t>
      </w:r>
      <w:r>
        <w:rPr>
          <w:rFonts w:hint="eastAsia" w:ascii="仿宋" w:hAnsi="仿宋" w:eastAsia="仿宋"/>
          <w:sz w:val="32"/>
          <w:szCs w:val="32"/>
        </w:rPr>
        <w:t>万元，主要是增加乡镇财政体制经费预算等原因。</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三、机关运行经费安排情况</w:t>
      </w:r>
    </w:p>
    <w:p>
      <w:pPr>
        <w:spacing w:line="500" w:lineRule="exact"/>
        <w:ind w:firstLine="560"/>
        <w:rPr>
          <w:rFonts w:ascii="方正仿宋_GBK" w:eastAsia="方正仿宋_GBK"/>
          <w:sz w:val="28"/>
        </w:rPr>
      </w:pPr>
      <w:r>
        <w:rPr>
          <w:rFonts w:ascii="方正仿宋_GBK" w:eastAsia="方正仿宋_GBK"/>
          <w:sz w:val="28"/>
        </w:rPr>
        <w:t>日常公用经费支出总计588550元。其中：</w:t>
      </w:r>
    </w:p>
    <w:p>
      <w:pPr>
        <w:spacing w:line="500" w:lineRule="exact"/>
        <w:ind w:firstLine="560"/>
        <w:rPr>
          <w:rFonts w:ascii="方正仿宋_GBK" w:eastAsia="方正仿宋_GBK"/>
          <w:sz w:val="28"/>
        </w:rPr>
      </w:pPr>
      <w:r>
        <w:rPr>
          <w:rFonts w:ascii="方正仿宋_GBK" w:eastAsia="方正仿宋_GBK"/>
          <w:sz w:val="28"/>
        </w:rPr>
        <w:t>1、办公费：60000元。</w:t>
      </w:r>
    </w:p>
    <w:p>
      <w:pPr>
        <w:spacing w:line="500" w:lineRule="exact"/>
        <w:ind w:firstLine="560"/>
        <w:rPr>
          <w:rFonts w:ascii="方正仿宋_GBK" w:eastAsia="方正仿宋_GBK"/>
          <w:sz w:val="28"/>
        </w:rPr>
      </w:pPr>
      <w:r>
        <w:rPr>
          <w:rFonts w:ascii="方正仿宋_GBK" w:eastAsia="方正仿宋_GBK"/>
          <w:sz w:val="28"/>
        </w:rPr>
        <w:t>2、水电费：58500元。</w:t>
      </w:r>
    </w:p>
    <w:p>
      <w:pPr>
        <w:spacing w:line="500" w:lineRule="exact"/>
        <w:ind w:firstLine="560"/>
        <w:rPr>
          <w:rFonts w:ascii="方正仿宋_GBK" w:eastAsia="方正仿宋_GBK"/>
          <w:sz w:val="28"/>
        </w:rPr>
      </w:pPr>
      <w:r>
        <w:rPr>
          <w:rFonts w:ascii="方正仿宋_GBK" w:eastAsia="方正仿宋_GBK"/>
          <w:sz w:val="28"/>
        </w:rPr>
        <w:t>3、邮电费：</w:t>
      </w:r>
      <w:r>
        <w:rPr>
          <w:rFonts w:hint="eastAsia" w:ascii="方正仿宋_GBK" w:eastAsia="方正仿宋_GBK"/>
          <w:sz w:val="28"/>
        </w:rPr>
        <w:t>10920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4、取暖费：179300元。用于机关办公楼和其他工作地点办公取暖费用。</w:t>
      </w:r>
    </w:p>
    <w:p>
      <w:pPr>
        <w:spacing w:line="500" w:lineRule="exact"/>
        <w:ind w:firstLine="560"/>
        <w:rPr>
          <w:rFonts w:ascii="方正仿宋_GBK" w:eastAsia="方正仿宋_GBK"/>
          <w:sz w:val="28"/>
        </w:rPr>
      </w:pPr>
      <w:r>
        <w:rPr>
          <w:rFonts w:ascii="方正仿宋_GBK" w:eastAsia="方正仿宋_GBK"/>
          <w:sz w:val="28"/>
        </w:rPr>
        <w:t>5、差旅费：24000元。</w:t>
      </w:r>
    </w:p>
    <w:p>
      <w:pPr>
        <w:spacing w:line="500" w:lineRule="exact"/>
        <w:ind w:firstLine="560"/>
        <w:rPr>
          <w:rFonts w:ascii="方正仿宋_GBK" w:eastAsia="方正仿宋_GBK"/>
          <w:sz w:val="28"/>
        </w:rPr>
      </w:pPr>
      <w:r>
        <w:rPr>
          <w:rFonts w:ascii="方正仿宋_GBK" w:eastAsia="方正仿宋_GBK"/>
          <w:sz w:val="28"/>
        </w:rPr>
        <w:t>6、公务接待费：</w:t>
      </w:r>
      <w:r>
        <w:rPr>
          <w:rFonts w:hint="eastAsia" w:ascii="方正仿宋_GBK" w:eastAsia="方正仿宋_GBK"/>
          <w:sz w:val="28"/>
        </w:rPr>
        <w:t>0</w:t>
      </w:r>
      <w:r>
        <w:rPr>
          <w:rFonts w:ascii="方正仿宋_GBK" w:eastAsia="方正仿宋_GBK"/>
          <w:sz w:val="28"/>
        </w:rPr>
        <w:t>元。</w:t>
      </w:r>
    </w:p>
    <w:p>
      <w:pPr>
        <w:spacing w:line="500" w:lineRule="exact"/>
        <w:ind w:firstLine="560"/>
        <w:rPr>
          <w:rFonts w:ascii="方正仿宋_GBK" w:eastAsia="方正仿宋_GBK"/>
          <w:sz w:val="28"/>
        </w:rPr>
      </w:pPr>
      <w:r>
        <w:rPr>
          <w:rFonts w:ascii="方正仿宋_GBK" w:eastAsia="方正仿宋_GBK"/>
          <w:sz w:val="28"/>
        </w:rPr>
        <w:t>7、劳务费： 30000 元。</w:t>
      </w:r>
    </w:p>
    <w:p>
      <w:pPr>
        <w:spacing w:line="500" w:lineRule="exact"/>
        <w:ind w:firstLine="560"/>
        <w:rPr>
          <w:rFonts w:ascii="方正仿宋_GBK" w:eastAsia="方正仿宋_GBK"/>
          <w:sz w:val="28"/>
        </w:rPr>
      </w:pPr>
      <w:r>
        <w:rPr>
          <w:rFonts w:ascii="方正仿宋_GBK" w:eastAsia="方正仿宋_GBK"/>
          <w:sz w:val="28"/>
        </w:rPr>
        <w:t>8、工会经费: 5700元。按在职职工每人</w:t>
      </w:r>
      <w:r>
        <w:rPr>
          <w:rFonts w:hint="eastAsia" w:ascii="方正仿宋_GBK" w:eastAsia="方正仿宋_GBK"/>
          <w:sz w:val="28"/>
        </w:rPr>
        <w:t>每年100</w:t>
      </w:r>
      <w:r>
        <w:rPr>
          <w:rFonts w:ascii="方正仿宋_GBK" w:eastAsia="方正仿宋_GBK"/>
          <w:sz w:val="28"/>
        </w:rPr>
        <w:t>元安排。</w:t>
      </w:r>
    </w:p>
    <w:p>
      <w:pPr>
        <w:spacing w:line="500" w:lineRule="exact"/>
        <w:ind w:firstLine="560"/>
        <w:rPr>
          <w:rFonts w:ascii="方正仿宋_GBK" w:eastAsia="方正仿宋_GBK"/>
          <w:sz w:val="28"/>
        </w:rPr>
      </w:pPr>
      <w:r>
        <w:rPr>
          <w:rFonts w:ascii="方正仿宋_GBK" w:eastAsia="方正仿宋_GBK"/>
          <w:sz w:val="28"/>
        </w:rPr>
        <w:t>9、福利费：9130元：按在职职工每人每年150元安排。退休人员每年20元安排。</w:t>
      </w:r>
    </w:p>
    <w:p>
      <w:pPr>
        <w:spacing w:line="500" w:lineRule="exact"/>
        <w:ind w:firstLine="560"/>
        <w:rPr>
          <w:rFonts w:ascii="方正仿宋_GBK" w:eastAsia="方正仿宋_GBK"/>
          <w:sz w:val="28"/>
        </w:rPr>
      </w:pPr>
      <w:r>
        <w:rPr>
          <w:rFonts w:ascii="方正仿宋_GBK" w:eastAsia="方正仿宋_GBK"/>
          <w:sz w:val="28"/>
        </w:rPr>
        <w:t>10、公务用车运行维护费：40000元。</w:t>
      </w:r>
    </w:p>
    <w:p>
      <w:pPr>
        <w:spacing w:line="500" w:lineRule="exact"/>
        <w:ind w:firstLine="560"/>
        <w:rPr>
          <w:rFonts w:ascii="方正仿宋_GBK" w:eastAsia="方正仿宋_GBK"/>
          <w:sz w:val="28"/>
        </w:rPr>
      </w:pPr>
      <w:r>
        <w:rPr>
          <w:rFonts w:ascii="方正仿宋_GBK" w:eastAsia="方正仿宋_GBK"/>
          <w:sz w:val="28"/>
        </w:rPr>
        <w:t>11、其他交通费（公务交通补贴）：171000元。</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四、“三公”经费支出情况</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年三公经费预算安排总计</w:t>
      </w:r>
      <w:r>
        <w:rPr>
          <w:rFonts w:ascii="仿宋" w:hAnsi="仿宋" w:eastAsia="仿宋"/>
          <w:sz w:val="32"/>
          <w:szCs w:val="32"/>
        </w:rPr>
        <w:t>4</w:t>
      </w:r>
      <w:r>
        <w:rPr>
          <w:rFonts w:hint="eastAsia" w:ascii="仿宋" w:hAnsi="仿宋" w:eastAsia="仿宋"/>
          <w:sz w:val="32"/>
          <w:szCs w:val="32"/>
        </w:rPr>
        <w:t>万元，低于上年数。其中：</w:t>
      </w:r>
    </w:p>
    <w:p>
      <w:pPr>
        <w:spacing w:line="500" w:lineRule="exac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2020年公务用车2辆，公务用车运行维护费预算安排4</w:t>
      </w:r>
      <w:r>
        <w:rPr>
          <w:rFonts w:hint="eastAsia" w:ascii="仿宋" w:hAnsi="仿宋" w:eastAsia="仿宋"/>
          <w:sz w:val="32"/>
          <w:szCs w:val="32"/>
        </w:rPr>
        <w:t>万</w:t>
      </w:r>
      <w:r>
        <w:rPr>
          <w:rFonts w:ascii="仿宋" w:hAnsi="仿宋" w:eastAsia="仿宋"/>
          <w:sz w:val="32"/>
          <w:szCs w:val="32"/>
        </w:rPr>
        <w:t>元。因2017年公车改革已到位，</w:t>
      </w:r>
      <w:r>
        <w:rPr>
          <w:rFonts w:hint="eastAsia" w:ascii="仿宋" w:hAnsi="仿宋" w:eastAsia="仿宋"/>
          <w:sz w:val="32"/>
          <w:szCs w:val="32"/>
        </w:rPr>
        <w:t>2</w:t>
      </w:r>
      <w:r>
        <w:rPr>
          <w:rFonts w:ascii="仿宋" w:hAnsi="仿宋" w:eastAsia="仿宋"/>
          <w:sz w:val="32"/>
          <w:szCs w:val="32"/>
        </w:rPr>
        <w:t>019</w:t>
      </w:r>
      <w:r>
        <w:rPr>
          <w:rFonts w:hint="eastAsia" w:ascii="仿宋" w:hAnsi="仿宋" w:eastAsia="仿宋"/>
          <w:sz w:val="32"/>
          <w:szCs w:val="32"/>
        </w:rPr>
        <w:t>年又上交公务用车了，</w:t>
      </w:r>
      <w:r>
        <w:rPr>
          <w:rFonts w:ascii="仿宋" w:hAnsi="仿宋" w:eastAsia="仿宋"/>
          <w:sz w:val="32"/>
          <w:szCs w:val="32"/>
        </w:rPr>
        <w:t>公务用车运行维护</w:t>
      </w:r>
      <w:r>
        <w:rPr>
          <w:rFonts w:hint="eastAsia" w:ascii="仿宋" w:hAnsi="仿宋" w:eastAsia="仿宋"/>
          <w:sz w:val="32"/>
          <w:szCs w:val="32"/>
        </w:rPr>
        <w:t>较上年下降了</w:t>
      </w:r>
      <w:r>
        <w:rPr>
          <w:rFonts w:ascii="仿宋" w:hAnsi="仿宋" w:eastAsia="仿宋"/>
          <w:sz w:val="32"/>
          <w:szCs w:val="32"/>
        </w:rPr>
        <w:t>。</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2、公务接待费0元，与上年相同。</w:t>
      </w:r>
    </w:p>
    <w:p>
      <w:pPr>
        <w:tabs>
          <w:tab w:val="left" w:pos="747"/>
        </w:tabs>
        <w:ind w:firstLine="640"/>
        <w:rPr>
          <w:rFonts w:ascii="仿宋" w:hAnsi="仿宋" w:eastAsia="仿宋"/>
          <w:sz w:val="32"/>
          <w:szCs w:val="32"/>
        </w:rPr>
      </w:pPr>
      <w:r>
        <w:rPr>
          <w:rFonts w:hint="eastAsia" w:ascii="仿宋" w:hAnsi="仿宋" w:eastAsia="仿宋"/>
          <w:sz w:val="32"/>
          <w:szCs w:val="32"/>
        </w:rPr>
        <w:t>3、因公出国经费：无，没有增减变化。</w:t>
      </w:r>
    </w:p>
    <w:p>
      <w:pPr>
        <w:tabs>
          <w:tab w:val="left" w:pos="747"/>
        </w:tabs>
        <w:ind w:firstLine="640"/>
        <w:rPr>
          <w:rFonts w:ascii="宋体" w:hAnsi="宋体"/>
          <w:sz w:val="32"/>
          <w:szCs w:val="32"/>
        </w:rPr>
      </w:pPr>
      <w:r>
        <w:rPr>
          <w:rFonts w:hint="eastAsia" w:ascii="仿宋" w:hAnsi="仿宋" w:eastAsia="仿宋"/>
          <w:sz w:val="32"/>
          <w:szCs w:val="32"/>
        </w:rPr>
        <w:t>4、公务用车购置费无，没有增减变化。</w:t>
      </w:r>
    </w:p>
    <w:p>
      <w:pPr>
        <w:widowControl/>
        <w:snapToGrid w:val="0"/>
        <w:spacing w:line="588" w:lineRule="exact"/>
        <w:ind w:firstLine="640" w:firstLineChars="200"/>
        <w:rPr>
          <w:rFonts w:ascii="仿宋" w:hAnsi="仿宋" w:eastAsia="仿宋"/>
          <w:sz w:val="32"/>
          <w:szCs w:val="32"/>
        </w:rPr>
        <w:sectPr>
          <w:footerReference r:id="rId3" w:type="default"/>
          <w:pgSz w:w="11907" w:h="16839"/>
          <w:pgMar w:top="1361" w:right="1021" w:bottom="1361" w:left="1021" w:header="851" w:footer="992" w:gutter="0"/>
          <w:cols w:space="720" w:num="1"/>
          <w:docGrid w:type="linesAndChars" w:linePitch="312" w:charSpace="0"/>
        </w:sectPr>
      </w:pPr>
    </w:p>
    <w:p>
      <w:pPr>
        <w:widowControl/>
        <w:snapToGrid w:val="0"/>
        <w:spacing w:line="588" w:lineRule="exact"/>
        <w:ind w:firstLine="643" w:firstLineChars="200"/>
        <w:rPr>
          <w:rFonts w:ascii="宋体" w:hAnsi="宋体"/>
          <w:b/>
          <w:sz w:val="32"/>
          <w:szCs w:val="32"/>
        </w:rPr>
      </w:pPr>
      <w:r>
        <w:rPr>
          <w:rFonts w:hint="eastAsia" w:ascii="宋体" w:hAnsi="宋体"/>
          <w:b/>
          <w:sz w:val="32"/>
          <w:szCs w:val="32"/>
        </w:rPr>
        <w:t>五、绩效预算信息情况</w:t>
      </w:r>
    </w:p>
    <w:p>
      <w:pPr>
        <w:ind w:firstLine="560" w:firstLineChars="200"/>
        <w:jc w:val="left"/>
        <w:outlineLvl w:val="1"/>
        <w:rPr>
          <w:rFonts w:hAnsi="宋体"/>
          <w:sz w:val="28"/>
          <w:szCs w:val="22"/>
        </w:rPr>
      </w:pPr>
      <w:r>
        <w:rPr>
          <w:rFonts w:hint="eastAsia" w:ascii="方正黑体_GBK" w:hAnsi="Calibri" w:eastAsia="方正黑体_GBK"/>
          <w:sz w:val="28"/>
          <w:szCs w:val="22"/>
        </w:rPr>
        <w:t>一、总体绩效目标</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0" w:name="_Toc42868120"/>
      <w:r>
        <w:rPr>
          <w:rFonts w:hint="eastAsia" w:ascii="方正黑体_GBK" w:hAnsi="Calibri" w:eastAsia="方正黑体_GBK"/>
          <w:sz w:val="28"/>
          <w:szCs w:val="22"/>
        </w:rPr>
        <w:instrText xml:space="preserve">总体绩效目标</w:instrText>
      </w:r>
      <w:bookmarkEnd w:id="0"/>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Ansi="Calibri" w:eastAsia="方正仿宋_GBK"/>
          <w:sz w:val="28"/>
          <w:szCs w:val="22"/>
        </w:rPr>
        <w:t xml:space="preserve">    </w:t>
      </w:r>
      <w:r>
        <w:rPr>
          <w:rFonts w:hint="eastAsia" w:hAnsi="宋体" w:eastAsia="方正仿宋_GBK" w:cs="宋体"/>
          <w:sz w:val="28"/>
          <w:szCs w:val="22"/>
        </w:rPr>
        <w:t>总体目标：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部门年度发展规划目标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1</w:t>
      </w:r>
      <w:r>
        <w:rPr>
          <w:rFonts w:hint="eastAsia" w:hAnsi="宋体" w:eastAsia="方正仿宋_GBK" w:cs="宋体"/>
          <w:sz w:val="28"/>
          <w:szCs w:val="22"/>
        </w:rPr>
        <w:t>）执行上级国家行政机关的决定、命令和国家制定的法令、法规，接受同级党委的领导，执行本级人民代表大会的各项决议，并报告执行决议、决定和命令的情况。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2</w:t>
      </w:r>
      <w:r>
        <w:rPr>
          <w:rFonts w:hint="eastAsia" w:hAnsi="宋体" w:eastAsia="方正仿宋_GBK" w:cs="宋体"/>
          <w:sz w:val="28"/>
          <w:szCs w:val="22"/>
        </w:rPr>
        <w:t>）制定并落实本行政区域的经济计划和措施，促进产业结构调整及其他经济保持平衡协调发展，全面提高人民群众的生活水平和生活质量。</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3</w:t>
      </w:r>
      <w:r>
        <w:rPr>
          <w:rFonts w:hint="eastAsia" w:hAnsi="宋体" w:eastAsia="方正仿宋_GBK" w:cs="宋体"/>
          <w:sz w:val="28"/>
          <w:szCs w:val="22"/>
        </w:rPr>
        <w:t>）承担国有资产、集体资产管理、监督及增值保值责任；保护公民私人所有合法财产，保障集体经济组织应有的自主权；监督企业和各种经济联合体、个体户认真执行国家的法律、法令和政策，履行经济合同。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4</w:t>
      </w:r>
      <w:r>
        <w:rPr>
          <w:rFonts w:hint="eastAsia" w:hAnsi="宋体" w:eastAsia="方正仿宋_GBK" w:cs="宋体"/>
          <w:sz w:val="28"/>
          <w:szCs w:val="22"/>
        </w:rPr>
        <w:t>）开展社会主义民主和法制的宣传教育，保障公民的权利</w:t>
      </w:r>
      <w:r>
        <w:rPr>
          <w:rFonts w:hAnsi="Calibri" w:eastAsia="方正仿宋_GBK"/>
          <w:sz w:val="28"/>
          <w:szCs w:val="22"/>
        </w:rPr>
        <w:t>;</w:t>
      </w:r>
      <w:r>
        <w:rPr>
          <w:rFonts w:hint="eastAsia" w:hAnsi="宋体" w:eastAsia="方正仿宋_GBK" w:cs="宋体"/>
          <w:sz w:val="28"/>
          <w:szCs w:val="22"/>
        </w:rPr>
        <w:t>制定社会治安综合治理工作规划并组织实施；加强社区管理工作，依法管理外来流动人口，处理人民群众来信来访，调解民间纠纷，打击违法犯罪，维护社会稳定。</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5</w:t>
      </w:r>
      <w:r>
        <w:rPr>
          <w:rFonts w:hint="eastAsia" w:hAnsi="宋体" w:eastAsia="方正仿宋_GBK" w:cs="宋体"/>
          <w:sz w:val="28"/>
          <w:szCs w:val="22"/>
        </w:rPr>
        <w:t>）制定社会各项事业发展计划，发展教育、卫生、科技、民政、广播电视、文化、体育事业；组织实施义务教育和其他各类教育；加强计划生育工作</w:t>
      </w:r>
      <w:r>
        <w:rPr>
          <w:rFonts w:hAnsi="Calibri" w:eastAsia="方正仿宋_GBK"/>
          <w:sz w:val="28"/>
          <w:szCs w:val="22"/>
        </w:rPr>
        <w:t>;</w:t>
      </w:r>
      <w:r>
        <w:rPr>
          <w:rFonts w:hint="eastAsia" w:hAnsi="宋体" w:eastAsia="方正仿宋_GBK" w:cs="宋体"/>
          <w:sz w:val="28"/>
          <w:szCs w:val="22"/>
        </w:rPr>
        <w:t>推进社会保障、社会福利事业和养老保险工作；做好劳动管理、科普、老龄及宗教、侨务等工作。</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6</w:t>
      </w:r>
      <w:r>
        <w:rPr>
          <w:rFonts w:hint="eastAsia" w:hAnsi="宋体" w:eastAsia="方正仿宋_GBK" w:cs="宋体"/>
          <w:sz w:val="28"/>
          <w:szCs w:val="22"/>
        </w:rPr>
        <w:t>）加强镇级财政的监督和管理，按计划组织、管理镇财政收入和支出，执行国家有关财经纪律和政策，保证国家财政收入的完成，做好统计工作。</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7</w:t>
      </w:r>
      <w:r>
        <w:rPr>
          <w:rFonts w:hint="eastAsia" w:hAnsi="宋体" w:eastAsia="方正仿宋_GBK" w:cs="宋体"/>
          <w:sz w:val="28"/>
          <w:szCs w:val="22"/>
        </w:rPr>
        <w:t>）指导、支持、帮助村民委员会的组织制度建设和业务建设，促进村民委员会民主自治。</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8</w:t>
      </w:r>
      <w:r>
        <w:rPr>
          <w:rFonts w:hint="eastAsia" w:hAnsi="宋体" w:eastAsia="方正仿宋_GBK" w:cs="宋体"/>
          <w:sz w:val="28"/>
          <w:szCs w:val="22"/>
        </w:rPr>
        <w:t>）制定和组织实施镇村建设规划；加强公用、市政设施、水利建设和管理以及房屋土地管理和环境综合整治工作，保护和改善生活环境和生态环境。</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9</w:t>
      </w:r>
      <w:r>
        <w:rPr>
          <w:rFonts w:hint="eastAsia" w:hAnsi="宋体" w:eastAsia="方正仿宋_GBK" w:cs="宋体"/>
          <w:sz w:val="28"/>
          <w:szCs w:val="22"/>
        </w:rPr>
        <w:t>）协助和支持设置在本行政区域内不隶属于乡镇的国家机关和企事业单位工作，监督其遵守和执行国家的法律、法规和政策。</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w:t>
      </w:r>
      <w:r>
        <w:rPr>
          <w:rFonts w:hAnsi="Calibri" w:eastAsia="方正仿宋_GBK"/>
          <w:sz w:val="28"/>
          <w:szCs w:val="22"/>
        </w:rPr>
        <w:t>10</w:t>
      </w:r>
      <w:r>
        <w:rPr>
          <w:rFonts w:hint="eastAsia" w:hAnsi="宋体" w:eastAsia="方正仿宋_GBK" w:cs="宋体"/>
          <w:sz w:val="28"/>
          <w:szCs w:val="22"/>
        </w:rPr>
        <w:t>）承办区政府交办的其它事项。</w:t>
      </w:r>
    </w:p>
    <w:p>
      <w:pPr>
        <w:spacing w:line="500" w:lineRule="exact"/>
        <w:ind w:firstLine="560" w:firstLineChars="200"/>
        <w:jc w:val="left"/>
        <w:rPr>
          <w:rFonts w:hAnsi="Calibri" w:eastAsia="方正仿宋_GBK"/>
          <w:sz w:val="28"/>
          <w:szCs w:val="22"/>
        </w:rPr>
      </w:pPr>
    </w:p>
    <w:p>
      <w:pPr>
        <w:spacing w:line="500" w:lineRule="exact"/>
        <w:ind w:firstLine="560" w:firstLineChars="200"/>
        <w:jc w:val="left"/>
        <w:outlineLvl w:val="1"/>
        <w:rPr>
          <w:rFonts w:hAnsi="宋体"/>
          <w:sz w:val="28"/>
          <w:szCs w:val="22"/>
        </w:rPr>
      </w:pPr>
      <w:r>
        <w:rPr>
          <w:rFonts w:hint="eastAsia" w:ascii="方正黑体_GBK" w:hAnsi="Calibri" w:eastAsia="方正黑体_GBK"/>
          <w:sz w:val="28"/>
          <w:szCs w:val="22"/>
        </w:rPr>
        <w:t>二、分项绩效目标</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1" w:name="_Toc42868121"/>
      <w:r>
        <w:rPr>
          <w:rFonts w:hint="eastAsia" w:ascii="方正黑体_GBK" w:hAnsi="Calibri" w:eastAsia="方正黑体_GBK"/>
          <w:sz w:val="28"/>
          <w:szCs w:val="22"/>
        </w:rPr>
        <w:instrText xml:space="preserve">分项绩效目标</w:instrText>
      </w:r>
      <w:bookmarkEnd w:id="1"/>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职责分类绩效目标：</w:t>
      </w:r>
    </w:p>
    <w:p>
      <w:pPr>
        <w:spacing w:line="500" w:lineRule="exact"/>
        <w:ind w:firstLine="560" w:firstLineChars="200"/>
        <w:jc w:val="left"/>
        <w:rPr>
          <w:rFonts w:hAnsi="Calibri" w:eastAsia="方正仿宋_GBK"/>
          <w:sz w:val="28"/>
          <w:szCs w:val="22"/>
        </w:rPr>
      </w:pPr>
      <w:r>
        <w:rPr>
          <w:rFonts w:hAnsi="Calibri" w:eastAsia="方正仿宋_GBK"/>
          <w:sz w:val="28"/>
          <w:szCs w:val="22"/>
        </w:rPr>
        <w:t>2020</w:t>
      </w:r>
      <w:r>
        <w:rPr>
          <w:rFonts w:hint="eastAsia" w:hAnsi="宋体" w:eastAsia="方正仿宋_GBK" w:cs="宋体"/>
          <w:sz w:val="28"/>
          <w:szCs w:val="22"/>
        </w:rPr>
        <w:t>年部门职责分类绩效目标情况说明</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（一）预算绩效管理工作开展情况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根据上级预算绩效管理要求，我镇以</w:t>
      </w:r>
      <w:r>
        <w:rPr>
          <w:rFonts w:hAnsi="Calibri" w:eastAsia="方正仿宋_GBK"/>
          <w:sz w:val="28"/>
          <w:szCs w:val="22"/>
        </w:rPr>
        <w:t>“</w:t>
      </w:r>
      <w:r>
        <w:rPr>
          <w:rFonts w:hint="eastAsia" w:hAnsi="宋体" w:eastAsia="方正仿宋_GBK" w:cs="宋体"/>
          <w:sz w:val="28"/>
          <w:szCs w:val="22"/>
        </w:rPr>
        <w:t>部门职责</w:t>
      </w:r>
      <w:r>
        <w:rPr>
          <w:rFonts w:hAnsi="Calibri" w:eastAsia="方正仿宋_GBK"/>
          <w:sz w:val="28"/>
          <w:szCs w:val="22"/>
        </w:rPr>
        <w:t>---</w:t>
      </w:r>
      <w:r>
        <w:rPr>
          <w:rFonts w:hint="eastAsia" w:hAnsi="宋体" w:eastAsia="方正仿宋_GBK" w:cs="宋体"/>
          <w:sz w:val="28"/>
          <w:szCs w:val="22"/>
        </w:rPr>
        <w:t>工作活动</w:t>
      </w:r>
      <w:r>
        <w:rPr>
          <w:rFonts w:hAnsi="Calibri" w:eastAsia="方正仿宋_GBK"/>
          <w:sz w:val="28"/>
          <w:szCs w:val="22"/>
        </w:rPr>
        <w:t>”</w:t>
      </w:r>
      <w:r>
        <w:rPr>
          <w:rFonts w:hint="eastAsia" w:hAnsi="宋体" w:eastAsia="方正仿宋_GBK" w:cs="宋体"/>
          <w:sz w:val="28"/>
          <w:szCs w:val="22"/>
        </w:rPr>
        <w:t>为依据，确定部门预算项目和预算额度，清晰描述预算项目开支范围和内容，确定预算项目的绩效目标、绩效指标和评价标准，为预算绩效控制、绩效分析、绩效评价打下好的基础。</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（二）预算项目绩效评价开展情况</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按照省财政预算绩效管理要求，我镇对确定的一般公共预算支出项目全面开展了绩效自评，覆盖率达到</w:t>
      </w:r>
      <w:r>
        <w:rPr>
          <w:rFonts w:hAnsi="Calibri" w:eastAsia="方正仿宋_GBK"/>
          <w:sz w:val="28"/>
          <w:szCs w:val="22"/>
        </w:rPr>
        <w:t>100%</w:t>
      </w:r>
      <w:r>
        <w:rPr>
          <w:rFonts w:hint="eastAsia" w:hAnsi="宋体" w:eastAsia="方正仿宋_GBK" w:cs="宋体"/>
          <w:sz w:val="28"/>
          <w:szCs w:val="22"/>
        </w:rPr>
        <w:t>。</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（三）预算绩效自评选例</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城乡居民最低生活保障、临时生活救助、医疗救助、低收入家庭核查认定；文化组织和宣传、综合数据统计、宣传普及科学知识、发展公共服务和福利事业，较好地实现了预算项目绩效目标。</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（四）开展预算项目绩效评价发现的主要问题及对策</w:t>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通过实施预算项目绩效评价发现，预算项目绩效目标设定还需进一步详尽，绩效指标应充分体现</w:t>
      </w:r>
      <w:r>
        <w:rPr>
          <w:rFonts w:hAnsi="Calibri" w:eastAsia="方正仿宋_GBK"/>
          <w:sz w:val="28"/>
          <w:szCs w:val="22"/>
        </w:rPr>
        <w:t>“</w:t>
      </w:r>
      <w:r>
        <w:rPr>
          <w:rFonts w:hint="eastAsia" w:hAnsi="宋体" w:eastAsia="方正仿宋_GBK" w:cs="宋体"/>
          <w:sz w:val="28"/>
          <w:szCs w:val="22"/>
        </w:rPr>
        <w:t>结果</w:t>
      </w:r>
      <w:r>
        <w:rPr>
          <w:rFonts w:hAnsi="Calibri" w:eastAsia="方正仿宋_GBK"/>
          <w:sz w:val="28"/>
          <w:szCs w:val="22"/>
        </w:rPr>
        <w:t>”</w:t>
      </w:r>
      <w:r>
        <w:rPr>
          <w:rFonts w:hint="eastAsia" w:hAnsi="宋体" w:eastAsia="方正仿宋_GBK" w:cs="宋体"/>
          <w:sz w:val="28"/>
          <w:szCs w:val="22"/>
        </w:rPr>
        <w:t>导向原则。进一步改进完善的措施：一是按照</w:t>
      </w:r>
      <w:r>
        <w:rPr>
          <w:rFonts w:hAnsi="Calibri" w:eastAsia="方正仿宋_GBK"/>
          <w:sz w:val="28"/>
          <w:szCs w:val="22"/>
        </w:rPr>
        <w:t>“</w:t>
      </w:r>
      <w:r>
        <w:rPr>
          <w:rFonts w:hint="eastAsia" w:hAnsi="宋体" w:eastAsia="方正仿宋_GBK" w:cs="宋体"/>
          <w:sz w:val="28"/>
          <w:szCs w:val="22"/>
        </w:rPr>
        <w:t>结果</w:t>
      </w:r>
      <w:r>
        <w:rPr>
          <w:rFonts w:hAnsi="Calibri" w:eastAsia="方正仿宋_GBK"/>
          <w:sz w:val="28"/>
          <w:szCs w:val="22"/>
        </w:rPr>
        <w:t>”</w:t>
      </w:r>
      <w:r>
        <w:rPr>
          <w:rFonts w:hint="eastAsia" w:hAnsi="宋体" w:eastAsia="方正仿宋_GBK" w:cs="宋体"/>
          <w:sz w:val="28"/>
          <w:szCs w:val="22"/>
        </w:rPr>
        <w:t>导向原则做好项目目标设定工作，将绩效目标设定从</w:t>
      </w:r>
      <w:r>
        <w:rPr>
          <w:rFonts w:hAnsi="Calibri" w:eastAsia="方正仿宋_GBK"/>
          <w:sz w:val="28"/>
          <w:szCs w:val="22"/>
        </w:rPr>
        <w:t>“</w:t>
      </w:r>
      <w:r>
        <w:rPr>
          <w:rFonts w:hint="eastAsia" w:hAnsi="宋体" w:eastAsia="方正仿宋_GBK" w:cs="宋体"/>
          <w:sz w:val="28"/>
          <w:szCs w:val="22"/>
        </w:rPr>
        <w:t>支出完成</w:t>
      </w:r>
      <w:r>
        <w:rPr>
          <w:rFonts w:hAnsi="Calibri" w:eastAsia="方正仿宋_GBK"/>
          <w:sz w:val="28"/>
          <w:szCs w:val="22"/>
        </w:rPr>
        <w:t>”</w:t>
      </w:r>
      <w:r>
        <w:rPr>
          <w:rFonts w:hint="eastAsia" w:hAnsi="宋体" w:eastAsia="方正仿宋_GBK" w:cs="宋体"/>
          <w:sz w:val="28"/>
          <w:szCs w:val="22"/>
        </w:rPr>
        <w:t>和</w:t>
      </w:r>
      <w:r>
        <w:rPr>
          <w:rFonts w:hAnsi="Calibri" w:eastAsia="方正仿宋_GBK"/>
          <w:sz w:val="28"/>
          <w:szCs w:val="22"/>
        </w:rPr>
        <w:t>“</w:t>
      </w:r>
      <w:r>
        <w:rPr>
          <w:rFonts w:hint="eastAsia" w:hAnsi="宋体" w:eastAsia="方正仿宋_GBK" w:cs="宋体"/>
          <w:sz w:val="28"/>
          <w:szCs w:val="22"/>
        </w:rPr>
        <w:t>实现产出</w:t>
      </w:r>
      <w:r>
        <w:rPr>
          <w:rFonts w:hAnsi="Calibri" w:eastAsia="方正仿宋_GBK"/>
          <w:sz w:val="28"/>
          <w:szCs w:val="22"/>
        </w:rPr>
        <w:t>”</w:t>
      </w:r>
      <w:r>
        <w:rPr>
          <w:rFonts w:hint="eastAsia" w:hAnsi="宋体" w:eastAsia="方正仿宋_GBK" w:cs="宋体"/>
          <w:sz w:val="28"/>
          <w:szCs w:val="22"/>
        </w:rPr>
        <w:t>向注重</w:t>
      </w:r>
      <w:r>
        <w:rPr>
          <w:rFonts w:hAnsi="Calibri" w:eastAsia="方正仿宋_GBK"/>
          <w:sz w:val="28"/>
          <w:szCs w:val="22"/>
        </w:rPr>
        <w:t>“</w:t>
      </w:r>
      <w:r>
        <w:rPr>
          <w:rFonts w:hint="eastAsia" w:hAnsi="宋体" w:eastAsia="方正仿宋_GBK" w:cs="宋体"/>
          <w:sz w:val="28"/>
          <w:szCs w:val="22"/>
        </w:rPr>
        <w:t>全面结果</w:t>
      </w:r>
      <w:r>
        <w:rPr>
          <w:rFonts w:hAnsi="Calibri" w:eastAsia="方正仿宋_GBK"/>
          <w:sz w:val="28"/>
          <w:szCs w:val="22"/>
        </w:rPr>
        <w:t>”</w:t>
      </w:r>
      <w:r>
        <w:rPr>
          <w:rFonts w:hint="eastAsia" w:hAnsi="宋体" w:eastAsia="方正仿宋_GBK" w:cs="宋体"/>
          <w:sz w:val="28"/>
          <w:szCs w:val="22"/>
        </w:rPr>
        <w:t>的评价重点转变；二是完善项目绩效指标设定，进一步探索更具科学性和可操作性的绩效分析、绩效考核指标体系。</w:t>
      </w:r>
    </w:p>
    <w:p>
      <w:pPr>
        <w:spacing w:line="500" w:lineRule="exact"/>
        <w:ind w:firstLine="560" w:firstLineChars="200"/>
        <w:jc w:val="left"/>
        <w:rPr>
          <w:rFonts w:hAnsi="Calibri" w:eastAsia="方正仿宋_GBK"/>
          <w:sz w:val="28"/>
          <w:szCs w:val="22"/>
        </w:rPr>
      </w:pPr>
    </w:p>
    <w:p>
      <w:pPr>
        <w:spacing w:line="500" w:lineRule="exact"/>
        <w:ind w:firstLine="560" w:firstLineChars="200"/>
        <w:jc w:val="left"/>
        <w:outlineLvl w:val="1"/>
        <w:rPr>
          <w:rFonts w:hAnsi="宋体"/>
          <w:sz w:val="28"/>
          <w:szCs w:val="22"/>
        </w:rPr>
      </w:pPr>
      <w:r>
        <w:rPr>
          <w:rFonts w:hint="eastAsia" w:ascii="方正黑体_GBK" w:hAnsi="Calibri" w:eastAsia="方正黑体_GBK"/>
          <w:sz w:val="28"/>
          <w:szCs w:val="22"/>
        </w:rPr>
        <w:t>三、工作保障措施</w:t>
      </w:r>
      <w:r>
        <w:rPr>
          <w:rFonts w:ascii="方正黑体_GBK" w:hAnsi="Calibri" w:eastAsia="方正黑体_GBK"/>
          <w:sz w:val="28"/>
          <w:szCs w:val="22"/>
        </w:rPr>
        <w:fldChar w:fldCharType="begin"/>
      </w:r>
      <w:r>
        <w:rPr>
          <w:rFonts w:ascii="方正黑体_GBK" w:hAnsi="Calibri" w:eastAsia="方正黑体_GBK"/>
          <w:sz w:val="28"/>
          <w:szCs w:val="22"/>
        </w:rPr>
        <w:instrText xml:space="preserve"> </w:instrText>
      </w:r>
      <w:r>
        <w:rPr>
          <w:rFonts w:hint="eastAsia" w:ascii="方正黑体_GBK" w:hAnsi="Calibri" w:eastAsia="方正黑体_GBK"/>
          <w:sz w:val="28"/>
          <w:szCs w:val="22"/>
        </w:rPr>
        <w:instrText xml:space="preserve">TC </w:instrText>
      </w:r>
      <w:bookmarkStart w:id="2" w:name="_Toc42868122"/>
      <w:r>
        <w:rPr>
          <w:rFonts w:hint="eastAsia" w:ascii="方正黑体_GBK" w:hAnsi="Calibri" w:eastAsia="方正黑体_GBK"/>
          <w:sz w:val="28"/>
          <w:szCs w:val="22"/>
        </w:rPr>
        <w:instrText xml:space="preserve">工作保障措施</w:instrText>
      </w:r>
      <w:bookmarkEnd w:id="2"/>
      <w:r>
        <w:rPr>
          <w:rFonts w:hint="eastAsia" w:ascii="方正黑体_GBK" w:hAnsi="Calibri" w:eastAsia="方正黑体_GBK"/>
          <w:sz w:val="28"/>
          <w:szCs w:val="22"/>
        </w:rPr>
        <w:instrText xml:space="preserve"> \f A \l 1</w:instrText>
      </w:r>
      <w:r>
        <w:rPr>
          <w:rFonts w:ascii="方正黑体_GBK" w:hAnsi="Calibri" w:eastAsia="方正黑体_GBK"/>
          <w:sz w:val="28"/>
          <w:szCs w:val="22"/>
        </w:rPr>
        <w:instrText xml:space="preserve"> </w:instrText>
      </w:r>
      <w:r>
        <w:rPr>
          <w:rFonts w:ascii="方正黑体_GBK" w:hAnsi="Calibri" w:eastAsia="方正黑体_GBK"/>
          <w:sz w:val="28"/>
          <w:szCs w:val="22"/>
        </w:rPr>
        <w:fldChar w:fldCharType="end"/>
      </w:r>
    </w:p>
    <w:p>
      <w:pPr>
        <w:spacing w:line="500" w:lineRule="exact"/>
        <w:ind w:firstLine="560" w:firstLineChars="200"/>
        <w:jc w:val="left"/>
        <w:rPr>
          <w:rFonts w:hAnsi="Calibri" w:eastAsia="方正仿宋_GBK"/>
          <w:sz w:val="28"/>
          <w:szCs w:val="22"/>
        </w:rPr>
      </w:pPr>
      <w:r>
        <w:rPr>
          <w:rFonts w:hint="eastAsia" w:hAnsi="宋体" w:eastAsia="方正仿宋_GBK" w:cs="宋体"/>
          <w:sz w:val="28"/>
          <w:szCs w:val="22"/>
        </w:rPr>
        <w:t>实现本年度发展规划目标保障措施</w:t>
      </w:r>
    </w:p>
    <w:p>
      <w:pPr>
        <w:spacing w:line="500" w:lineRule="exact"/>
        <w:ind w:firstLine="560" w:firstLineChars="200"/>
        <w:jc w:val="left"/>
        <w:rPr>
          <w:rFonts w:hAnsi="Calibri" w:eastAsia="方正仿宋_GBK"/>
          <w:sz w:val="28"/>
          <w:szCs w:val="22"/>
        </w:rPr>
      </w:pPr>
      <w:r>
        <w:rPr>
          <w:rFonts w:hAnsi="Calibri" w:eastAsia="方正仿宋_GBK"/>
          <w:sz w:val="28"/>
          <w:szCs w:val="22"/>
        </w:rPr>
        <w:t>1</w:t>
      </w:r>
      <w:r>
        <w:rPr>
          <w:rFonts w:hint="eastAsia" w:hAnsi="宋体" w:eastAsia="方正仿宋_GBK" w:cs="宋体"/>
          <w:sz w:val="28"/>
          <w:szCs w:val="22"/>
        </w:rPr>
        <w:t>、按照公共财政改革和稳健财政政策的要求，逐步规范公共财政供给和保障范围，大力压缩政府一般性支出。</w:t>
      </w:r>
    </w:p>
    <w:p>
      <w:pPr>
        <w:spacing w:line="500" w:lineRule="exact"/>
        <w:ind w:firstLine="560" w:firstLineChars="200"/>
        <w:jc w:val="left"/>
        <w:rPr>
          <w:rFonts w:hAnsi="Calibri" w:eastAsia="方正仿宋_GBK"/>
          <w:sz w:val="28"/>
          <w:szCs w:val="22"/>
        </w:rPr>
      </w:pPr>
      <w:r>
        <w:rPr>
          <w:rFonts w:hAnsi="Calibri" w:eastAsia="方正仿宋_GBK"/>
          <w:sz w:val="28"/>
          <w:szCs w:val="22"/>
        </w:rPr>
        <w:t>2</w:t>
      </w:r>
      <w:r>
        <w:rPr>
          <w:rFonts w:hint="eastAsia" w:hAnsi="宋体" w:eastAsia="方正仿宋_GBK" w:cs="宋体"/>
          <w:sz w:val="28"/>
          <w:szCs w:val="22"/>
        </w:rPr>
        <w:t>、深化预算编制制度改革，提高预算编制和执行质量，按照公共财政的要求，进一步完善预算编制内容，规范预算编制程序，改进预算编制和管理办法，逐步建立公平、透明、规范、高效的政府预算管理制度。通过提高预算编制的透明度、接受人大和审计等部门和社会公众的外部监督，促进预算编制质量和执行效率的提高。进一步完善综合预算改革，全面推行政府收支分类改革。大力推进以财政评审为载体的财政支出预算绩效考评制度，衡量预算支出编制和执行的经济性、有效性和效率性，及时发现问题、提出改进和加强财政支出预算管理的意见和措施，在此基础上探索绩效预算改革思路和办法。</w:t>
      </w:r>
    </w:p>
    <w:p>
      <w:pPr>
        <w:spacing w:line="500" w:lineRule="exact"/>
        <w:ind w:firstLine="560" w:firstLineChars="200"/>
        <w:jc w:val="left"/>
        <w:rPr>
          <w:rFonts w:hAnsi="宋体" w:eastAsia="方正仿宋_GBK" w:cs="宋体"/>
          <w:sz w:val="28"/>
          <w:szCs w:val="22"/>
        </w:rPr>
      </w:pPr>
      <w:r>
        <w:rPr>
          <w:rFonts w:hAnsi="Calibri" w:eastAsia="方正仿宋_GBK"/>
          <w:sz w:val="28"/>
          <w:szCs w:val="22"/>
        </w:rPr>
        <w:t>3</w:t>
      </w:r>
      <w:r>
        <w:rPr>
          <w:rFonts w:hint="eastAsia" w:hAnsi="宋体" w:eastAsia="方正仿宋_GBK" w:cs="宋体"/>
          <w:sz w:val="28"/>
          <w:szCs w:val="22"/>
        </w:rPr>
        <w:t>、继续完善政府支出制度，积极推进公务用车制度改革。为节约一般性支出，通过强化部门综合预算管理，加强公务车和会议管理，实行公务车维修、加油和会议由办公室统一管理安排制度。</w:t>
      </w: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p>
    <w:p>
      <w:pPr>
        <w:jc w:val="center"/>
        <w:outlineLvl w:val="0"/>
        <w:rPr>
          <w:rFonts w:ascii="方正小标宋_GBK" w:hAnsi="Calibri" w:eastAsia="方正小标宋_GBK"/>
          <w:sz w:val="44"/>
          <w:szCs w:val="22"/>
        </w:rPr>
      </w:pPr>
      <w:r>
        <w:rPr>
          <w:rFonts w:hint="eastAsia" w:ascii="方正小标宋_GBK" w:hAnsi="Calibri" w:eastAsia="方正小标宋_GBK"/>
          <w:sz w:val="44"/>
          <w:szCs w:val="22"/>
        </w:rPr>
        <w:t>预算项目绩效目标</w:t>
      </w:r>
    </w:p>
    <w:p>
      <w:pPr>
        <w:jc w:val="center"/>
        <w:outlineLvl w:val="0"/>
        <w:rPr>
          <w:rFonts w:hAnsi="宋体"/>
          <w:sz w:val="44"/>
          <w:szCs w:val="22"/>
        </w:rPr>
      </w:pPr>
    </w:p>
    <w:p>
      <w:pPr>
        <w:spacing w:line="500" w:lineRule="exact"/>
        <w:ind w:firstLine="560" w:firstLineChars="200"/>
        <w:jc w:val="left"/>
        <w:rPr>
          <w:rFonts w:hAnsi="Calibri" w:eastAsia="方正仿宋_GBK"/>
          <w:sz w:val="28"/>
          <w:szCs w:val="22"/>
        </w:rPr>
      </w:pPr>
    </w:p>
    <w:p>
      <w:pPr>
        <w:ind w:firstLine="562" w:firstLineChars="200"/>
        <w:jc w:val="left"/>
        <w:outlineLvl w:val="1"/>
        <w:rPr>
          <w:rFonts w:hAnsi="宋体"/>
          <w:b/>
          <w:sz w:val="28"/>
          <w:szCs w:val="22"/>
        </w:rPr>
      </w:pPr>
      <w:r>
        <w:rPr>
          <w:rFonts w:hint="eastAsia" w:ascii="方正仿宋_GBK" w:hAnsi="Calibri" w:eastAsia="方正仿宋_GBK"/>
          <w:b/>
          <w:sz w:val="28"/>
          <w:szCs w:val="22"/>
        </w:rPr>
        <w:t>1、2019年乡镇财政体制经费绩效目标表</w:t>
      </w:r>
      <w:r>
        <w:rPr>
          <w:rFonts w:ascii="方正仿宋_GBK" w:hAnsi="Calibri" w:eastAsia="方正仿宋_GBK"/>
          <w:b/>
          <w:sz w:val="28"/>
          <w:szCs w:val="22"/>
        </w:rPr>
        <w:fldChar w:fldCharType="begin"/>
      </w:r>
      <w:r>
        <w:rPr>
          <w:rFonts w:ascii="方正仿宋_GBK" w:hAnsi="Calibri" w:eastAsia="方正仿宋_GBK"/>
          <w:b/>
          <w:sz w:val="28"/>
          <w:szCs w:val="22"/>
        </w:rPr>
        <w:instrText xml:space="preserve"> </w:instrText>
      </w:r>
      <w:r>
        <w:rPr>
          <w:rFonts w:hint="eastAsia" w:ascii="方正仿宋_GBK" w:hAnsi="Calibri" w:eastAsia="方正仿宋_GBK"/>
          <w:b/>
          <w:sz w:val="28"/>
          <w:szCs w:val="22"/>
        </w:rPr>
        <w:instrText xml:space="preserve">TC </w:instrText>
      </w:r>
      <w:bookmarkStart w:id="3" w:name="_Toc42868123"/>
      <w:r>
        <w:rPr>
          <w:rFonts w:hint="eastAsia" w:ascii="方正仿宋_GBK" w:hAnsi="Calibri" w:eastAsia="方正仿宋_GBK"/>
          <w:b/>
          <w:sz w:val="28"/>
          <w:szCs w:val="22"/>
        </w:rPr>
        <w:instrText xml:space="preserve">1、2019年乡镇财政体制经费绩效目标表</w:instrText>
      </w:r>
      <w:bookmarkEnd w:id="3"/>
      <w:r>
        <w:rPr>
          <w:rFonts w:hint="eastAsia" w:ascii="方正仿宋_GBK" w:hAnsi="Calibri" w:eastAsia="方正仿宋_GBK"/>
          <w:b/>
          <w:sz w:val="28"/>
          <w:szCs w:val="22"/>
        </w:rPr>
        <w:instrText xml:space="preserve"> \f C \l 1</w:instrText>
      </w:r>
      <w:r>
        <w:rPr>
          <w:rFonts w:ascii="方正仿宋_GBK" w:hAnsi="Calibri" w:eastAsia="方正仿宋_GBK"/>
          <w:b/>
          <w:sz w:val="28"/>
          <w:szCs w:val="22"/>
        </w:rPr>
        <w:instrText xml:space="preserve"> </w:instrText>
      </w:r>
      <w:r>
        <w:rPr>
          <w:rFonts w:ascii="方正仿宋_GBK" w:hAnsi="Calibri" w:eastAsia="方正仿宋_GBK"/>
          <w:b/>
          <w:sz w:val="28"/>
          <w:szCs w:val="2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b/>
                <w:szCs w:val="22"/>
              </w:rPr>
            </w:pPr>
            <w:r>
              <w:rPr>
                <w:rFonts w:ascii="方正书宋_GBK" w:hAnsi="Calibri" w:eastAsia="方正书宋_GBK"/>
                <w:b/>
                <w:szCs w:val="22"/>
              </w:rPr>
              <w:t>474002</w:t>
            </w:r>
            <w:r>
              <w:rPr>
                <w:rFonts w:hint="eastAsia" w:ascii="方正书宋_GBK" w:hAnsi="Calibri" w:eastAsia="方正书宋_GBK"/>
                <w:b/>
                <w:szCs w:val="22"/>
              </w:rPr>
              <w:t>丰润区泉河头镇人民政府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Cs w:val="22"/>
              </w:rPr>
            </w:pPr>
            <w:r>
              <w:rPr>
                <w:rFonts w:hint="eastAsia" w:ascii="方正书宋_GBK" w:hAnsi="Calibri" w:eastAsia="方正书宋_GBK"/>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项目编码</w:t>
            </w:r>
          </w:p>
        </w:tc>
        <w:tc>
          <w:tcPr>
            <w:tcW w:w="2410" w:type="dxa"/>
            <w:gridSpan w:val="2"/>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474-2018-JQN-1NLI</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项目名称</w:t>
            </w:r>
          </w:p>
        </w:tc>
        <w:tc>
          <w:tcPr>
            <w:tcW w:w="4281" w:type="dxa"/>
            <w:gridSpan w:val="3"/>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2019</w:t>
            </w:r>
            <w:r>
              <w:rPr>
                <w:rFonts w:hint="eastAsia" w:ascii="方正书宋_GBK" w:hAnsi="Calibri" w:eastAsia="方正书宋_GBK"/>
                <w:szCs w:val="22"/>
              </w:rPr>
              <w:t>年乡镇财政体制经费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预算规模及资金用途</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预算数</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20000.00</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其中：财政资金</w:t>
            </w:r>
          </w:p>
        </w:tc>
        <w:tc>
          <w:tcPr>
            <w:tcW w:w="1304"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20000.00</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其他资金</w:t>
            </w:r>
          </w:p>
        </w:tc>
        <w:tc>
          <w:tcPr>
            <w:tcW w:w="1701" w:type="dxa"/>
            <w:shd w:val="clear" w:color="auto" w:fill="auto"/>
            <w:vAlign w:val="center"/>
          </w:tcPr>
          <w:p>
            <w:pPr>
              <w:spacing w:line="300" w:lineRule="exact"/>
              <w:jc w:val="left"/>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Calibri" w:hAnsi="Calibri"/>
                <w:szCs w:val="22"/>
              </w:rPr>
            </w:pPr>
          </w:p>
        </w:tc>
        <w:tc>
          <w:tcPr>
            <w:tcW w:w="8278" w:type="dxa"/>
            <w:gridSpan w:val="6"/>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保障乡镇经济发展、政务服务。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资金支出计划（</w:t>
            </w:r>
            <w:r>
              <w:rPr>
                <w:rFonts w:ascii="方正书宋_GBK" w:hAnsi="Calibri" w:eastAsia="方正书宋_GBK"/>
                <w:b/>
                <w:szCs w:val="22"/>
              </w:rPr>
              <w:t>%</w:t>
            </w:r>
            <w:r>
              <w:rPr>
                <w:rFonts w:hint="eastAsia" w:ascii="方正书宋_GBK" w:hAnsi="Calibri" w:eastAsia="方正书宋_GBK"/>
                <w:b/>
                <w:szCs w:val="22"/>
              </w:rPr>
              <w:t>）</w:t>
            </w:r>
          </w:p>
        </w:tc>
        <w:tc>
          <w:tcPr>
            <w:tcW w:w="2410"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3</w:t>
            </w:r>
            <w:r>
              <w:rPr>
                <w:rFonts w:hint="eastAsia" w:ascii="方正书宋_GBK" w:hAnsi="Calibri" w:eastAsia="方正书宋_GBK"/>
                <w:b/>
                <w:szCs w:val="22"/>
              </w:rPr>
              <w:t>月底</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6</w:t>
            </w:r>
            <w:r>
              <w:rPr>
                <w:rFonts w:hint="eastAsia" w:ascii="方正书宋_GBK" w:hAnsi="Calibri" w:eastAsia="方正书宋_GBK"/>
                <w:b/>
                <w:szCs w:val="22"/>
              </w:rPr>
              <w:t>月底</w:t>
            </w:r>
          </w:p>
        </w:tc>
        <w:tc>
          <w:tcPr>
            <w:tcW w:w="1304"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10</w:t>
            </w:r>
            <w:r>
              <w:rPr>
                <w:rFonts w:hint="eastAsia" w:ascii="方正书宋_GBK" w:hAnsi="Calibri" w:eastAsia="方正书宋_GBK"/>
                <w:b/>
                <w:szCs w:val="22"/>
              </w:rPr>
              <w:t>月底</w:t>
            </w:r>
          </w:p>
        </w:tc>
        <w:tc>
          <w:tcPr>
            <w:tcW w:w="2977"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12</w:t>
            </w:r>
            <w:r>
              <w:rPr>
                <w:rFonts w:hint="eastAsia" w:ascii="方正书宋_GBK" w:hAnsi="Calibri" w:eastAsia="方正书宋_GBK"/>
                <w:b/>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Calibri" w:hAnsi="Calibri"/>
                <w:szCs w:val="22"/>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587"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304"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8278" w:type="dxa"/>
            <w:gridSpan w:val="6"/>
            <w:tcBorders>
              <w:bottom w:val="nil"/>
            </w:tcBorders>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w:t>
            </w:r>
            <w:r>
              <w:rPr>
                <w:rFonts w:hint="eastAsia" w:ascii="方正书宋_GBK" w:hAnsi="Calibri" w:eastAsia="方正书宋_GBK"/>
                <w:szCs w:val="22"/>
              </w:rPr>
              <w:t>、机关正常运转</w:t>
            </w:r>
          </w:p>
          <w:p>
            <w:pPr>
              <w:spacing w:line="300" w:lineRule="exact"/>
              <w:jc w:val="left"/>
              <w:rPr>
                <w:rFonts w:ascii="方正书宋_GBK" w:hAnsi="Calibri" w:eastAsia="方正书宋_GBK"/>
                <w:szCs w:val="22"/>
              </w:rPr>
            </w:pPr>
            <w:r>
              <w:rPr>
                <w:rFonts w:ascii="方正书宋_GBK" w:hAnsi="Calibri" w:eastAsia="方正书宋_GBK"/>
                <w:szCs w:val="22"/>
              </w:rPr>
              <w:t>2</w:t>
            </w:r>
            <w:r>
              <w:rPr>
                <w:rFonts w:hint="eastAsia" w:ascii="方正书宋_GBK" w:hAnsi="Calibri" w:eastAsia="方正书宋_GBK"/>
                <w:szCs w:val="22"/>
              </w:rPr>
              <w:t>、乡镇信访稳定</w:t>
            </w:r>
          </w:p>
        </w:tc>
      </w:tr>
    </w:tbl>
    <w:p>
      <w:pPr>
        <w:spacing w:line="14" w:lineRule="exact"/>
        <w:ind w:firstLine="420" w:firstLineChars="200"/>
        <w:jc w:val="center"/>
        <w:rPr>
          <w:rFonts w:hAnsi="宋体"/>
          <w:szCs w:val="22"/>
        </w:rPr>
      </w:pPr>
      <w:r>
        <w:rPr>
          <w:rFonts w:ascii="方正书宋_GBK" w:hAnsi="Calibri" w:eastAsia="方正书宋_GBK"/>
          <w:szCs w:val="22"/>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一级指标</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二级指标</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三级指标</w:t>
            </w:r>
          </w:p>
        </w:tc>
        <w:tc>
          <w:tcPr>
            <w:tcW w:w="289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绩效指标描述</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w:t>
            </w:r>
          </w:p>
        </w:tc>
        <w:tc>
          <w:tcPr>
            <w:tcW w:w="170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产出指标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szCs w:val="22"/>
              </w:rPr>
            </w:pP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效果指标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社会效益指标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szCs w:val="22"/>
              </w:rPr>
            </w:pP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可持续影响指标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满意度指标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服务对象满意度指标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群众满意度</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为群众办实事</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bl>
    <w:p>
      <w:pPr>
        <w:spacing w:line="300" w:lineRule="exact"/>
        <w:ind w:firstLine="420" w:firstLineChars="200"/>
        <w:jc w:val="left"/>
        <w:rPr>
          <w:rFonts w:ascii="Calibri" w:hAnsi="Calibri"/>
          <w:szCs w:val="22"/>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szCs w:val="22"/>
        </w:rPr>
      </w:pPr>
    </w:p>
    <w:p>
      <w:pPr>
        <w:ind w:firstLine="562" w:firstLineChars="200"/>
        <w:jc w:val="left"/>
        <w:outlineLvl w:val="1"/>
        <w:rPr>
          <w:rFonts w:hAnsi="宋体"/>
          <w:b/>
          <w:sz w:val="28"/>
          <w:szCs w:val="22"/>
        </w:rPr>
      </w:pPr>
      <w:r>
        <w:rPr>
          <w:rFonts w:hint="eastAsia" w:ascii="方正仿宋_GBK" w:hAnsi="Calibri" w:eastAsia="方正仿宋_GBK"/>
          <w:b/>
          <w:sz w:val="28"/>
          <w:szCs w:val="22"/>
        </w:rPr>
        <w:t>2、2020年乡镇财政体制经费绩效目标表</w:t>
      </w:r>
      <w:r>
        <w:rPr>
          <w:rFonts w:ascii="方正仿宋_GBK" w:hAnsi="Calibri" w:eastAsia="方正仿宋_GBK"/>
          <w:b/>
          <w:sz w:val="28"/>
          <w:szCs w:val="22"/>
        </w:rPr>
        <w:fldChar w:fldCharType="begin"/>
      </w:r>
      <w:r>
        <w:rPr>
          <w:rFonts w:ascii="方正仿宋_GBK" w:hAnsi="Calibri" w:eastAsia="方正仿宋_GBK"/>
          <w:b/>
          <w:sz w:val="28"/>
          <w:szCs w:val="22"/>
        </w:rPr>
        <w:instrText xml:space="preserve"> </w:instrText>
      </w:r>
      <w:r>
        <w:rPr>
          <w:rFonts w:hint="eastAsia" w:ascii="方正仿宋_GBK" w:hAnsi="Calibri" w:eastAsia="方正仿宋_GBK"/>
          <w:b/>
          <w:sz w:val="28"/>
          <w:szCs w:val="22"/>
        </w:rPr>
        <w:instrText xml:space="preserve">TC </w:instrText>
      </w:r>
      <w:bookmarkStart w:id="4" w:name="_Toc42868124"/>
      <w:r>
        <w:rPr>
          <w:rFonts w:hint="eastAsia" w:ascii="方正仿宋_GBK" w:hAnsi="Calibri" w:eastAsia="方正仿宋_GBK"/>
          <w:b/>
          <w:sz w:val="28"/>
          <w:szCs w:val="22"/>
        </w:rPr>
        <w:instrText xml:space="preserve">2、2020年乡镇财政体制经费绩效目标表</w:instrText>
      </w:r>
      <w:bookmarkEnd w:id="4"/>
      <w:r>
        <w:rPr>
          <w:rFonts w:hint="eastAsia" w:ascii="方正仿宋_GBK" w:hAnsi="Calibri" w:eastAsia="方正仿宋_GBK"/>
          <w:b/>
          <w:sz w:val="28"/>
          <w:szCs w:val="22"/>
        </w:rPr>
        <w:instrText xml:space="preserve"> \f C \l 1</w:instrText>
      </w:r>
      <w:r>
        <w:rPr>
          <w:rFonts w:ascii="方正仿宋_GBK" w:hAnsi="Calibri" w:eastAsia="方正仿宋_GBK"/>
          <w:b/>
          <w:sz w:val="28"/>
          <w:szCs w:val="22"/>
        </w:rPr>
        <w:instrText xml:space="preserve"> </w:instrText>
      </w:r>
      <w:r>
        <w:rPr>
          <w:rFonts w:ascii="方正仿宋_GBK" w:hAnsi="Calibri" w:eastAsia="方正仿宋_GBK"/>
          <w:b/>
          <w:sz w:val="28"/>
          <w:szCs w:val="2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b/>
                <w:szCs w:val="22"/>
              </w:rPr>
            </w:pPr>
            <w:r>
              <w:rPr>
                <w:rFonts w:ascii="方正书宋_GBK" w:hAnsi="Calibri" w:eastAsia="方正书宋_GBK"/>
                <w:b/>
                <w:szCs w:val="22"/>
              </w:rPr>
              <w:t>474002</w:t>
            </w:r>
            <w:r>
              <w:rPr>
                <w:rFonts w:hint="eastAsia" w:ascii="方正书宋_GBK" w:hAnsi="Calibri" w:eastAsia="方正书宋_GBK"/>
                <w:b/>
                <w:szCs w:val="22"/>
              </w:rPr>
              <w:t>丰润区泉河头镇人民政府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Cs w:val="22"/>
              </w:rPr>
            </w:pPr>
            <w:r>
              <w:rPr>
                <w:rFonts w:hint="eastAsia" w:ascii="方正书宋_GBK" w:hAnsi="Calibri" w:eastAsia="方正书宋_GBK"/>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项目编码</w:t>
            </w:r>
          </w:p>
        </w:tc>
        <w:tc>
          <w:tcPr>
            <w:tcW w:w="2410" w:type="dxa"/>
            <w:gridSpan w:val="2"/>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474-2018-JQN-67QG</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项目名称</w:t>
            </w:r>
          </w:p>
        </w:tc>
        <w:tc>
          <w:tcPr>
            <w:tcW w:w="4281" w:type="dxa"/>
            <w:gridSpan w:val="3"/>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2020</w:t>
            </w:r>
            <w:r>
              <w:rPr>
                <w:rFonts w:hint="eastAsia" w:ascii="方正书宋_GBK" w:hAnsi="Calibri" w:eastAsia="方正书宋_GBK"/>
                <w:szCs w:val="22"/>
              </w:rPr>
              <w:t>年乡镇财政体制经费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预算规模及资金用途</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预算数</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795000.00</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其中：财政资金</w:t>
            </w:r>
          </w:p>
        </w:tc>
        <w:tc>
          <w:tcPr>
            <w:tcW w:w="1304"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795000.00</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其他资金</w:t>
            </w:r>
          </w:p>
        </w:tc>
        <w:tc>
          <w:tcPr>
            <w:tcW w:w="1701" w:type="dxa"/>
            <w:shd w:val="clear" w:color="auto" w:fill="auto"/>
            <w:vAlign w:val="center"/>
          </w:tcPr>
          <w:p>
            <w:pPr>
              <w:spacing w:line="300" w:lineRule="exact"/>
              <w:jc w:val="left"/>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Calibri" w:hAnsi="Calibri"/>
                <w:szCs w:val="22"/>
              </w:rPr>
            </w:pPr>
          </w:p>
        </w:tc>
        <w:tc>
          <w:tcPr>
            <w:tcW w:w="8278" w:type="dxa"/>
            <w:gridSpan w:val="6"/>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保障乡镇经济发展、政务服务。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资金支出计划（</w:t>
            </w:r>
            <w:r>
              <w:rPr>
                <w:rFonts w:ascii="方正书宋_GBK" w:hAnsi="Calibri" w:eastAsia="方正书宋_GBK"/>
                <w:b/>
                <w:szCs w:val="22"/>
              </w:rPr>
              <w:t>%</w:t>
            </w:r>
            <w:r>
              <w:rPr>
                <w:rFonts w:hint="eastAsia" w:ascii="方正书宋_GBK" w:hAnsi="Calibri" w:eastAsia="方正书宋_GBK"/>
                <w:b/>
                <w:szCs w:val="22"/>
              </w:rPr>
              <w:t>）</w:t>
            </w:r>
          </w:p>
        </w:tc>
        <w:tc>
          <w:tcPr>
            <w:tcW w:w="2410"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3</w:t>
            </w:r>
            <w:r>
              <w:rPr>
                <w:rFonts w:hint="eastAsia" w:ascii="方正书宋_GBK" w:hAnsi="Calibri" w:eastAsia="方正书宋_GBK"/>
                <w:b/>
                <w:szCs w:val="22"/>
              </w:rPr>
              <w:t>月底</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6</w:t>
            </w:r>
            <w:r>
              <w:rPr>
                <w:rFonts w:hint="eastAsia" w:ascii="方正书宋_GBK" w:hAnsi="Calibri" w:eastAsia="方正书宋_GBK"/>
                <w:b/>
                <w:szCs w:val="22"/>
              </w:rPr>
              <w:t>月底</w:t>
            </w:r>
          </w:p>
        </w:tc>
        <w:tc>
          <w:tcPr>
            <w:tcW w:w="1304"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10</w:t>
            </w:r>
            <w:r>
              <w:rPr>
                <w:rFonts w:hint="eastAsia" w:ascii="方正书宋_GBK" w:hAnsi="Calibri" w:eastAsia="方正书宋_GBK"/>
                <w:b/>
                <w:szCs w:val="22"/>
              </w:rPr>
              <w:t>月底</w:t>
            </w:r>
          </w:p>
        </w:tc>
        <w:tc>
          <w:tcPr>
            <w:tcW w:w="2977"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12</w:t>
            </w:r>
            <w:r>
              <w:rPr>
                <w:rFonts w:hint="eastAsia" w:ascii="方正书宋_GBK" w:hAnsi="Calibri" w:eastAsia="方正书宋_GBK"/>
                <w:b/>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Calibri" w:hAnsi="Calibri"/>
                <w:szCs w:val="22"/>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587"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304"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8278" w:type="dxa"/>
            <w:gridSpan w:val="6"/>
            <w:tcBorders>
              <w:bottom w:val="nil"/>
            </w:tcBorders>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w:t>
            </w:r>
            <w:r>
              <w:rPr>
                <w:rFonts w:hint="eastAsia" w:ascii="方正书宋_GBK" w:hAnsi="Calibri" w:eastAsia="方正书宋_GBK"/>
                <w:szCs w:val="22"/>
              </w:rPr>
              <w:t>、乡镇信访稳定</w:t>
            </w:r>
          </w:p>
          <w:p>
            <w:pPr>
              <w:spacing w:line="300" w:lineRule="exact"/>
              <w:jc w:val="left"/>
              <w:rPr>
                <w:rFonts w:ascii="方正书宋_GBK" w:hAnsi="Calibri" w:eastAsia="方正书宋_GBK"/>
                <w:szCs w:val="22"/>
              </w:rPr>
            </w:pPr>
            <w:r>
              <w:rPr>
                <w:rFonts w:ascii="方正书宋_GBK" w:hAnsi="Calibri" w:eastAsia="方正书宋_GBK"/>
                <w:szCs w:val="22"/>
              </w:rPr>
              <w:t>2</w:t>
            </w:r>
            <w:r>
              <w:rPr>
                <w:rFonts w:hint="eastAsia" w:ascii="方正书宋_GBK" w:hAnsi="Calibri" w:eastAsia="方正书宋_GBK"/>
                <w:szCs w:val="22"/>
              </w:rPr>
              <w:t>、机关正常运转</w:t>
            </w:r>
          </w:p>
        </w:tc>
      </w:tr>
    </w:tbl>
    <w:p>
      <w:pPr>
        <w:spacing w:line="14" w:lineRule="exact"/>
        <w:ind w:firstLine="420" w:firstLineChars="200"/>
        <w:jc w:val="center"/>
        <w:rPr>
          <w:rFonts w:hAnsi="宋体"/>
          <w:szCs w:val="22"/>
        </w:rPr>
      </w:pPr>
      <w:r>
        <w:rPr>
          <w:rFonts w:ascii="方正书宋_GBK" w:hAnsi="Calibri" w:eastAsia="方正书宋_GBK"/>
          <w:szCs w:val="22"/>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一级指标</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二级指标</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三级指标</w:t>
            </w:r>
          </w:p>
        </w:tc>
        <w:tc>
          <w:tcPr>
            <w:tcW w:w="289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绩效指标描述</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w:t>
            </w:r>
          </w:p>
        </w:tc>
        <w:tc>
          <w:tcPr>
            <w:tcW w:w="170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产出指标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p>
            <w:pPr>
              <w:spacing w:line="300" w:lineRule="exact"/>
              <w:jc w:val="left"/>
              <w:rPr>
                <w:rFonts w:ascii="方正书宋_GBK" w:hAnsi="Calibri" w:eastAsia="方正书宋_GBK"/>
                <w:szCs w:val="22"/>
              </w:rPr>
            </w:pP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机关正常运转</w:t>
            </w:r>
          </w:p>
          <w:p>
            <w:pPr>
              <w:spacing w:line="300" w:lineRule="exact"/>
              <w:jc w:val="left"/>
              <w:rPr>
                <w:rFonts w:ascii="方正书宋_GBK" w:hAnsi="Calibri" w:eastAsia="方正书宋_GBK"/>
                <w:szCs w:val="22"/>
              </w:rPr>
            </w:pP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szCs w:val="22"/>
              </w:rPr>
            </w:pP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p>
            <w:pPr>
              <w:spacing w:line="300" w:lineRule="exact"/>
              <w:jc w:val="left"/>
              <w:rPr>
                <w:rFonts w:ascii="方正书宋_GBK" w:hAnsi="Calibri" w:eastAsia="方正书宋_GBK"/>
                <w:szCs w:val="22"/>
              </w:rPr>
            </w:pP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p>
            <w:pPr>
              <w:spacing w:line="300" w:lineRule="exact"/>
              <w:jc w:val="left"/>
              <w:rPr>
                <w:rFonts w:ascii="方正书宋_GBK" w:hAnsi="Calibri" w:eastAsia="方正书宋_GBK"/>
                <w:szCs w:val="22"/>
              </w:rPr>
            </w:pP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效果指标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社会效益指标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乡镇信访稳定</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满意度指标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服务对象满意度指标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群众满意度</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为群众办实事</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bl>
    <w:p>
      <w:pPr>
        <w:spacing w:line="300" w:lineRule="exact"/>
        <w:ind w:firstLine="420" w:firstLineChars="200"/>
        <w:jc w:val="left"/>
        <w:rPr>
          <w:rFonts w:ascii="Calibri" w:hAnsi="Calibri"/>
          <w:szCs w:val="22"/>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szCs w:val="22"/>
        </w:rPr>
      </w:pPr>
    </w:p>
    <w:p>
      <w:pPr>
        <w:ind w:firstLine="562" w:firstLineChars="200"/>
        <w:jc w:val="left"/>
        <w:outlineLvl w:val="1"/>
        <w:rPr>
          <w:rFonts w:hAnsi="宋体"/>
          <w:b/>
          <w:sz w:val="28"/>
          <w:szCs w:val="22"/>
        </w:rPr>
      </w:pPr>
      <w:r>
        <w:rPr>
          <w:rFonts w:hint="eastAsia" w:ascii="方正仿宋_GBK" w:hAnsi="Calibri" w:eastAsia="方正仿宋_GBK"/>
          <w:b/>
          <w:sz w:val="28"/>
          <w:szCs w:val="22"/>
        </w:rPr>
        <w:t>3、财政所经费绩效目标表</w:t>
      </w:r>
      <w:r>
        <w:rPr>
          <w:rFonts w:ascii="方正仿宋_GBK" w:hAnsi="Calibri" w:eastAsia="方正仿宋_GBK"/>
          <w:b/>
          <w:sz w:val="28"/>
          <w:szCs w:val="22"/>
        </w:rPr>
        <w:fldChar w:fldCharType="begin"/>
      </w:r>
      <w:r>
        <w:rPr>
          <w:rFonts w:ascii="方正仿宋_GBK" w:hAnsi="Calibri" w:eastAsia="方正仿宋_GBK"/>
          <w:b/>
          <w:sz w:val="28"/>
          <w:szCs w:val="22"/>
        </w:rPr>
        <w:instrText xml:space="preserve"> </w:instrText>
      </w:r>
      <w:r>
        <w:rPr>
          <w:rFonts w:hint="eastAsia" w:ascii="方正仿宋_GBK" w:hAnsi="Calibri" w:eastAsia="方正仿宋_GBK"/>
          <w:b/>
          <w:sz w:val="28"/>
          <w:szCs w:val="22"/>
        </w:rPr>
        <w:instrText xml:space="preserve">TC </w:instrText>
      </w:r>
      <w:bookmarkStart w:id="5" w:name="_Toc42868125"/>
      <w:r>
        <w:rPr>
          <w:rFonts w:hint="eastAsia" w:ascii="方正仿宋_GBK" w:hAnsi="Calibri" w:eastAsia="方正仿宋_GBK"/>
          <w:b/>
          <w:sz w:val="28"/>
          <w:szCs w:val="22"/>
        </w:rPr>
        <w:instrText xml:space="preserve">3、财政所经费绩效目标表</w:instrText>
      </w:r>
      <w:bookmarkEnd w:id="5"/>
      <w:r>
        <w:rPr>
          <w:rFonts w:hint="eastAsia" w:ascii="方正仿宋_GBK" w:hAnsi="Calibri" w:eastAsia="方正仿宋_GBK"/>
          <w:b/>
          <w:sz w:val="28"/>
          <w:szCs w:val="22"/>
        </w:rPr>
        <w:instrText xml:space="preserve"> \f C \l 1</w:instrText>
      </w:r>
      <w:r>
        <w:rPr>
          <w:rFonts w:ascii="方正仿宋_GBK" w:hAnsi="Calibri" w:eastAsia="方正仿宋_GBK"/>
          <w:b/>
          <w:sz w:val="28"/>
          <w:szCs w:val="22"/>
        </w:rPr>
        <w:instrText xml:space="preserve"> </w:instrText>
      </w:r>
      <w:r>
        <w:rPr>
          <w:rFonts w:ascii="方正仿宋_GBK" w:hAnsi="Calibri" w:eastAsia="方正仿宋_GBK"/>
          <w:b/>
          <w:sz w:val="28"/>
          <w:szCs w:val="2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b/>
                <w:szCs w:val="22"/>
              </w:rPr>
            </w:pPr>
            <w:r>
              <w:rPr>
                <w:rFonts w:ascii="方正书宋_GBK" w:hAnsi="Calibri" w:eastAsia="方正书宋_GBK"/>
                <w:b/>
                <w:szCs w:val="22"/>
              </w:rPr>
              <w:t>474002</w:t>
            </w:r>
            <w:r>
              <w:rPr>
                <w:rFonts w:hint="eastAsia" w:ascii="方正书宋_GBK" w:hAnsi="Calibri" w:eastAsia="方正书宋_GBK"/>
                <w:b/>
                <w:szCs w:val="22"/>
              </w:rPr>
              <w:t>丰润区泉河头镇人民政府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Cs w:val="22"/>
              </w:rPr>
            </w:pPr>
            <w:r>
              <w:rPr>
                <w:rFonts w:hint="eastAsia" w:ascii="方正书宋_GBK" w:hAnsi="Calibri" w:eastAsia="方正书宋_GBK"/>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项目编码</w:t>
            </w:r>
          </w:p>
        </w:tc>
        <w:tc>
          <w:tcPr>
            <w:tcW w:w="2410" w:type="dxa"/>
            <w:gridSpan w:val="2"/>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474-2018-JQN-2GU5</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项目名称</w:t>
            </w:r>
          </w:p>
        </w:tc>
        <w:tc>
          <w:tcPr>
            <w:tcW w:w="4281" w:type="dxa"/>
            <w:gridSpan w:val="3"/>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财政所经费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预算规模及资金用途</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预算数</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20000.00</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其中：财政资金</w:t>
            </w:r>
          </w:p>
        </w:tc>
        <w:tc>
          <w:tcPr>
            <w:tcW w:w="1304"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20000.00</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其他资金</w:t>
            </w:r>
          </w:p>
        </w:tc>
        <w:tc>
          <w:tcPr>
            <w:tcW w:w="1701" w:type="dxa"/>
            <w:shd w:val="clear" w:color="auto" w:fill="auto"/>
            <w:vAlign w:val="center"/>
          </w:tcPr>
          <w:p>
            <w:pPr>
              <w:spacing w:line="300" w:lineRule="exact"/>
              <w:jc w:val="left"/>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Calibri" w:hAnsi="Calibri"/>
                <w:szCs w:val="22"/>
              </w:rPr>
            </w:pPr>
          </w:p>
        </w:tc>
        <w:tc>
          <w:tcPr>
            <w:tcW w:w="8278" w:type="dxa"/>
            <w:gridSpan w:val="6"/>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购置新的办公设备及报销差旅费等项目。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资金支出计划（</w:t>
            </w:r>
            <w:r>
              <w:rPr>
                <w:rFonts w:ascii="方正书宋_GBK" w:hAnsi="Calibri" w:eastAsia="方正书宋_GBK"/>
                <w:b/>
                <w:szCs w:val="22"/>
              </w:rPr>
              <w:t>%</w:t>
            </w:r>
            <w:r>
              <w:rPr>
                <w:rFonts w:hint="eastAsia" w:ascii="方正书宋_GBK" w:hAnsi="Calibri" w:eastAsia="方正书宋_GBK"/>
                <w:b/>
                <w:szCs w:val="22"/>
              </w:rPr>
              <w:t>）</w:t>
            </w:r>
          </w:p>
        </w:tc>
        <w:tc>
          <w:tcPr>
            <w:tcW w:w="2410"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3</w:t>
            </w:r>
            <w:r>
              <w:rPr>
                <w:rFonts w:hint="eastAsia" w:ascii="方正书宋_GBK" w:hAnsi="Calibri" w:eastAsia="方正书宋_GBK"/>
                <w:b/>
                <w:szCs w:val="22"/>
              </w:rPr>
              <w:t>月底</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6</w:t>
            </w:r>
            <w:r>
              <w:rPr>
                <w:rFonts w:hint="eastAsia" w:ascii="方正书宋_GBK" w:hAnsi="Calibri" w:eastAsia="方正书宋_GBK"/>
                <w:b/>
                <w:szCs w:val="22"/>
              </w:rPr>
              <w:t>月底</w:t>
            </w:r>
          </w:p>
        </w:tc>
        <w:tc>
          <w:tcPr>
            <w:tcW w:w="1304"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10</w:t>
            </w:r>
            <w:r>
              <w:rPr>
                <w:rFonts w:hint="eastAsia" w:ascii="方正书宋_GBK" w:hAnsi="Calibri" w:eastAsia="方正书宋_GBK"/>
                <w:b/>
                <w:szCs w:val="22"/>
              </w:rPr>
              <w:t>月底</w:t>
            </w:r>
          </w:p>
        </w:tc>
        <w:tc>
          <w:tcPr>
            <w:tcW w:w="2977"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12</w:t>
            </w:r>
            <w:r>
              <w:rPr>
                <w:rFonts w:hint="eastAsia" w:ascii="方正书宋_GBK" w:hAnsi="Calibri" w:eastAsia="方正书宋_GBK"/>
                <w:b/>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Calibri" w:hAnsi="Calibri"/>
                <w:szCs w:val="22"/>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587"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304"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8278" w:type="dxa"/>
            <w:gridSpan w:val="6"/>
            <w:tcBorders>
              <w:bottom w:val="nil"/>
            </w:tcBorders>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w:t>
            </w:r>
            <w:r>
              <w:rPr>
                <w:rFonts w:hint="eastAsia" w:ascii="方正书宋_GBK" w:hAnsi="Calibri" w:eastAsia="方正书宋_GBK"/>
                <w:szCs w:val="22"/>
              </w:rPr>
              <w:t>、财政所正常运转。</w:t>
            </w:r>
          </w:p>
          <w:p>
            <w:pPr>
              <w:spacing w:line="300" w:lineRule="exact"/>
              <w:jc w:val="left"/>
              <w:rPr>
                <w:rFonts w:ascii="方正书宋_GBK" w:hAnsi="Calibri" w:eastAsia="方正书宋_GBK"/>
                <w:szCs w:val="22"/>
              </w:rPr>
            </w:pPr>
            <w:r>
              <w:rPr>
                <w:rFonts w:ascii="方正书宋_GBK" w:hAnsi="Calibri" w:eastAsia="方正书宋_GBK"/>
                <w:szCs w:val="22"/>
              </w:rPr>
              <w:t>2</w:t>
            </w:r>
            <w:r>
              <w:rPr>
                <w:rFonts w:hint="eastAsia" w:ascii="方正书宋_GBK" w:hAnsi="Calibri" w:eastAsia="方正书宋_GBK"/>
                <w:szCs w:val="22"/>
              </w:rPr>
              <w:t>、购置新的办公设备及报销差旅费等项目。</w:t>
            </w:r>
          </w:p>
        </w:tc>
      </w:tr>
    </w:tbl>
    <w:p>
      <w:pPr>
        <w:spacing w:line="14" w:lineRule="exact"/>
        <w:ind w:firstLine="420" w:firstLineChars="200"/>
        <w:jc w:val="center"/>
        <w:rPr>
          <w:rFonts w:hAnsi="宋体"/>
          <w:szCs w:val="22"/>
        </w:rPr>
      </w:pPr>
      <w:r>
        <w:rPr>
          <w:rFonts w:ascii="方正书宋_GBK" w:hAnsi="Calibri" w:eastAsia="方正书宋_GBK"/>
          <w:szCs w:val="22"/>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一级指标</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二级指标</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三级指标</w:t>
            </w:r>
          </w:p>
        </w:tc>
        <w:tc>
          <w:tcPr>
            <w:tcW w:w="289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绩效指标描述</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w:t>
            </w:r>
          </w:p>
        </w:tc>
        <w:tc>
          <w:tcPr>
            <w:tcW w:w="170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产出指标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购置新的办公设备及报销差旅费等项目。</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购置新的办公设备及报销差旅费等项目。</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效果指标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可持续影响指标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购置新的办公设备及报销差旅费等项目。</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购置新的办公设备及报销差旅费等项目。</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满意度指标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服务对象满意度指标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群众满意度</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为群众办理业务</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bl>
    <w:p>
      <w:pPr>
        <w:spacing w:line="300" w:lineRule="exact"/>
        <w:ind w:firstLine="420" w:firstLineChars="200"/>
        <w:jc w:val="left"/>
        <w:rPr>
          <w:rFonts w:ascii="Calibri" w:hAnsi="Calibri"/>
          <w:szCs w:val="22"/>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szCs w:val="22"/>
        </w:rPr>
      </w:pPr>
    </w:p>
    <w:p>
      <w:pPr>
        <w:ind w:firstLine="562" w:firstLineChars="200"/>
        <w:jc w:val="left"/>
        <w:outlineLvl w:val="1"/>
        <w:rPr>
          <w:rFonts w:hAnsi="宋体"/>
          <w:b/>
          <w:sz w:val="28"/>
          <w:szCs w:val="22"/>
        </w:rPr>
      </w:pPr>
      <w:r>
        <w:rPr>
          <w:rFonts w:hint="eastAsia" w:ascii="方正仿宋_GBK" w:hAnsi="Calibri" w:eastAsia="方正仿宋_GBK"/>
          <w:b/>
          <w:sz w:val="28"/>
          <w:szCs w:val="22"/>
        </w:rPr>
        <w:t>4、村级转移支付绩效目标表</w:t>
      </w:r>
      <w:r>
        <w:rPr>
          <w:rFonts w:ascii="方正仿宋_GBK" w:hAnsi="Calibri" w:eastAsia="方正仿宋_GBK"/>
          <w:b/>
          <w:sz w:val="28"/>
          <w:szCs w:val="22"/>
        </w:rPr>
        <w:fldChar w:fldCharType="begin"/>
      </w:r>
      <w:r>
        <w:rPr>
          <w:rFonts w:ascii="方正仿宋_GBK" w:hAnsi="Calibri" w:eastAsia="方正仿宋_GBK"/>
          <w:b/>
          <w:sz w:val="28"/>
          <w:szCs w:val="22"/>
        </w:rPr>
        <w:instrText xml:space="preserve"> </w:instrText>
      </w:r>
      <w:r>
        <w:rPr>
          <w:rFonts w:hint="eastAsia" w:ascii="方正仿宋_GBK" w:hAnsi="Calibri" w:eastAsia="方正仿宋_GBK"/>
          <w:b/>
          <w:sz w:val="28"/>
          <w:szCs w:val="22"/>
        </w:rPr>
        <w:instrText xml:space="preserve">TC </w:instrText>
      </w:r>
      <w:bookmarkStart w:id="6" w:name="_Toc42868126"/>
      <w:r>
        <w:rPr>
          <w:rFonts w:hint="eastAsia" w:ascii="方正仿宋_GBK" w:hAnsi="Calibri" w:eastAsia="方正仿宋_GBK"/>
          <w:b/>
          <w:sz w:val="28"/>
          <w:szCs w:val="22"/>
        </w:rPr>
        <w:instrText xml:space="preserve">4、村级转移支付绩效目标表</w:instrText>
      </w:r>
      <w:bookmarkEnd w:id="6"/>
      <w:r>
        <w:rPr>
          <w:rFonts w:hint="eastAsia" w:ascii="方正仿宋_GBK" w:hAnsi="Calibri" w:eastAsia="方正仿宋_GBK"/>
          <w:b/>
          <w:sz w:val="28"/>
          <w:szCs w:val="22"/>
        </w:rPr>
        <w:instrText xml:space="preserve"> \f C \l 1</w:instrText>
      </w:r>
      <w:r>
        <w:rPr>
          <w:rFonts w:ascii="方正仿宋_GBK" w:hAnsi="Calibri" w:eastAsia="方正仿宋_GBK"/>
          <w:b/>
          <w:sz w:val="28"/>
          <w:szCs w:val="22"/>
        </w:rPr>
        <w:instrText xml:space="preserve"> </w:instrText>
      </w:r>
      <w:r>
        <w:rPr>
          <w:rFonts w:ascii="方正仿宋_GBK" w:hAnsi="Calibri" w:eastAsia="方正仿宋_GBK"/>
          <w:b/>
          <w:sz w:val="28"/>
          <w:szCs w:val="2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b/>
                <w:szCs w:val="22"/>
              </w:rPr>
            </w:pPr>
            <w:r>
              <w:rPr>
                <w:rFonts w:ascii="方正书宋_GBK" w:hAnsi="Calibri" w:eastAsia="方正书宋_GBK"/>
                <w:b/>
                <w:szCs w:val="22"/>
              </w:rPr>
              <w:t>474002</w:t>
            </w:r>
            <w:r>
              <w:rPr>
                <w:rFonts w:hint="eastAsia" w:ascii="方正书宋_GBK" w:hAnsi="Calibri" w:eastAsia="方正书宋_GBK"/>
                <w:b/>
                <w:szCs w:val="22"/>
              </w:rPr>
              <w:t>丰润区泉河头镇人民政府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Cs w:val="22"/>
              </w:rPr>
            </w:pPr>
            <w:r>
              <w:rPr>
                <w:rFonts w:hint="eastAsia" w:ascii="方正书宋_GBK" w:hAnsi="Calibri" w:eastAsia="方正书宋_GBK"/>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项目编码</w:t>
            </w:r>
          </w:p>
        </w:tc>
        <w:tc>
          <w:tcPr>
            <w:tcW w:w="2410" w:type="dxa"/>
            <w:gridSpan w:val="2"/>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474-1008-JBN-VOKU</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项目名称</w:t>
            </w:r>
          </w:p>
        </w:tc>
        <w:tc>
          <w:tcPr>
            <w:tcW w:w="4281" w:type="dxa"/>
            <w:gridSpan w:val="3"/>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村级转移支付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预算规模及资金用途</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预算数</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237000.00</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其中：财政资金</w:t>
            </w:r>
          </w:p>
        </w:tc>
        <w:tc>
          <w:tcPr>
            <w:tcW w:w="1304"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237000.00</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其他资金</w:t>
            </w:r>
          </w:p>
        </w:tc>
        <w:tc>
          <w:tcPr>
            <w:tcW w:w="1701" w:type="dxa"/>
            <w:shd w:val="clear" w:color="auto" w:fill="auto"/>
            <w:vAlign w:val="center"/>
          </w:tcPr>
          <w:p>
            <w:pPr>
              <w:spacing w:line="300" w:lineRule="exact"/>
              <w:jc w:val="left"/>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Calibri" w:hAnsi="Calibri"/>
                <w:szCs w:val="22"/>
              </w:rPr>
            </w:pPr>
          </w:p>
        </w:tc>
        <w:tc>
          <w:tcPr>
            <w:tcW w:w="8278" w:type="dxa"/>
            <w:gridSpan w:val="6"/>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用于村级办公经费补助和村民小组长误工补贴，维持村内事务正常运行。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资金支出计划（</w:t>
            </w:r>
            <w:r>
              <w:rPr>
                <w:rFonts w:ascii="方正书宋_GBK" w:hAnsi="Calibri" w:eastAsia="方正书宋_GBK"/>
                <w:b/>
                <w:szCs w:val="22"/>
              </w:rPr>
              <w:t>%</w:t>
            </w:r>
            <w:r>
              <w:rPr>
                <w:rFonts w:hint="eastAsia" w:ascii="方正书宋_GBK" w:hAnsi="Calibri" w:eastAsia="方正书宋_GBK"/>
                <w:b/>
                <w:szCs w:val="22"/>
              </w:rPr>
              <w:t>）</w:t>
            </w:r>
          </w:p>
        </w:tc>
        <w:tc>
          <w:tcPr>
            <w:tcW w:w="2410"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3</w:t>
            </w:r>
            <w:r>
              <w:rPr>
                <w:rFonts w:hint="eastAsia" w:ascii="方正书宋_GBK" w:hAnsi="Calibri" w:eastAsia="方正书宋_GBK"/>
                <w:b/>
                <w:szCs w:val="22"/>
              </w:rPr>
              <w:t>月底</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6</w:t>
            </w:r>
            <w:r>
              <w:rPr>
                <w:rFonts w:hint="eastAsia" w:ascii="方正书宋_GBK" w:hAnsi="Calibri" w:eastAsia="方正书宋_GBK"/>
                <w:b/>
                <w:szCs w:val="22"/>
              </w:rPr>
              <w:t>月底</w:t>
            </w:r>
          </w:p>
        </w:tc>
        <w:tc>
          <w:tcPr>
            <w:tcW w:w="1304"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10</w:t>
            </w:r>
            <w:r>
              <w:rPr>
                <w:rFonts w:hint="eastAsia" w:ascii="方正书宋_GBK" w:hAnsi="Calibri" w:eastAsia="方正书宋_GBK"/>
                <w:b/>
                <w:szCs w:val="22"/>
              </w:rPr>
              <w:t>月底</w:t>
            </w:r>
          </w:p>
        </w:tc>
        <w:tc>
          <w:tcPr>
            <w:tcW w:w="2977"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12</w:t>
            </w:r>
            <w:r>
              <w:rPr>
                <w:rFonts w:hint="eastAsia" w:ascii="方正书宋_GBK" w:hAnsi="Calibri" w:eastAsia="方正书宋_GBK"/>
                <w:b/>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Calibri" w:hAnsi="Calibri"/>
                <w:szCs w:val="22"/>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587"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304"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8278" w:type="dxa"/>
            <w:gridSpan w:val="6"/>
            <w:tcBorders>
              <w:bottom w:val="nil"/>
            </w:tcBorders>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w:t>
            </w:r>
            <w:r>
              <w:rPr>
                <w:rFonts w:hint="eastAsia" w:ascii="方正书宋_GBK" w:hAnsi="Calibri" w:eastAsia="方正书宋_GBK"/>
                <w:szCs w:val="22"/>
              </w:rPr>
              <w:t>、村委会正常办公</w:t>
            </w:r>
          </w:p>
          <w:p>
            <w:pPr>
              <w:spacing w:line="300" w:lineRule="exact"/>
              <w:jc w:val="left"/>
              <w:rPr>
                <w:rFonts w:ascii="方正书宋_GBK" w:hAnsi="Calibri" w:eastAsia="方正书宋_GBK"/>
                <w:szCs w:val="22"/>
              </w:rPr>
            </w:pPr>
            <w:r>
              <w:rPr>
                <w:rFonts w:ascii="方正书宋_GBK" w:hAnsi="Calibri" w:eastAsia="方正书宋_GBK"/>
                <w:szCs w:val="22"/>
              </w:rPr>
              <w:t>2</w:t>
            </w:r>
            <w:r>
              <w:rPr>
                <w:rFonts w:hint="eastAsia" w:ascii="方正书宋_GBK" w:hAnsi="Calibri" w:eastAsia="方正书宋_GBK"/>
                <w:szCs w:val="22"/>
              </w:rPr>
              <w:t>、村民小组长误工补贴发放到位</w:t>
            </w:r>
          </w:p>
        </w:tc>
      </w:tr>
    </w:tbl>
    <w:p>
      <w:pPr>
        <w:spacing w:line="14" w:lineRule="exact"/>
        <w:ind w:firstLine="420" w:firstLineChars="200"/>
        <w:jc w:val="center"/>
        <w:rPr>
          <w:rFonts w:hAnsi="宋体"/>
          <w:szCs w:val="22"/>
        </w:rPr>
      </w:pPr>
      <w:r>
        <w:rPr>
          <w:rFonts w:ascii="方正书宋_GBK" w:hAnsi="Calibri" w:eastAsia="方正书宋_GBK"/>
          <w:szCs w:val="22"/>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一级指标</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二级指标</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三级指标</w:t>
            </w:r>
          </w:p>
        </w:tc>
        <w:tc>
          <w:tcPr>
            <w:tcW w:w="289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绩效指标描述</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w:t>
            </w:r>
          </w:p>
        </w:tc>
        <w:tc>
          <w:tcPr>
            <w:tcW w:w="170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产出指标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村民小组长误工补贴发放到位</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村民小组长误工补贴发放到位。</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效果指标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可持续影响指标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村委会能正常运转</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村委会能正常运转。</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满意度指标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服务对象满意度指标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群众满意度</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为群众办理业务，维持村务正常运行</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bl>
    <w:p>
      <w:pPr>
        <w:spacing w:line="300" w:lineRule="exact"/>
        <w:ind w:firstLine="420" w:firstLineChars="200"/>
        <w:jc w:val="left"/>
        <w:rPr>
          <w:rFonts w:ascii="Calibri" w:hAnsi="Calibri"/>
          <w:szCs w:val="22"/>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szCs w:val="22"/>
        </w:rPr>
      </w:pPr>
    </w:p>
    <w:p>
      <w:pPr>
        <w:ind w:firstLine="562" w:firstLineChars="200"/>
        <w:jc w:val="left"/>
        <w:outlineLvl w:val="1"/>
        <w:rPr>
          <w:rFonts w:hAnsi="宋体"/>
          <w:b/>
          <w:sz w:val="28"/>
          <w:szCs w:val="22"/>
        </w:rPr>
      </w:pPr>
      <w:r>
        <w:rPr>
          <w:rFonts w:hint="eastAsia" w:ascii="方正仿宋_GBK" w:hAnsi="Calibri" w:eastAsia="方正仿宋_GBK"/>
          <w:b/>
          <w:sz w:val="28"/>
          <w:szCs w:val="22"/>
        </w:rPr>
        <w:t>5、四术并发症费用绩效目标表</w:t>
      </w:r>
      <w:r>
        <w:rPr>
          <w:rFonts w:ascii="方正仿宋_GBK" w:hAnsi="Calibri" w:eastAsia="方正仿宋_GBK"/>
          <w:b/>
          <w:sz w:val="28"/>
          <w:szCs w:val="22"/>
        </w:rPr>
        <w:fldChar w:fldCharType="begin"/>
      </w:r>
      <w:r>
        <w:rPr>
          <w:rFonts w:ascii="方正仿宋_GBK" w:hAnsi="Calibri" w:eastAsia="方正仿宋_GBK"/>
          <w:b/>
          <w:sz w:val="28"/>
          <w:szCs w:val="22"/>
        </w:rPr>
        <w:instrText xml:space="preserve"> </w:instrText>
      </w:r>
      <w:r>
        <w:rPr>
          <w:rFonts w:hint="eastAsia" w:ascii="方正仿宋_GBK" w:hAnsi="Calibri" w:eastAsia="方正仿宋_GBK"/>
          <w:b/>
          <w:sz w:val="28"/>
          <w:szCs w:val="22"/>
        </w:rPr>
        <w:instrText xml:space="preserve">TC </w:instrText>
      </w:r>
      <w:bookmarkStart w:id="7" w:name="_Toc42868127"/>
      <w:r>
        <w:rPr>
          <w:rFonts w:hint="eastAsia" w:ascii="方正仿宋_GBK" w:hAnsi="Calibri" w:eastAsia="方正仿宋_GBK"/>
          <w:b/>
          <w:sz w:val="28"/>
          <w:szCs w:val="22"/>
        </w:rPr>
        <w:instrText xml:space="preserve">5、四术并发症费用绩效目标表</w:instrText>
      </w:r>
      <w:bookmarkEnd w:id="7"/>
      <w:r>
        <w:rPr>
          <w:rFonts w:hint="eastAsia" w:ascii="方正仿宋_GBK" w:hAnsi="Calibri" w:eastAsia="方正仿宋_GBK"/>
          <w:b/>
          <w:sz w:val="28"/>
          <w:szCs w:val="22"/>
        </w:rPr>
        <w:instrText xml:space="preserve"> \f C \l 1</w:instrText>
      </w:r>
      <w:r>
        <w:rPr>
          <w:rFonts w:ascii="方正仿宋_GBK" w:hAnsi="Calibri" w:eastAsia="方正仿宋_GBK"/>
          <w:b/>
          <w:sz w:val="28"/>
          <w:szCs w:val="22"/>
        </w:rPr>
        <w:instrText xml:space="preserve"> </w:instrText>
      </w:r>
      <w:r>
        <w:rPr>
          <w:rFonts w:ascii="方正仿宋_GBK" w:hAnsi="Calibri" w:eastAsia="方正仿宋_GBK"/>
          <w:b/>
          <w:sz w:val="28"/>
          <w:szCs w:val="2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b/>
                <w:szCs w:val="22"/>
              </w:rPr>
            </w:pPr>
            <w:r>
              <w:rPr>
                <w:rFonts w:ascii="方正书宋_GBK" w:hAnsi="Calibri" w:eastAsia="方正书宋_GBK"/>
                <w:b/>
                <w:szCs w:val="22"/>
              </w:rPr>
              <w:t>474002</w:t>
            </w:r>
            <w:r>
              <w:rPr>
                <w:rFonts w:hint="eastAsia" w:ascii="方正书宋_GBK" w:hAnsi="Calibri" w:eastAsia="方正书宋_GBK"/>
                <w:b/>
                <w:szCs w:val="22"/>
              </w:rPr>
              <w:t>丰润区泉河头镇人民政府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szCs w:val="22"/>
              </w:rPr>
            </w:pPr>
            <w:r>
              <w:rPr>
                <w:rFonts w:hint="eastAsia" w:ascii="方正书宋_GBK" w:hAnsi="Calibri" w:eastAsia="方正书宋_GBK"/>
                <w:szCs w:val="2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项目编码</w:t>
            </w:r>
          </w:p>
        </w:tc>
        <w:tc>
          <w:tcPr>
            <w:tcW w:w="2410" w:type="dxa"/>
            <w:gridSpan w:val="2"/>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474-2018-YQN-XRIE</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项目名称</w:t>
            </w:r>
          </w:p>
        </w:tc>
        <w:tc>
          <w:tcPr>
            <w:tcW w:w="4281" w:type="dxa"/>
            <w:gridSpan w:val="3"/>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四术并发症费用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预算规模及资金用途</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预算数</w:t>
            </w:r>
          </w:p>
        </w:tc>
        <w:tc>
          <w:tcPr>
            <w:tcW w:w="1276"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10460.00</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其中：财政资金</w:t>
            </w:r>
          </w:p>
        </w:tc>
        <w:tc>
          <w:tcPr>
            <w:tcW w:w="1304" w:type="dxa"/>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10460.00</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其他资金</w:t>
            </w:r>
          </w:p>
        </w:tc>
        <w:tc>
          <w:tcPr>
            <w:tcW w:w="1701" w:type="dxa"/>
            <w:shd w:val="clear" w:color="auto" w:fill="auto"/>
            <w:vAlign w:val="center"/>
          </w:tcPr>
          <w:p>
            <w:pPr>
              <w:spacing w:line="300" w:lineRule="exact"/>
              <w:jc w:val="left"/>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Calibri" w:hAnsi="Calibri"/>
                <w:szCs w:val="22"/>
              </w:rPr>
            </w:pPr>
          </w:p>
        </w:tc>
        <w:tc>
          <w:tcPr>
            <w:tcW w:w="8278" w:type="dxa"/>
            <w:gridSpan w:val="6"/>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为消除信访隐患，解决多年前因实施计划生育政策节育的村民引发的四术并发后遗症，按照上级文件精神需对并发症村民进行医药费补贴。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资金支出计划（</w:t>
            </w:r>
            <w:r>
              <w:rPr>
                <w:rFonts w:ascii="方正书宋_GBK" w:hAnsi="Calibri" w:eastAsia="方正书宋_GBK"/>
                <w:b/>
                <w:szCs w:val="22"/>
              </w:rPr>
              <w:t>%</w:t>
            </w:r>
            <w:r>
              <w:rPr>
                <w:rFonts w:hint="eastAsia" w:ascii="方正书宋_GBK" w:hAnsi="Calibri" w:eastAsia="方正书宋_GBK"/>
                <w:b/>
                <w:szCs w:val="22"/>
              </w:rPr>
              <w:t>）</w:t>
            </w:r>
          </w:p>
        </w:tc>
        <w:tc>
          <w:tcPr>
            <w:tcW w:w="2410"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3</w:t>
            </w:r>
            <w:r>
              <w:rPr>
                <w:rFonts w:hint="eastAsia" w:ascii="方正书宋_GBK" w:hAnsi="Calibri" w:eastAsia="方正书宋_GBK"/>
                <w:b/>
                <w:szCs w:val="22"/>
              </w:rPr>
              <w:t>月底</w:t>
            </w:r>
          </w:p>
        </w:tc>
        <w:tc>
          <w:tcPr>
            <w:tcW w:w="1587"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6</w:t>
            </w:r>
            <w:r>
              <w:rPr>
                <w:rFonts w:hint="eastAsia" w:ascii="方正书宋_GBK" w:hAnsi="Calibri" w:eastAsia="方正书宋_GBK"/>
                <w:b/>
                <w:szCs w:val="22"/>
              </w:rPr>
              <w:t>月底</w:t>
            </w:r>
          </w:p>
        </w:tc>
        <w:tc>
          <w:tcPr>
            <w:tcW w:w="1304" w:type="dxa"/>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10</w:t>
            </w:r>
            <w:r>
              <w:rPr>
                <w:rFonts w:hint="eastAsia" w:ascii="方正书宋_GBK" w:hAnsi="Calibri" w:eastAsia="方正书宋_GBK"/>
                <w:b/>
                <w:szCs w:val="22"/>
              </w:rPr>
              <w:t>月底</w:t>
            </w:r>
          </w:p>
        </w:tc>
        <w:tc>
          <w:tcPr>
            <w:tcW w:w="2977" w:type="dxa"/>
            <w:gridSpan w:val="2"/>
            <w:shd w:val="clear" w:color="auto" w:fill="auto"/>
            <w:vAlign w:val="center"/>
          </w:tcPr>
          <w:p>
            <w:pPr>
              <w:spacing w:line="300" w:lineRule="exact"/>
              <w:jc w:val="center"/>
              <w:rPr>
                <w:rFonts w:ascii="方正书宋_GBK" w:hAnsi="Calibri" w:eastAsia="方正书宋_GBK"/>
                <w:b/>
                <w:szCs w:val="22"/>
              </w:rPr>
            </w:pPr>
            <w:r>
              <w:rPr>
                <w:rFonts w:ascii="方正书宋_GBK" w:hAnsi="Calibri" w:eastAsia="方正书宋_GBK"/>
                <w:b/>
                <w:szCs w:val="22"/>
              </w:rPr>
              <w:t>12</w:t>
            </w:r>
            <w:r>
              <w:rPr>
                <w:rFonts w:hint="eastAsia" w:ascii="方正书宋_GBK" w:hAnsi="Calibri" w:eastAsia="方正书宋_GBK"/>
                <w:b/>
                <w:szCs w:val="2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Calibri" w:hAnsi="Calibri"/>
                <w:szCs w:val="22"/>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587"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1304" w:type="dxa"/>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Calibri" w:eastAsia="方正书宋_GBK"/>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绩效目标</w:t>
            </w:r>
          </w:p>
        </w:tc>
        <w:tc>
          <w:tcPr>
            <w:tcW w:w="8278" w:type="dxa"/>
            <w:gridSpan w:val="6"/>
            <w:tcBorders>
              <w:bottom w:val="nil"/>
            </w:tcBorders>
            <w:shd w:val="clear" w:color="auto" w:fill="auto"/>
            <w:vAlign w:val="center"/>
          </w:tcPr>
          <w:p>
            <w:pPr>
              <w:spacing w:line="300" w:lineRule="exact"/>
              <w:jc w:val="left"/>
              <w:rPr>
                <w:rFonts w:ascii="方正书宋_GBK" w:hAnsi="Calibri" w:eastAsia="方正书宋_GBK"/>
                <w:szCs w:val="22"/>
              </w:rPr>
            </w:pPr>
            <w:r>
              <w:rPr>
                <w:rFonts w:ascii="方正书宋_GBK" w:hAnsi="Calibri" w:eastAsia="方正书宋_GBK"/>
                <w:szCs w:val="22"/>
              </w:rPr>
              <w:t>1</w:t>
            </w:r>
            <w:r>
              <w:rPr>
                <w:rFonts w:hint="eastAsia" w:ascii="方正书宋_GBK" w:hAnsi="Calibri" w:eastAsia="方正书宋_GBK"/>
                <w:szCs w:val="22"/>
              </w:rPr>
              <w:t>、对四术并发症人员进行资金补贴</w:t>
            </w:r>
          </w:p>
          <w:p>
            <w:pPr>
              <w:spacing w:line="300" w:lineRule="exact"/>
              <w:jc w:val="left"/>
              <w:rPr>
                <w:rFonts w:ascii="方正书宋_GBK" w:hAnsi="Calibri" w:eastAsia="方正书宋_GBK"/>
                <w:szCs w:val="22"/>
              </w:rPr>
            </w:pPr>
            <w:r>
              <w:rPr>
                <w:rFonts w:ascii="方正书宋_GBK" w:hAnsi="Calibri" w:eastAsia="方正书宋_GBK"/>
                <w:szCs w:val="22"/>
              </w:rPr>
              <w:t>2</w:t>
            </w:r>
            <w:r>
              <w:rPr>
                <w:rFonts w:hint="eastAsia" w:ascii="方正书宋_GBK" w:hAnsi="Calibri" w:eastAsia="方正书宋_GBK"/>
                <w:szCs w:val="22"/>
              </w:rPr>
              <w:t>、消除信访隐患</w:t>
            </w:r>
          </w:p>
        </w:tc>
      </w:tr>
    </w:tbl>
    <w:p>
      <w:pPr>
        <w:spacing w:line="14" w:lineRule="exact"/>
        <w:ind w:firstLine="420" w:firstLineChars="200"/>
        <w:jc w:val="center"/>
        <w:rPr>
          <w:rFonts w:hAnsi="宋体"/>
          <w:szCs w:val="22"/>
        </w:rPr>
      </w:pPr>
      <w:r>
        <w:rPr>
          <w:rFonts w:ascii="方正书宋_GBK" w:hAnsi="Calibri" w:eastAsia="方正书宋_GBK"/>
          <w:szCs w:val="22"/>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一级指标</w:t>
            </w:r>
          </w:p>
        </w:tc>
        <w:tc>
          <w:tcPr>
            <w:tcW w:w="1134"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二级指标</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三级指标</w:t>
            </w:r>
          </w:p>
        </w:tc>
        <w:tc>
          <w:tcPr>
            <w:tcW w:w="289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绩效指标描述</w:t>
            </w:r>
          </w:p>
        </w:tc>
        <w:tc>
          <w:tcPr>
            <w:tcW w:w="1276"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w:t>
            </w:r>
          </w:p>
        </w:tc>
        <w:tc>
          <w:tcPr>
            <w:tcW w:w="1701" w:type="dxa"/>
            <w:shd w:val="clear" w:color="auto" w:fill="auto"/>
            <w:vAlign w:val="center"/>
          </w:tcPr>
          <w:p>
            <w:pPr>
              <w:spacing w:line="300" w:lineRule="exact"/>
              <w:jc w:val="center"/>
              <w:rPr>
                <w:rFonts w:ascii="方正书宋_GBK" w:hAnsi="Calibri" w:eastAsia="方正书宋_GBK"/>
                <w:b/>
                <w:szCs w:val="22"/>
              </w:rPr>
            </w:pPr>
            <w:r>
              <w:rPr>
                <w:rFonts w:hint="eastAsia" w:ascii="方正书宋_GBK" w:hAnsi="Calibri" w:eastAsia="方正书宋_GBK"/>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产出指标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质量指标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对四术并发症人员进行资金补贴</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对四术并发症人员进行资金补贴</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效果指标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可持续影响指标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对四术并发症人员进行资金补贴</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对四术并发症人员进行资金补贴</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szCs w:val="22"/>
              </w:rPr>
            </w:pPr>
            <w:r>
              <w:rPr>
                <w:rFonts w:hint="eastAsia" w:ascii="方正书宋_GBK" w:hAnsi="Calibri" w:eastAsia="方正书宋_GBK"/>
                <w:szCs w:val="22"/>
              </w:rPr>
              <w:t>满意度指标</w:t>
            </w:r>
          </w:p>
        </w:tc>
        <w:tc>
          <w:tcPr>
            <w:tcW w:w="1134"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服务对象满意度指标</w:t>
            </w:r>
          </w:p>
        </w:tc>
        <w:tc>
          <w:tcPr>
            <w:tcW w:w="1276"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群众满意度</w:t>
            </w:r>
          </w:p>
        </w:tc>
        <w:tc>
          <w:tcPr>
            <w:tcW w:w="289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对四术并发症人员进行资金补贴</w:t>
            </w:r>
          </w:p>
        </w:tc>
        <w:tc>
          <w:tcPr>
            <w:tcW w:w="1276" w:type="dxa"/>
            <w:shd w:val="clear" w:color="auto" w:fill="auto"/>
            <w:vAlign w:val="center"/>
          </w:tcPr>
          <w:p>
            <w:pPr>
              <w:spacing w:line="300" w:lineRule="exact"/>
              <w:jc w:val="left"/>
              <w:rPr>
                <w:rFonts w:ascii="方正书宋_GBK" w:hAnsi="Calibri" w:eastAsia="方正书宋_GBK"/>
                <w:szCs w:val="22"/>
              </w:rPr>
            </w:pPr>
          </w:p>
        </w:tc>
        <w:tc>
          <w:tcPr>
            <w:tcW w:w="1701" w:type="dxa"/>
            <w:shd w:val="clear" w:color="auto" w:fill="auto"/>
            <w:vAlign w:val="center"/>
          </w:tcPr>
          <w:p>
            <w:pPr>
              <w:spacing w:line="300" w:lineRule="exact"/>
              <w:jc w:val="left"/>
              <w:rPr>
                <w:rFonts w:ascii="方正书宋_GBK" w:hAnsi="Calibri" w:eastAsia="方正书宋_GBK"/>
                <w:szCs w:val="22"/>
              </w:rPr>
            </w:pPr>
            <w:r>
              <w:rPr>
                <w:rFonts w:hint="eastAsia" w:ascii="方正书宋_GBK" w:hAnsi="Calibri" w:eastAsia="方正书宋_GBK"/>
                <w:szCs w:val="22"/>
              </w:rPr>
              <w:t>优</w:t>
            </w:r>
          </w:p>
        </w:tc>
      </w:tr>
    </w:tbl>
    <w:p>
      <w:pPr>
        <w:widowControl/>
        <w:snapToGrid w:val="0"/>
        <w:spacing w:line="588" w:lineRule="exact"/>
        <w:ind w:firstLine="643" w:firstLineChars="200"/>
        <w:rPr>
          <w:rFonts w:ascii="宋体" w:hAnsi="宋体"/>
          <w:b/>
          <w:sz w:val="32"/>
          <w:szCs w:val="32"/>
        </w:rPr>
      </w:pPr>
    </w:p>
    <w:p>
      <w:pPr>
        <w:widowControl/>
        <w:snapToGrid w:val="0"/>
        <w:spacing w:line="588" w:lineRule="exact"/>
        <w:ind w:firstLine="643" w:firstLineChars="200"/>
        <w:rPr>
          <w:rFonts w:ascii="宋体" w:hAnsi="宋体"/>
          <w:b/>
          <w:sz w:val="32"/>
          <w:szCs w:val="32"/>
        </w:rPr>
      </w:pPr>
    </w:p>
    <w:p>
      <w:pPr>
        <w:widowControl/>
        <w:snapToGrid w:val="0"/>
        <w:spacing w:line="588" w:lineRule="exact"/>
        <w:ind w:firstLine="643" w:firstLineChars="200"/>
        <w:rPr>
          <w:rFonts w:ascii="宋体" w:hAnsi="宋体"/>
          <w:b/>
          <w:sz w:val="32"/>
          <w:szCs w:val="32"/>
        </w:rPr>
      </w:pPr>
    </w:p>
    <w:p>
      <w:pPr>
        <w:spacing w:line="500" w:lineRule="exact"/>
        <w:jc w:val="left"/>
        <w:rPr>
          <w:rFonts w:eastAsia="方正仿宋_GBK"/>
          <w:sz w:val="28"/>
        </w:rPr>
      </w:pPr>
    </w:p>
    <w:p>
      <w:pPr>
        <w:widowControl/>
        <w:snapToGrid w:val="0"/>
        <w:spacing w:line="588" w:lineRule="exact"/>
        <w:jc w:val="center"/>
        <w:rPr>
          <w:rFonts w:ascii="方正小标宋_GBK" w:eastAsia="方正小标宋_GBK"/>
          <w:b/>
          <w:bCs/>
          <w:sz w:val="44"/>
          <w:szCs w:val="44"/>
        </w:rPr>
      </w:pPr>
      <w:r>
        <w:rPr>
          <w:rFonts w:hint="eastAsia" w:ascii="方正小标宋_GBK" w:eastAsia="方正小标宋_GBK"/>
          <w:b/>
          <w:bCs/>
          <w:sz w:val="44"/>
          <w:szCs w:val="44"/>
        </w:rPr>
        <w:t>部门职责-工作活动绩效目标</w:t>
      </w:r>
    </w:p>
    <w:tbl>
      <w:tblPr>
        <w:tblStyle w:val="5"/>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7"/>
        <w:gridCol w:w="2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tcBorders>
              <w:top w:val="single" w:color="FFFFFF" w:sz="6" w:space="0"/>
              <w:left w:val="single" w:color="FFFFFF" w:sz="6" w:space="0"/>
              <w:bottom w:val="single" w:color="000000" w:sz="6" w:space="0"/>
              <w:right w:val="single" w:color="FFFFFF" w:sz="6" w:space="0"/>
            </w:tcBorders>
            <w:vAlign w:val="center"/>
          </w:tcPr>
          <w:p>
            <w:pPr>
              <w:widowControl/>
              <w:spacing w:line="300" w:lineRule="exact"/>
              <w:jc w:val="left"/>
              <w:outlineLvl w:val="0"/>
            </w:pPr>
            <w:r>
              <w:rPr>
                <w:rFonts w:hint="eastAsia"/>
              </w:rPr>
              <w:t xml:space="preserve">474丰润区泉河头镇人民政府 </w:t>
            </w:r>
            <w:r>
              <w:t xml:space="preserve">                                                                              </w:t>
            </w:r>
          </w:p>
        </w:tc>
        <w:tc>
          <w:tcPr>
            <w:tcW w:w="2948" w:type="dxa"/>
            <w:tcBorders>
              <w:top w:val="single" w:color="FFFFFF" w:sz="6" w:space="0"/>
              <w:left w:val="single" w:color="FFFFFF" w:sz="6" w:space="0"/>
              <w:bottom w:val="single" w:color="000000" w:sz="6" w:space="0"/>
              <w:right w:val="single" w:color="FFFFFF" w:sz="6" w:space="0"/>
            </w:tcBorders>
            <w:vAlign w:val="center"/>
          </w:tcPr>
          <w:p>
            <w:pPr>
              <w:widowControl/>
              <w:spacing w:line="300" w:lineRule="exact"/>
              <w:ind w:firstLine="1680" w:firstLineChars="800"/>
              <w:jc w:val="left"/>
              <w:outlineLvl w:val="0"/>
            </w:pPr>
            <w:r>
              <w:rPr>
                <w:rFonts w:hint="eastAsia"/>
              </w:rPr>
              <w:t>单位：元</w:t>
            </w:r>
          </w:p>
        </w:tc>
      </w:tr>
    </w:tbl>
    <w:p>
      <w:pPr>
        <w:widowControl/>
        <w:spacing w:line="300" w:lineRule="exact"/>
        <w:jc w:val="left"/>
        <w:outlineLvl w:val="0"/>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负责全镇党组织建设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加强基层领导班子建设；加强全县大学生村官队伍建设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负责全镇党组织建设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加强党组织建设和党员管理</w:t>
            </w:r>
          </w:p>
        </w:tc>
        <w:tc>
          <w:tcPr>
            <w:tcW w:w="1417" w:type="dxa"/>
            <w:shd w:val="clear" w:color="auto" w:fill="auto"/>
            <w:vAlign w:val="center"/>
          </w:tcPr>
          <w:p>
            <w:pPr>
              <w:spacing w:line="300" w:lineRule="exact"/>
              <w:jc w:val="left"/>
              <w:rPr>
                <w:rFonts w:ascii="宋体" w:hAnsi="宋体"/>
              </w:rPr>
            </w:pPr>
            <w:r>
              <w:rPr>
                <w:rFonts w:hint="eastAsia" w:ascii="宋体" w:hAnsi="宋体" w:cs="宋体"/>
              </w:rPr>
              <w:t>开展党员远程教育工作，发挥先进村示范带动作用，创建我镇特色占工作任务的比例大于等于90%。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二、干部管理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负责全镇干部队伍管理，干部教育培训</w:t>
            </w:r>
            <w:r>
              <w:rPr>
                <w:rFonts w:ascii="方正书宋_GBK" w:eastAsia="方正书宋_GBK"/>
              </w:rPr>
              <w:t>;</w:t>
            </w:r>
            <w:r>
              <w:rPr>
                <w:rFonts w:hint="eastAsia" w:ascii="方正书宋_GBK" w:eastAsia="方正书宋_GBK"/>
              </w:rPr>
              <w:t>对领导班子和领导干部的考核工作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落实国家工资政策和涉及领导干部收入分配的相关政策，准确高效办理工资及退休费审批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、干部队伍管理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负责对全镇组织部门干部监督工作的综合、协调和宏观指导；负责干部的宏观管理和备案审查工作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培养锻炼干部，提高干部整体素质；进一步熟悉基层，更好开展工作。</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建立规范的干部教育培训体系，培养锻炼干部，提高干部整体素质；进一步熟悉基层，更好开展工作。</w:t>
            </w:r>
            <w:r>
              <w:rPr>
                <w:rFonts w:hint="eastAsia" w:ascii="宋体" w:hAnsi="宋体" w:cs="宋体"/>
              </w:rPr>
              <w:t>对领导班子和领导干部的考核工作制订干部教育工作的方针、政策、规划，组织党员干部进行理论学习占工作任务的比例大于等于90%。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三、干部管理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干部教育培训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培养锻炼干部，提高干部整体素质；为各级领导班子储配人才</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、干部教育培训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主管全镇的干部教育工作。制订干部教育工作的方针、政策、规划</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建立规范的干部教育培训体系</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建立规范的干部教育培训体系，培养锻炼干部，提高干部整体素质；进一步熟悉基层，更好开展工作。</w:t>
            </w:r>
            <w:r>
              <w:rPr>
                <w:rFonts w:hint="eastAsia" w:ascii="宋体" w:hAnsi="宋体" w:cs="宋体"/>
              </w:rPr>
              <w:t>对领导班子和领导干部的考核工作制订干部教育工作的方针、政策、规划，组织党员干部进行理论学习占工作任务的比例大于等于90%。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四、宣传思想工作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加强舆论舆情引导管理；协调互联网宣传和信息内容管理；加强精神文明建设。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弘扬主旋律，汇聚正能量，为经济社会发展提供有力的思想保证、精神动力、舆论支持。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部署思想政治工作任务，践行社会主义核心价值观，宣传推广先进典型，加强爱国主义教育基地建设和全民国防教育，加强基层党员教育，组织开展系列宣传教育活动。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完成思想政治工作重大任务，推进社会主义核心价值观落地生根。</w:t>
            </w:r>
          </w:p>
        </w:tc>
        <w:tc>
          <w:tcPr>
            <w:tcW w:w="1417" w:type="dxa"/>
            <w:shd w:val="clear" w:color="auto" w:fill="auto"/>
            <w:vAlign w:val="center"/>
          </w:tcPr>
          <w:p>
            <w:pPr>
              <w:ind w:firstLine="420" w:firstLineChars="200"/>
              <w:rPr>
                <w:rFonts w:ascii="宋体" w:hAnsi="宋体" w:cs="宋体"/>
                <w:b/>
                <w:bCs/>
              </w:rPr>
            </w:pPr>
            <w:r>
              <w:rPr>
                <w:rFonts w:hint="eastAsia" w:ascii="宋体" w:hAnsi="宋体" w:cs="宋体"/>
                <w:lang w:eastAsia="zh-CN"/>
              </w:rPr>
              <w:t>开展社会主义核心价值观</w:t>
            </w:r>
            <w:r>
              <w:rPr>
                <w:rFonts w:hint="eastAsia" w:ascii="宋体" w:hAnsi="宋体" w:cs="宋体"/>
              </w:rPr>
              <w:t>宣传教育、公益广告宣传、志愿服务等活动占工作任务的比例大于等于95%。</w:t>
            </w:r>
          </w:p>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五、办案问责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、案件查办</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ind w:firstLine="420" w:firstLineChars="200"/>
              <w:rPr>
                <w:rFonts w:ascii="宋体" w:hAnsi="宋体" w:cs="宋体"/>
                <w:b/>
                <w:bCs/>
                <w:sz w:val="32"/>
                <w:szCs w:val="32"/>
              </w:rPr>
            </w:pPr>
            <w:r>
              <w:rPr>
                <w:rFonts w:hint="eastAsia" w:ascii="宋体" w:hAnsi="宋体" w:cs="宋体"/>
              </w:rPr>
              <w:t>镇党政领导包联化解信访事项全年不少于5件，认真落实初信初访首接首办责任，力争初信初访化解占工作任务的比例大于等于100%。</w:t>
            </w:r>
          </w:p>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组织协调全镇党风廉政建设和反腐败宣传、教育、课题研究、法规起草修订等工作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组织协调全镇党风廉政建设和反腐败宣传教育工作，开展对党员、公务员的廉洁自律教育。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实际开展教育活动次数占计划组织活动次数比重大于等于95%。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七、推进新农村建设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237000.00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按照统筹城镇发展要求，组织实施农村面貌改造提升行动。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突出重点，因地制宜，开展农村面貌改造提升。保障村委会正常运转。</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当年完成建设任务的重点村占全部重点村的比例大于等于95%。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八、双拥优抚安置政策及管理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承担社会救助体系建设，组织对优抚对象的优待、抚恤的政策落实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、优待抚恤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负责镇级优抚对象优待、抚恤工作；负责优抚对象数据更新管理；承担优抚对象巡诊工作。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优抚对象的生活、住房、医疗困难得到有效解决，义务兵家庭优待工作全面落实。</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优抚对象生活抚恤对付资金占应兑付额的比例大于等于95%。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建立健全城镇基层群众自治组织，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组织指导农村干部培训；指导村（居）民委员会民主选举、民主决策、民主管理和民主监督，村（居）务公开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指导17个村民委员会民主选举，指导村民主决策、民主管理、民主监督以及居务公开占工作任务的比例大于等于90%。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十、卫计政务管理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0460.00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监督指导卫生计生相关法律法规落实情况，承担政务公开和业务宣传工作，加强卫生计生能力建设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保障卫生计生事业顺利发展。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0460.00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开展卫生计生规划、统计、法制、政策研究、宣传教育、行业改革，拟定行业标准，监督政策落实等各项综合业务工作。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开展卫生计生规划、统计、法制、政策研究、宣传教育占工作任务的比例大于等于85%。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十一、政务服务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完成政务信息公开工作的指导监督工作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、政务公开</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指导和协调全镇政务公开及政务服务中心建设、推进行政服务体系标准化建设工作。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通过完成政务信息公开工作的指导监督工作，使政府信息公开业务队伍素质不断提高</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全镇政务公开数量占全年政务公开任务的比例大于等于95%。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十二、政务服务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镇政府会议管理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做好镇政府会议保障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、会议管理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镇政府会议的准备和服务工作，协助镇政府领导组织会议决定事项的落实。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做好镇政府会议保障；控制会议费开支规模。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bCs/>
              </w:rPr>
              <w:t>全镇会议质量的优良率达到90%。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十三、政务服务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815000.00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机关后勤工作、督察督办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基础工作有创新、常规工作见特色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815000.00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保障机关后勤工作；组织实施机关事务工作人员岗位培训，。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推进机关事务管理工作科学发展；提高管理、保障、服务水平</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Calibri"/>
              </w:rPr>
              <w:t>全镇机关事务管理综合业务工作完成率大于等于95%。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镇政府值班工作，及时报告重要情况，传达和督促落实镇政府领导指示。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有效保证镇政府日常应急值守和突发事件应对处置工作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镇政府值班工作，及时报告重要情况，传达和督促落实镇政府领导指示。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确保全镇应急工作顺利完成；各类突发事件得到及时妥善处置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rPr>
            </w:pPr>
            <w:r>
              <w:rPr>
                <w:rFonts w:hint="eastAsia" w:ascii="宋体" w:hAnsi="宋体" w:cs="宋体"/>
              </w:rPr>
              <w:t>有效保证办事处日常应急值守和突发事件应对处置工作等，各项综合业务工作完成占工作任务的比例大于等于95%。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&lt;75%</w:t>
            </w:r>
          </w:p>
        </w:tc>
      </w:tr>
    </w:tbl>
    <w:p>
      <w:pPr>
        <w:widowControl/>
        <w:spacing w:line="300" w:lineRule="exact"/>
        <w:jc w:val="left"/>
        <w:outlineLvl w:val="0"/>
      </w:pPr>
    </w:p>
    <w:p>
      <w:pPr>
        <w:widowControl/>
        <w:spacing w:line="300" w:lineRule="exact"/>
        <w:jc w:val="left"/>
        <w:outlineLvl w:val="0"/>
      </w:pPr>
      <w:r>
        <w:rPr>
          <w:rFonts w:hint="eastAsia"/>
        </w:rPr>
        <w:t>备注：表中的年度预算数为项目支出，部门工作活动虽未安排项目支出，但由基本支出保障，由于基本支出无法拆分到相应的工作活动，因此部分工作活动没有列示年度预算数。</w:t>
      </w:r>
    </w:p>
    <w:p>
      <w:pPr>
        <w:widowControl/>
        <w:snapToGrid w:val="0"/>
        <w:spacing w:line="588" w:lineRule="exact"/>
        <w:rPr>
          <w:rFonts w:hint="eastAsia"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snapToGrid w:val="0"/>
        <w:spacing w:line="588" w:lineRule="exact"/>
        <w:jc w:val="center"/>
        <w:rPr>
          <w:rFonts w:ascii="方正小标宋_GBK" w:eastAsia="方正小标宋_GBK"/>
          <w:sz w:val="32"/>
        </w:rPr>
      </w:pPr>
    </w:p>
    <w:p>
      <w:pPr>
        <w:widowControl/>
        <w:jc w:val="left"/>
        <w:rPr>
          <w:rFonts w:eastAsia="方正楷体_GBK"/>
        </w:rPr>
        <w:sectPr>
          <w:pgSz w:w="16839" w:h="11907" w:orient="landscape"/>
          <w:pgMar w:top="1021" w:right="1361" w:bottom="1021" w:left="1361" w:header="851" w:footer="992" w:gutter="0"/>
          <w:cols w:space="720" w:num="1"/>
          <w:docGrid w:type="lines" w:linePitch="312" w:charSpace="0"/>
        </w:sectPr>
      </w:pPr>
    </w:p>
    <w:p>
      <w:pPr>
        <w:snapToGrid w:val="0"/>
        <w:spacing w:line="588" w:lineRule="exact"/>
        <w:ind w:firstLine="321" w:firstLineChars="100"/>
        <w:rPr>
          <w:rFonts w:ascii="宋体" w:hAnsi="宋体"/>
          <w:b/>
          <w:sz w:val="32"/>
          <w:szCs w:val="32"/>
        </w:rPr>
      </w:pPr>
      <w:r>
        <w:rPr>
          <w:rFonts w:hint="eastAsia" w:ascii="宋体" w:hAnsi="宋体"/>
          <w:b/>
          <w:sz w:val="32"/>
          <w:szCs w:val="32"/>
        </w:rPr>
        <w:t>六、政府采购预算情况</w:t>
      </w:r>
    </w:p>
    <w:p>
      <w:pPr>
        <w:snapToGrid w:val="0"/>
        <w:spacing w:line="588" w:lineRule="exact"/>
        <w:ind w:firstLine="313" w:firstLineChars="98"/>
        <w:rPr>
          <w:rFonts w:ascii="宋体" w:hAnsi="宋体"/>
          <w:sz w:val="32"/>
          <w:szCs w:val="32"/>
        </w:rPr>
      </w:pPr>
      <w:r>
        <w:rPr>
          <w:rFonts w:hint="eastAsia" w:ascii="宋体" w:hAnsi="宋体"/>
          <w:sz w:val="32"/>
          <w:szCs w:val="32"/>
        </w:rPr>
        <w:t>无政府采购预算。</w:t>
      </w:r>
    </w:p>
    <w:p>
      <w:pPr>
        <w:snapToGrid w:val="0"/>
        <w:spacing w:line="588" w:lineRule="exact"/>
        <w:ind w:firstLine="321" w:firstLineChars="100"/>
        <w:rPr>
          <w:rFonts w:ascii="宋体" w:hAnsi="宋体"/>
          <w:b/>
          <w:sz w:val="32"/>
          <w:szCs w:val="32"/>
        </w:rPr>
      </w:pPr>
      <w:r>
        <w:rPr>
          <w:rFonts w:hint="eastAsia" w:ascii="宋体" w:hAnsi="宋体"/>
          <w:b/>
          <w:sz w:val="32"/>
          <w:szCs w:val="32"/>
        </w:rPr>
        <w:t>七、国有资产情况</w:t>
      </w:r>
    </w:p>
    <w:tbl>
      <w:tblPr>
        <w:tblStyle w:val="5"/>
        <w:tblW w:w="0" w:type="auto"/>
        <w:tblInd w:w="0" w:type="dxa"/>
        <w:tblLayout w:type="fixed"/>
        <w:tblCellMar>
          <w:top w:w="0" w:type="dxa"/>
          <w:left w:w="108" w:type="dxa"/>
          <w:bottom w:w="0" w:type="dxa"/>
          <w:right w:w="108" w:type="dxa"/>
        </w:tblCellMar>
      </w:tblPr>
      <w:tblGrid>
        <w:gridCol w:w="3926"/>
        <w:gridCol w:w="1470"/>
        <w:gridCol w:w="3624"/>
      </w:tblGrid>
      <w:tr>
        <w:tblPrEx>
          <w:tblCellMar>
            <w:top w:w="0" w:type="dxa"/>
            <w:left w:w="108" w:type="dxa"/>
            <w:bottom w:w="0" w:type="dxa"/>
            <w:right w:w="108" w:type="dxa"/>
          </w:tblCellMar>
        </w:tblPrEx>
        <w:trPr>
          <w:trHeight w:val="90" w:hRule="atLeast"/>
        </w:trPr>
        <w:tc>
          <w:tcPr>
            <w:tcW w:w="9020" w:type="dxa"/>
            <w:gridSpan w:val="3"/>
            <w:tcBorders>
              <w:top w:val="nil"/>
              <w:left w:val="nil"/>
              <w:bottom w:val="nil"/>
              <w:right w:val="nil"/>
            </w:tcBorders>
            <w:vAlign w:val="center"/>
          </w:tcPr>
          <w:p>
            <w:pPr>
              <w:widowControl/>
              <w:spacing w:line="590" w:lineRule="exact"/>
              <w:jc w:val="center"/>
              <w:rPr>
                <w:rFonts w:cs="宋体"/>
                <w:b/>
                <w:bCs/>
                <w:kern w:val="0"/>
                <w:sz w:val="32"/>
                <w:szCs w:val="32"/>
              </w:rPr>
            </w:pPr>
            <w:r>
              <w:rPr>
                <w:rFonts w:hint="eastAsia" w:ascii="方正小标宋简体" w:hAnsi="方正小标宋简体" w:eastAsia="方正小标宋简体" w:cs="方正小标宋简体"/>
                <w:kern w:val="0"/>
                <w:sz w:val="32"/>
                <w:szCs w:val="32"/>
              </w:rPr>
              <w:t>部门固定资产占用情况表</w:t>
            </w:r>
          </w:p>
        </w:tc>
      </w:tr>
      <w:tr>
        <w:tblPrEx>
          <w:tblCellMar>
            <w:top w:w="0" w:type="dxa"/>
            <w:left w:w="108" w:type="dxa"/>
            <w:bottom w:w="0" w:type="dxa"/>
            <w:right w:w="108" w:type="dxa"/>
          </w:tblCellMar>
        </w:tblPrEx>
        <w:trPr>
          <w:trHeight w:val="90" w:hRule="atLeast"/>
        </w:trPr>
        <w:tc>
          <w:tcPr>
            <w:tcW w:w="9020" w:type="dxa"/>
            <w:gridSpan w:val="3"/>
            <w:tcBorders>
              <w:top w:val="nil"/>
              <w:left w:val="nil"/>
              <w:bottom w:val="nil"/>
              <w:right w:val="nil"/>
            </w:tcBorders>
            <w:vAlign w:val="center"/>
          </w:tcPr>
          <w:p>
            <w:pPr>
              <w:widowControl/>
              <w:spacing w:line="590" w:lineRule="exact"/>
              <w:jc w:val="left"/>
              <w:rPr>
                <w:rFonts w:eastAsia="仿宋"/>
                <w:kern w:val="0"/>
                <w:sz w:val="28"/>
                <w:szCs w:val="28"/>
              </w:rPr>
            </w:pPr>
            <w:r>
              <w:rPr>
                <w:rFonts w:eastAsia="仿宋"/>
                <w:kern w:val="0"/>
                <w:sz w:val="28"/>
                <w:szCs w:val="28"/>
              </w:rPr>
              <w:t>部门：</w:t>
            </w:r>
            <w:r>
              <w:rPr>
                <w:rFonts w:hint="eastAsia" w:eastAsia="仿宋"/>
                <w:kern w:val="0"/>
                <w:sz w:val="28"/>
                <w:szCs w:val="28"/>
              </w:rPr>
              <w:t xml:space="preserve">唐山市丰润区泉河头镇人民政府 </w:t>
            </w:r>
            <w:r>
              <w:rPr>
                <w:rFonts w:eastAsia="仿宋"/>
                <w:kern w:val="0"/>
                <w:sz w:val="28"/>
                <w:szCs w:val="28"/>
              </w:rPr>
              <w:t xml:space="preserve"> 截止时间：2019年12月31日</w:t>
            </w:r>
          </w:p>
        </w:tc>
      </w:tr>
      <w:tr>
        <w:tblPrEx>
          <w:tblCellMar>
            <w:top w:w="0" w:type="dxa"/>
            <w:left w:w="108" w:type="dxa"/>
            <w:bottom w:w="0" w:type="dxa"/>
            <w:right w:w="108" w:type="dxa"/>
          </w:tblCellMar>
        </w:tblPrEx>
        <w:trPr>
          <w:trHeight w:val="90" w:hRule="atLeast"/>
        </w:trPr>
        <w:tc>
          <w:tcPr>
            <w:tcW w:w="392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w:t>
            </w:r>
          </w:p>
        </w:tc>
        <w:tc>
          <w:tcPr>
            <w:tcW w:w="147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数量</w:t>
            </w:r>
          </w:p>
        </w:tc>
        <w:tc>
          <w:tcPr>
            <w:tcW w:w="362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价值（金额单位：万元）</w:t>
            </w: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资产总额</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hint="eastAsia" w:eastAsia="仿宋"/>
                <w:kern w:val="0"/>
                <w:sz w:val="32"/>
                <w:szCs w:val="32"/>
              </w:rPr>
              <w:t>1</w:t>
            </w:r>
            <w:r>
              <w:rPr>
                <w:rFonts w:eastAsia="仿宋"/>
                <w:kern w:val="0"/>
                <w:sz w:val="32"/>
                <w:szCs w:val="32"/>
              </w:rPr>
              <w:t>94.53</w:t>
            </w: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numPr>
                <w:ilvl w:val="0"/>
                <w:numId w:val="1"/>
              </w:numPr>
              <w:spacing w:line="500" w:lineRule="exact"/>
              <w:jc w:val="left"/>
              <w:rPr>
                <w:rFonts w:eastAsia="仿宋"/>
                <w:kern w:val="0"/>
                <w:sz w:val="32"/>
                <w:szCs w:val="32"/>
              </w:rPr>
            </w:pPr>
            <w:r>
              <w:rPr>
                <w:rFonts w:eastAsia="仿宋"/>
                <w:kern w:val="0"/>
                <w:sz w:val="32"/>
                <w:szCs w:val="32"/>
              </w:rPr>
              <w:t>房屋（平方米）</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3336</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62.77</w:t>
            </w: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spacing w:line="500" w:lineRule="exact"/>
              <w:jc w:val="left"/>
              <w:rPr>
                <w:rFonts w:eastAsia="仿宋"/>
                <w:kern w:val="0"/>
                <w:sz w:val="32"/>
                <w:szCs w:val="32"/>
              </w:rPr>
            </w:pPr>
            <w:r>
              <w:rPr>
                <w:rFonts w:eastAsia="仿宋"/>
                <w:kern w:val="0"/>
                <w:sz w:val="32"/>
                <w:szCs w:val="32"/>
              </w:rPr>
              <w:t>其中：办公用房（平方米）</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3311</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60.97</w:t>
            </w: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numPr>
                <w:ilvl w:val="0"/>
                <w:numId w:val="1"/>
              </w:numPr>
              <w:spacing w:line="500" w:lineRule="exact"/>
              <w:jc w:val="left"/>
              <w:rPr>
                <w:rFonts w:eastAsia="仿宋"/>
                <w:kern w:val="0"/>
                <w:sz w:val="32"/>
                <w:szCs w:val="32"/>
              </w:rPr>
            </w:pPr>
            <w:r>
              <w:rPr>
                <w:rFonts w:eastAsia="仿宋"/>
                <w:kern w:val="0"/>
                <w:sz w:val="32"/>
                <w:szCs w:val="32"/>
              </w:rPr>
              <w:t>车辆（台、辆）</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6</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hint="eastAsia" w:eastAsia="仿宋"/>
                <w:kern w:val="0"/>
                <w:sz w:val="32"/>
                <w:szCs w:val="32"/>
              </w:rPr>
              <w:t>6</w:t>
            </w:r>
            <w:r>
              <w:rPr>
                <w:rFonts w:eastAsia="仿宋"/>
                <w:kern w:val="0"/>
                <w:sz w:val="32"/>
                <w:szCs w:val="32"/>
              </w:rPr>
              <w:t>5.67</w:t>
            </w: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numPr>
                <w:ilvl w:val="0"/>
                <w:numId w:val="1"/>
              </w:numPr>
              <w:spacing w:line="500" w:lineRule="exact"/>
              <w:jc w:val="left"/>
              <w:rPr>
                <w:rFonts w:eastAsia="仿宋"/>
                <w:kern w:val="0"/>
                <w:sz w:val="32"/>
                <w:szCs w:val="32"/>
              </w:rPr>
            </w:pPr>
            <w:r>
              <w:rPr>
                <w:rFonts w:eastAsia="仿宋"/>
                <w:kern w:val="0"/>
                <w:sz w:val="32"/>
                <w:szCs w:val="32"/>
              </w:rPr>
              <w:t>单价在20万元以上设备</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p>
        </w:tc>
      </w:tr>
      <w:tr>
        <w:tblPrEx>
          <w:tblCellMar>
            <w:top w:w="0" w:type="dxa"/>
            <w:left w:w="108" w:type="dxa"/>
            <w:bottom w:w="0" w:type="dxa"/>
            <w:right w:w="108" w:type="dxa"/>
          </w:tblCellMar>
        </w:tblPrEx>
        <w:trPr>
          <w:trHeight w:val="90" w:hRule="atLeast"/>
        </w:trPr>
        <w:tc>
          <w:tcPr>
            <w:tcW w:w="3926" w:type="dxa"/>
            <w:tcBorders>
              <w:top w:val="nil"/>
              <w:left w:val="single" w:color="auto" w:sz="4" w:space="0"/>
              <w:bottom w:val="single" w:color="auto" w:sz="4" w:space="0"/>
              <w:right w:val="single" w:color="auto" w:sz="4" w:space="0"/>
            </w:tcBorders>
            <w:vAlign w:val="center"/>
          </w:tcPr>
          <w:p>
            <w:pPr>
              <w:widowControl/>
              <w:numPr>
                <w:ilvl w:val="0"/>
                <w:numId w:val="1"/>
              </w:numPr>
              <w:spacing w:line="500" w:lineRule="exact"/>
              <w:jc w:val="left"/>
              <w:rPr>
                <w:rFonts w:eastAsia="仿宋"/>
                <w:kern w:val="0"/>
                <w:sz w:val="32"/>
                <w:szCs w:val="32"/>
              </w:rPr>
            </w:pPr>
            <w:r>
              <w:rPr>
                <w:rFonts w:eastAsia="仿宋"/>
                <w:kern w:val="0"/>
                <w:sz w:val="32"/>
                <w:szCs w:val="32"/>
              </w:rPr>
              <w:t>其他固定资产</w:t>
            </w:r>
          </w:p>
        </w:tc>
        <w:tc>
          <w:tcPr>
            <w:tcW w:w="1470"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color="auto" w:sz="4" w:space="0"/>
              <w:right w:val="single" w:color="auto" w:sz="4" w:space="0"/>
            </w:tcBorders>
            <w:vAlign w:val="center"/>
          </w:tcPr>
          <w:p>
            <w:pPr>
              <w:widowControl/>
              <w:spacing w:line="500" w:lineRule="exact"/>
              <w:jc w:val="center"/>
              <w:rPr>
                <w:rFonts w:eastAsia="仿宋"/>
                <w:kern w:val="0"/>
                <w:sz w:val="32"/>
                <w:szCs w:val="32"/>
              </w:rPr>
            </w:pPr>
          </w:p>
        </w:tc>
      </w:tr>
    </w:tbl>
    <w:p>
      <w:pPr>
        <w:spacing w:line="500" w:lineRule="exact"/>
        <w:rPr>
          <w:rFonts w:ascii="仿宋" w:hAnsi="仿宋" w:eastAsia="仿宋"/>
          <w:b/>
          <w:sz w:val="32"/>
          <w:szCs w:val="32"/>
        </w:rPr>
      </w:pPr>
      <w:r>
        <w:rPr>
          <w:rFonts w:hint="eastAsia" w:ascii="仿宋" w:hAnsi="仿宋" w:eastAsia="仿宋"/>
          <w:b/>
          <w:sz w:val="32"/>
          <w:szCs w:val="32"/>
        </w:rPr>
        <w:t>八、专业名词解释</w:t>
      </w:r>
    </w:p>
    <w:p>
      <w:pPr>
        <w:ind w:firstLine="640" w:firstLineChars="200"/>
        <w:jc w:val="left"/>
        <w:rPr>
          <w:rFonts w:ascii="仿宋" w:hAnsi="仿宋" w:eastAsia="仿宋"/>
          <w:sz w:val="32"/>
          <w:szCs w:val="32"/>
        </w:rPr>
      </w:pPr>
      <w:r>
        <w:rPr>
          <w:rFonts w:hint="eastAsia" w:ascii="仿宋" w:hAnsi="仿宋" w:eastAsia="仿宋"/>
          <w:sz w:val="32"/>
          <w:szCs w:val="32"/>
        </w:rPr>
        <w:t>（1）财政拨款收入：指中央或区财政当年拨付的资金，包含一般公共预算财政拨款和政府性基金预算财政拨款。</w:t>
      </w:r>
    </w:p>
    <w:p>
      <w:pPr>
        <w:ind w:firstLine="640" w:firstLineChars="200"/>
        <w:jc w:val="left"/>
        <w:rPr>
          <w:rFonts w:ascii="仿宋" w:hAnsi="仿宋" w:eastAsia="仿宋"/>
          <w:sz w:val="32"/>
          <w:szCs w:val="32"/>
        </w:rPr>
      </w:pPr>
      <w:r>
        <w:rPr>
          <w:rFonts w:hint="eastAsia" w:ascii="仿宋" w:hAnsi="仿宋" w:eastAsia="仿宋"/>
          <w:sz w:val="32"/>
          <w:szCs w:val="32"/>
        </w:rPr>
        <w:t>（2）基本支出：指为保障机构正常运转、完成日常工作任务而发生的人员支出和公用支出。</w:t>
      </w:r>
    </w:p>
    <w:p>
      <w:pPr>
        <w:ind w:firstLine="640" w:firstLineChars="200"/>
        <w:jc w:val="left"/>
        <w:rPr>
          <w:rFonts w:ascii="仿宋" w:hAnsi="仿宋" w:eastAsia="仿宋"/>
          <w:b/>
          <w:sz w:val="32"/>
          <w:szCs w:val="32"/>
        </w:rPr>
      </w:pPr>
      <w:r>
        <w:rPr>
          <w:rFonts w:hint="eastAsia" w:ascii="仿宋" w:hAnsi="仿宋" w:eastAsia="仿宋"/>
          <w:sz w:val="32"/>
          <w:szCs w:val="32"/>
        </w:rPr>
        <w:t>（3）项目支出：指在基本支出之外为完成特定行政任务和事业发展目标所发生的支出。</w:t>
      </w:r>
    </w:p>
    <w:p>
      <w:pPr>
        <w:snapToGrid w:val="0"/>
        <w:spacing w:line="588" w:lineRule="exact"/>
        <w:rPr>
          <w:rFonts w:ascii="仿宋" w:hAnsi="仿宋" w:eastAsia="仿宋"/>
          <w:b/>
          <w:sz w:val="32"/>
          <w:szCs w:val="32"/>
        </w:rPr>
      </w:pPr>
      <w:r>
        <w:rPr>
          <w:rFonts w:hint="eastAsia" w:ascii="仿宋" w:hAnsi="仿宋" w:eastAsia="仿宋"/>
          <w:b/>
          <w:sz w:val="32"/>
          <w:szCs w:val="32"/>
        </w:rPr>
        <w:t>九、其他情况说明</w:t>
      </w:r>
    </w:p>
    <w:p>
      <w:pPr>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政府性性基金支出和国有资本经营支出：无</w:t>
      </w:r>
    </w:p>
    <w:p>
      <w:pPr>
        <w:snapToGrid w:val="0"/>
        <w:spacing w:line="588" w:lineRule="exact"/>
        <w:ind w:firstLine="640" w:firstLineChars="200"/>
        <w:rPr>
          <w:rFonts w:ascii="宋体" w:hAnsi="宋体"/>
          <w:sz w:val="32"/>
          <w:szCs w:val="32"/>
        </w:rPr>
      </w:pPr>
      <w:r>
        <w:rPr>
          <w:rFonts w:hint="eastAsia" w:ascii="仿宋" w:hAnsi="仿宋" w:eastAsia="仿宋"/>
          <w:sz w:val="32"/>
          <w:szCs w:val="32"/>
        </w:rPr>
        <w:t xml:space="preserve">  </w:t>
      </w:r>
      <w:r>
        <w:rPr>
          <w:rFonts w:ascii="宋体" w:hAnsi="宋体"/>
          <w:sz w:val="32"/>
          <w:szCs w:val="32"/>
        </w:rPr>
        <w:t xml:space="preserve"> </w:t>
      </w:r>
      <w:r>
        <w:rPr>
          <w:rFonts w:hint="eastAsia" w:ascii="宋体" w:hAnsi="宋体"/>
          <w:sz w:val="32"/>
          <w:szCs w:val="32"/>
        </w:rPr>
        <w:t xml:space="preserve">                       </w:t>
      </w:r>
    </w:p>
    <w:p>
      <w:pPr>
        <w:rPr>
          <w:rFonts w:ascii="宋体" w:hAnsi="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6B665"/>
    <w:multiLevelType w:val="singleLevel"/>
    <w:tmpl w:val="9AE6B6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RkOTU0OGVkNWM2NjhiM2QzZTAyMzE3NzYwNGQyNzgifQ=="/>
  </w:docVars>
  <w:rsids>
    <w:rsidRoot w:val="00951D86"/>
    <w:rsid w:val="00010B79"/>
    <w:rsid w:val="000200A6"/>
    <w:rsid w:val="000201FB"/>
    <w:rsid w:val="00036C9A"/>
    <w:rsid w:val="000651CB"/>
    <w:rsid w:val="00067572"/>
    <w:rsid w:val="00090FA3"/>
    <w:rsid w:val="000A3082"/>
    <w:rsid w:val="000A5115"/>
    <w:rsid w:val="000B3632"/>
    <w:rsid w:val="000C3937"/>
    <w:rsid w:val="000C399B"/>
    <w:rsid w:val="000C6439"/>
    <w:rsid w:val="000E16F6"/>
    <w:rsid w:val="00105A43"/>
    <w:rsid w:val="00113846"/>
    <w:rsid w:val="00117C60"/>
    <w:rsid w:val="0016044C"/>
    <w:rsid w:val="00171786"/>
    <w:rsid w:val="00172F2A"/>
    <w:rsid w:val="001734F2"/>
    <w:rsid w:val="00182BF6"/>
    <w:rsid w:val="00182C28"/>
    <w:rsid w:val="001931ED"/>
    <w:rsid w:val="00193E43"/>
    <w:rsid w:val="00195E38"/>
    <w:rsid w:val="001A7F8D"/>
    <w:rsid w:val="001B0841"/>
    <w:rsid w:val="001B1BFC"/>
    <w:rsid w:val="001B345B"/>
    <w:rsid w:val="001C607F"/>
    <w:rsid w:val="001D2343"/>
    <w:rsid w:val="001E05FD"/>
    <w:rsid w:val="001E3820"/>
    <w:rsid w:val="001E5962"/>
    <w:rsid w:val="001F780E"/>
    <w:rsid w:val="0021277D"/>
    <w:rsid w:val="002132D8"/>
    <w:rsid w:val="00225045"/>
    <w:rsid w:val="00240EFA"/>
    <w:rsid w:val="002457CE"/>
    <w:rsid w:val="002622DC"/>
    <w:rsid w:val="00274FAC"/>
    <w:rsid w:val="002B5EDC"/>
    <w:rsid w:val="002D1816"/>
    <w:rsid w:val="002D25A4"/>
    <w:rsid w:val="003022C9"/>
    <w:rsid w:val="00313CC2"/>
    <w:rsid w:val="00324790"/>
    <w:rsid w:val="003317DA"/>
    <w:rsid w:val="00375DA3"/>
    <w:rsid w:val="003A5D63"/>
    <w:rsid w:val="003C275F"/>
    <w:rsid w:val="003D334A"/>
    <w:rsid w:val="003D7B10"/>
    <w:rsid w:val="003E2D95"/>
    <w:rsid w:val="003F5411"/>
    <w:rsid w:val="00411797"/>
    <w:rsid w:val="0042650C"/>
    <w:rsid w:val="004266A9"/>
    <w:rsid w:val="00430792"/>
    <w:rsid w:val="00433B10"/>
    <w:rsid w:val="00435014"/>
    <w:rsid w:val="00437CC4"/>
    <w:rsid w:val="00453D5B"/>
    <w:rsid w:val="004555D5"/>
    <w:rsid w:val="00466333"/>
    <w:rsid w:val="0047635F"/>
    <w:rsid w:val="00476513"/>
    <w:rsid w:val="004A2735"/>
    <w:rsid w:val="004D03CA"/>
    <w:rsid w:val="004F20AD"/>
    <w:rsid w:val="004F684D"/>
    <w:rsid w:val="00505055"/>
    <w:rsid w:val="00524D74"/>
    <w:rsid w:val="00536215"/>
    <w:rsid w:val="005455A2"/>
    <w:rsid w:val="0055316A"/>
    <w:rsid w:val="00557E9B"/>
    <w:rsid w:val="00580FDE"/>
    <w:rsid w:val="00582938"/>
    <w:rsid w:val="005911FB"/>
    <w:rsid w:val="005A3233"/>
    <w:rsid w:val="005A71B7"/>
    <w:rsid w:val="005A7562"/>
    <w:rsid w:val="005C285B"/>
    <w:rsid w:val="005D2C78"/>
    <w:rsid w:val="005D723E"/>
    <w:rsid w:val="005E1F76"/>
    <w:rsid w:val="005E2BC4"/>
    <w:rsid w:val="005E333B"/>
    <w:rsid w:val="005F3230"/>
    <w:rsid w:val="005F4726"/>
    <w:rsid w:val="005F66A2"/>
    <w:rsid w:val="00603515"/>
    <w:rsid w:val="00605FE9"/>
    <w:rsid w:val="00612F40"/>
    <w:rsid w:val="00613E15"/>
    <w:rsid w:val="00622192"/>
    <w:rsid w:val="0064020E"/>
    <w:rsid w:val="00673302"/>
    <w:rsid w:val="00686C66"/>
    <w:rsid w:val="006A62D1"/>
    <w:rsid w:val="006C03E7"/>
    <w:rsid w:val="006C59A8"/>
    <w:rsid w:val="006D0E61"/>
    <w:rsid w:val="006D4849"/>
    <w:rsid w:val="006E4611"/>
    <w:rsid w:val="006F4B97"/>
    <w:rsid w:val="00717702"/>
    <w:rsid w:val="00717C2E"/>
    <w:rsid w:val="00720416"/>
    <w:rsid w:val="00722A06"/>
    <w:rsid w:val="00724AF1"/>
    <w:rsid w:val="007315D9"/>
    <w:rsid w:val="007378C6"/>
    <w:rsid w:val="007430AE"/>
    <w:rsid w:val="007738D7"/>
    <w:rsid w:val="007745C3"/>
    <w:rsid w:val="007B1F7D"/>
    <w:rsid w:val="007B2C4D"/>
    <w:rsid w:val="007C5053"/>
    <w:rsid w:val="007D436A"/>
    <w:rsid w:val="007F1A99"/>
    <w:rsid w:val="0081119C"/>
    <w:rsid w:val="00814D71"/>
    <w:rsid w:val="008177FA"/>
    <w:rsid w:val="00823F87"/>
    <w:rsid w:val="008240AE"/>
    <w:rsid w:val="00834319"/>
    <w:rsid w:val="00835B61"/>
    <w:rsid w:val="00842080"/>
    <w:rsid w:val="00845E48"/>
    <w:rsid w:val="00865B38"/>
    <w:rsid w:val="00867981"/>
    <w:rsid w:val="00867F04"/>
    <w:rsid w:val="00880B3D"/>
    <w:rsid w:val="008C0D35"/>
    <w:rsid w:val="008C1CE3"/>
    <w:rsid w:val="008D310E"/>
    <w:rsid w:val="008F75C6"/>
    <w:rsid w:val="00904CD9"/>
    <w:rsid w:val="009111D9"/>
    <w:rsid w:val="00911808"/>
    <w:rsid w:val="00951D86"/>
    <w:rsid w:val="009618AE"/>
    <w:rsid w:val="00974847"/>
    <w:rsid w:val="009A4997"/>
    <w:rsid w:val="009C5DA3"/>
    <w:rsid w:val="009E14C2"/>
    <w:rsid w:val="009E7F91"/>
    <w:rsid w:val="009F44C6"/>
    <w:rsid w:val="00A07DD9"/>
    <w:rsid w:val="00A12268"/>
    <w:rsid w:val="00A23FF0"/>
    <w:rsid w:val="00A34504"/>
    <w:rsid w:val="00A473A5"/>
    <w:rsid w:val="00A50228"/>
    <w:rsid w:val="00A61E9A"/>
    <w:rsid w:val="00A64F7E"/>
    <w:rsid w:val="00A8758F"/>
    <w:rsid w:val="00AA1D26"/>
    <w:rsid w:val="00AB6410"/>
    <w:rsid w:val="00AC0076"/>
    <w:rsid w:val="00AD032A"/>
    <w:rsid w:val="00AD0E79"/>
    <w:rsid w:val="00AE716B"/>
    <w:rsid w:val="00AF21C3"/>
    <w:rsid w:val="00B25D45"/>
    <w:rsid w:val="00B35CC6"/>
    <w:rsid w:val="00B36F1D"/>
    <w:rsid w:val="00B61CAE"/>
    <w:rsid w:val="00B723F1"/>
    <w:rsid w:val="00B80530"/>
    <w:rsid w:val="00B80A4B"/>
    <w:rsid w:val="00B955D1"/>
    <w:rsid w:val="00B96502"/>
    <w:rsid w:val="00BB00E4"/>
    <w:rsid w:val="00BB65C0"/>
    <w:rsid w:val="00BC10A5"/>
    <w:rsid w:val="00BC3A3C"/>
    <w:rsid w:val="00BF41C9"/>
    <w:rsid w:val="00C03FD7"/>
    <w:rsid w:val="00C24B99"/>
    <w:rsid w:val="00C73A77"/>
    <w:rsid w:val="00CA2369"/>
    <w:rsid w:val="00CB15C6"/>
    <w:rsid w:val="00CB60A5"/>
    <w:rsid w:val="00CB62DE"/>
    <w:rsid w:val="00CB6C96"/>
    <w:rsid w:val="00CC37B9"/>
    <w:rsid w:val="00D05755"/>
    <w:rsid w:val="00D11F51"/>
    <w:rsid w:val="00D16336"/>
    <w:rsid w:val="00D21A55"/>
    <w:rsid w:val="00D24C19"/>
    <w:rsid w:val="00D26F28"/>
    <w:rsid w:val="00D27C93"/>
    <w:rsid w:val="00D440A7"/>
    <w:rsid w:val="00D46D37"/>
    <w:rsid w:val="00D57591"/>
    <w:rsid w:val="00D728E3"/>
    <w:rsid w:val="00D808DD"/>
    <w:rsid w:val="00D90C1F"/>
    <w:rsid w:val="00DF3D5C"/>
    <w:rsid w:val="00E00EE7"/>
    <w:rsid w:val="00E22538"/>
    <w:rsid w:val="00E30E31"/>
    <w:rsid w:val="00E31DAB"/>
    <w:rsid w:val="00E46D06"/>
    <w:rsid w:val="00E76E6C"/>
    <w:rsid w:val="00E87706"/>
    <w:rsid w:val="00EA43FC"/>
    <w:rsid w:val="00EA686F"/>
    <w:rsid w:val="00EA7AF5"/>
    <w:rsid w:val="00EB277D"/>
    <w:rsid w:val="00EB404F"/>
    <w:rsid w:val="00EB4213"/>
    <w:rsid w:val="00EE013A"/>
    <w:rsid w:val="00EF46AE"/>
    <w:rsid w:val="00F052F5"/>
    <w:rsid w:val="00F05460"/>
    <w:rsid w:val="00F06A83"/>
    <w:rsid w:val="00F13A27"/>
    <w:rsid w:val="00F21C7B"/>
    <w:rsid w:val="00F37500"/>
    <w:rsid w:val="00F4264F"/>
    <w:rsid w:val="00F5340A"/>
    <w:rsid w:val="00F61E2C"/>
    <w:rsid w:val="00FC48E6"/>
    <w:rsid w:val="082158A1"/>
    <w:rsid w:val="0B961C07"/>
    <w:rsid w:val="1CA23B3C"/>
    <w:rsid w:val="206F747E"/>
    <w:rsid w:val="211E51E2"/>
    <w:rsid w:val="24C63265"/>
    <w:rsid w:val="2B596AC7"/>
    <w:rsid w:val="2D406094"/>
    <w:rsid w:val="2F8F2644"/>
    <w:rsid w:val="36D125F5"/>
    <w:rsid w:val="3751494E"/>
    <w:rsid w:val="38827901"/>
    <w:rsid w:val="3B5234B2"/>
    <w:rsid w:val="3F2A54AE"/>
    <w:rsid w:val="456F04B9"/>
    <w:rsid w:val="4B407EB4"/>
    <w:rsid w:val="4F18736F"/>
    <w:rsid w:val="4FE17B93"/>
    <w:rsid w:val="57EA1292"/>
    <w:rsid w:val="5825047B"/>
    <w:rsid w:val="58C15A72"/>
    <w:rsid w:val="58CE23BE"/>
    <w:rsid w:val="5BC031E5"/>
    <w:rsid w:val="664F1870"/>
    <w:rsid w:val="69C061A4"/>
    <w:rsid w:val="6B29648D"/>
    <w:rsid w:val="6E0254B3"/>
    <w:rsid w:val="6E044471"/>
    <w:rsid w:val="6F5F292A"/>
    <w:rsid w:val="78961F1E"/>
    <w:rsid w:val="79B2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uiPriority w:val="99"/>
    <w:rPr>
      <w:kern w:val="2"/>
      <w:sz w:val="18"/>
      <w:szCs w:val="18"/>
    </w:rPr>
  </w:style>
  <w:style w:type="character" w:customStyle="1" w:styleId="9">
    <w:name w:val="页眉 字符"/>
    <w:basedOn w:val="7"/>
    <w:link w:val="4"/>
    <w:autoRedefine/>
    <w:qFormat/>
    <w:uiPriority w:val="0"/>
    <w:rPr>
      <w:kern w:val="2"/>
      <w:sz w:val="18"/>
      <w:szCs w:val="18"/>
    </w:rPr>
  </w:style>
  <w:style w:type="paragraph" w:customStyle="1" w:styleId="10">
    <w:name w:val="Char Char Char1 Char"/>
    <w:basedOn w:val="1"/>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1651-76A0-49CD-A521-83FD5CADD8B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1391</Words>
  <Characters>7934</Characters>
  <Lines>66</Lines>
  <Paragraphs>18</Paragraphs>
  <TotalTime>245</TotalTime>
  <ScaleCrop>false</ScaleCrop>
  <LinksUpToDate>false</LinksUpToDate>
  <CharactersWithSpaces>9307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2019-01-29T07:49:00Z</dcterms:created>
  <dc:creator>Administrator</dc:creator>
  <cp:lastModifiedBy>邓淯丹</cp:lastModifiedBy>
  <cp:lastPrinted>2018-03-02T02:18:00Z</cp:lastPrinted>
  <dcterms:modified xsi:type="dcterms:W3CDTF">2024-03-19T01:45:03Z</dcterms:modified>
  <dc:title>职责分类绩效目标：</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99EBEB1F1F7E4389A7BB453CBBC35C2E_12</vt:lpwstr>
  </property>
</Properties>
</file>