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4"/>
      </w:pPr>
      <w:r>
        <w:rPr>
          <w:rFonts w:ascii="方正小标宋_GBK" w:hAnsi="方正小标宋_GBK" w:eastAsia="方正小标宋_GBK" w:cs="方正小标宋_GBK"/>
          <w:color w:val="000000"/>
          <w:sz w:val="44"/>
        </w:rPr>
        <w:t>唐山市丰润区就业服务中心2023年单位预算信息公开情况说明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预算法》、《地方预决算公开操作规程》和《关于进一步推进预算公开工作的实施意见》规定，现将唐山市丰润区就业服务中心2023年单位预算公开如下：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textAlignment w:val="auto"/>
      </w:pPr>
      <w:r>
        <w:rPr>
          <w:rFonts w:hint="eastAsia" w:ascii="方正楷体_GBK" w:hAnsi="方正楷体_GBK" w:eastAsia="方正楷体_GBK" w:cs="方正楷体_GBK"/>
          <w:b/>
          <w:color w:val="000000"/>
          <w:sz w:val="32"/>
          <w:lang w:eastAsia="zh-CN"/>
        </w:rPr>
        <w:t>（一）</w:t>
      </w:r>
      <w:r>
        <w:rPr>
          <w:rFonts w:ascii="方正楷体_GBK" w:hAnsi="方正楷体_GBK" w:eastAsia="方正楷体_GBK" w:cs="方正楷体_GBK"/>
          <w:b/>
          <w:color w:val="000000"/>
          <w:sz w:val="32"/>
        </w:rPr>
        <w:t>单位职责</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1、贯彻落实国家、省、市有关就业和再就业工作的法律、法规和政策规定，并组织实施。</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2、负责区内劳动力就业统筹规划和管理、劳动力资源的统计和利用。</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3、负责统筹、协调、指导、管理城乡新生劳动力就业、创业培训，负责下岗职工、失业人员的转业转岗培训。</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4、负责就业指导、职业介绍、劳动人事代理、劳务派遣管理和社会中介机构的审核与管理。</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5、负责全区劳动就业服务企业综合管理，会同有关部门对下岗职工、失业人员从事个体经营和合伙企业的服务型企业、社区就业实体各项优惠政策的落实、考核和监督管理工作。</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6、负责全区失业人员管理、职业介绍补贴资金和培训补贴资金的管理工作，负责下岗职工基本生活费、失业人员失业救济金的管理工作。</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7、负责失业保险基金的征集、支付和管理工作。</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8、负责就业信息网络建设及用工信息采集、整理和发布，承担企业事业单位下岗失业人员和企业退休人员的社会化管理服务工作。</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9、负责劳动人事代理、档案管理和社会保险关系接续以及失业保险基金的征集、发放和管理服务工作。</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10、指导各乡镇（街道）、区直单位和企业的就业服务工作。</w:t>
      </w:r>
    </w:p>
    <w:p>
      <w:pPr>
        <w:spacing w:line="240" w:lineRule="auto"/>
        <w:ind w:firstLine="560"/>
        <w:rPr>
          <w:rFonts w:hint="eastAsia" w:eastAsia="方正仿宋_GBK"/>
          <w:color w:val="000000"/>
          <w:sz w:val="28"/>
          <w:lang w:val="en-US" w:eastAsia="zh-CN"/>
        </w:rPr>
      </w:pPr>
      <w:r>
        <w:rPr>
          <w:rFonts w:hint="eastAsia" w:eastAsia="方正仿宋_GBK"/>
          <w:color w:val="000000"/>
          <w:sz w:val="28"/>
          <w:lang w:val="en-US" w:eastAsia="zh-CN"/>
        </w:rPr>
        <w:t>11、承办区政府和区人事劳动和社会保障局交办的其他工作任务。</w:t>
      </w:r>
    </w:p>
    <w:p>
      <w:pPr>
        <w:pStyle w:val="15"/>
        <w:spacing w:line="240" w:lineRule="auto"/>
      </w:pPr>
    </w:p>
    <w:p>
      <w:pPr>
        <w:ind w:firstLine="640"/>
      </w:pP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唐山市丰润区就业服务中心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中心</w:t>
      </w:r>
      <w:r>
        <w:rPr>
          <w:rFonts w:eastAsia="方正仿宋_GBK"/>
          <w:color w:val="000000"/>
          <w:sz w:val="28"/>
        </w:rPr>
        <w:t>预算的编制实行综合预算管理，即全部收入和支出都反映在预算中。</w:t>
      </w:r>
    </w:p>
    <w:p>
      <w:pPr>
        <w:ind w:firstLine="64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（一）收入说明</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w:t>
      </w:r>
      <w:r>
        <w:rPr>
          <w:rFonts w:hint="eastAsia" w:eastAsia="方正仿宋_GBK"/>
          <w:color w:val="000000"/>
          <w:sz w:val="28"/>
          <w:lang w:eastAsia="zh-CN"/>
        </w:rPr>
        <w:t>中心</w:t>
      </w:r>
      <w:r>
        <w:rPr>
          <w:rFonts w:hint="eastAsia" w:eastAsia="方正仿宋_GBK"/>
          <w:color w:val="000000"/>
          <w:sz w:val="28"/>
        </w:rPr>
        <w:t>预算收入</w:t>
      </w:r>
      <w:r>
        <w:rPr>
          <w:rFonts w:hint="eastAsia" w:eastAsia="方正仿宋_GBK"/>
          <w:color w:val="000000"/>
          <w:sz w:val="28"/>
          <w:lang w:val="en-US" w:eastAsia="zh-CN"/>
        </w:rPr>
        <w:t>1041.27</w:t>
      </w:r>
      <w:r>
        <w:rPr>
          <w:rFonts w:hint="eastAsia" w:eastAsia="方正仿宋_GBK"/>
          <w:color w:val="000000"/>
          <w:sz w:val="28"/>
        </w:rPr>
        <w:t>万元，其中一般公共预算收入</w:t>
      </w:r>
      <w:r>
        <w:rPr>
          <w:rFonts w:hint="eastAsia" w:eastAsia="方正仿宋_GBK"/>
          <w:color w:val="000000"/>
          <w:sz w:val="28"/>
          <w:lang w:val="en-US" w:eastAsia="zh-CN"/>
        </w:rPr>
        <w:t>1041.27</w:t>
      </w:r>
      <w:r>
        <w:rPr>
          <w:rFonts w:hint="eastAsia" w:eastAsia="方正仿宋_GBK"/>
          <w:color w:val="000000"/>
          <w:sz w:val="28"/>
        </w:rPr>
        <w:t>万元，政府性基金收入</w:t>
      </w:r>
      <w:r>
        <w:rPr>
          <w:rFonts w:eastAsia="方正仿宋_GBK"/>
          <w:color w:val="000000"/>
          <w:sz w:val="28"/>
        </w:rPr>
        <w:t>0</w:t>
      </w:r>
      <w:r>
        <w:rPr>
          <w:rFonts w:hint="eastAsia" w:eastAsia="方正仿宋_GBK"/>
          <w:color w:val="000000"/>
          <w:sz w:val="28"/>
        </w:rPr>
        <w:t>万元，国有资本经营预算收入</w:t>
      </w:r>
      <w:r>
        <w:rPr>
          <w:rFonts w:eastAsia="方正仿宋_GBK"/>
          <w:color w:val="000000"/>
          <w:sz w:val="28"/>
        </w:rPr>
        <w:t>0</w:t>
      </w:r>
      <w:r>
        <w:rPr>
          <w:rFonts w:hint="eastAsia" w:eastAsia="方正仿宋_GBK"/>
          <w:color w:val="000000"/>
          <w:sz w:val="28"/>
        </w:rPr>
        <w:t>万元。</w:t>
      </w:r>
    </w:p>
    <w:p>
      <w:pPr>
        <w:spacing w:line="500" w:lineRule="exact"/>
        <w:ind w:firstLine="643" w:firstLineChars="200"/>
        <w:rPr>
          <w:rFonts w:eastAsia="方正仿宋_GBK" w:cs="Times New Roman"/>
          <w:sz w:val="28"/>
          <w:lang w:eastAsia="zh-CN"/>
        </w:rPr>
      </w:pPr>
      <w:r>
        <w:rPr>
          <w:rFonts w:hint="eastAsia" w:ascii="方正楷体_GBK" w:hAnsi="方正楷体_GBK" w:eastAsia="方正楷体_GBK" w:cs="方正楷体_GBK"/>
          <w:b/>
          <w:color w:val="000000"/>
          <w:sz w:val="32"/>
          <w:lang w:eastAsia="zh-CN"/>
        </w:rPr>
        <w:t>（二）支出说明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w:t>
      </w:r>
      <w:r>
        <w:rPr>
          <w:rFonts w:hint="eastAsia" w:eastAsia="方正仿宋_GBK"/>
          <w:color w:val="000000"/>
          <w:sz w:val="28"/>
          <w:lang w:eastAsia="zh-CN"/>
        </w:rPr>
        <w:t>中心</w:t>
      </w:r>
      <w:r>
        <w:rPr>
          <w:rFonts w:hint="eastAsia" w:eastAsia="方正仿宋_GBK"/>
          <w:color w:val="000000"/>
          <w:sz w:val="28"/>
        </w:rPr>
        <w:t>预算支出</w:t>
      </w:r>
      <w:r>
        <w:rPr>
          <w:rFonts w:hint="eastAsia" w:eastAsia="方正仿宋_GBK"/>
          <w:color w:val="000000"/>
          <w:sz w:val="28"/>
          <w:lang w:val="en-US" w:eastAsia="zh-CN"/>
        </w:rPr>
        <w:t>1041.27</w:t>
      </w:r>
      <w:r>
        <w:rPr>
          <w:rFonts w:hint="eastAsia" w:eastAsia="方正仿宋_GBK"/>
          <w:color w:val="000000"/>
          <w:sz w:val="28"/>
        </w:rPr>
        <w:t>万元，其中基本支出</w:t>
      </w:r>
      <w:r>
        <w:rPr>
          <w:rFonts w:hint="eastAsia" w:eastAsia="方正仿宋_GBK"/>
          <w:color w:val="000000"/>
          <w:sz w:val="28"/>
          <w:lang w:val="en-US" w:eastAsia="zh-CN"/>
        </w:rPr>
        <w:t>1041.27</w:t>
      </w:r>
      <w:r>
        <w:rPr>
          <w:rFonts w:hint="eastAsia" w:eastAsia="方正仿宋_GBK"/>
          <w:color w:val="000000"/>
          <w:sz w:val="28"/>
        </w:rPr>
        <w:t>万元，包含人员经费</w:t>
      </w:r>
      <w:r>
        <w:rPr>
          <w:rFonts w:hint="eastAsia" w:eastAsia="方正仿宋_GBK"/>
          <w:color w:val="000000"/>
          <w:sz w:val="28"/>
          <w:lang w:val="en-US" w:eastAsia="zh-CN"/>
        </w:rPr>
        <w:t>864.02万</w:t>
      </w:r>
      <w:r>
        <w:rPr>
          <w:rFonts w:hint="eastAsia" w:eastAsia="方正仿宋_GBK"/>
          <w:color w:val="000000"/>
          <w:sz w:val="28"/>
        </w:rPr>
        <w:t>元、正常公用经费</w:t>
      </w:r>
      <w:r>
        <w:rPr>
          <w:rFonts w:hint="eastAsia" w:eastAsia="方正仿宋_GBK"/>
          <w:color w:val="000000"/>
          <w:sz w:val="28"/>
          <w:lang w:val="en-US" w:eastAsia="zh-CN"/>
        </w:rPr>
        <w:t>29.37</w:t>
      </w:r>
      <w:r>
        <w:rPr>
          <w:rFonts w:hint="eastAsia" w:eastAsia="方正仿宋_GBK"/>
          <w:color w:val="000000"/>
          <w:sz w:val="28"/>
        </w:rPr>
        <w:t>万元，项目支出</w:t>
      </w:r>
      <w:r>
        <w:rPr>
          <w:rFonts w:hint="eastAsia" w:eastAsia="方正仿宋_GBK"/>
          <w:color w:val="000000"/>
          <w:sz w:val="28"/>
          <w:lang w:val="en-US" w:eastAsia="zh-CN"/>
        </w:rPr>
        <w:t>147.88</w:t>
      </w:r>
      <w:r>
        <w:rPr>
          <w:rFonts w:hint="eastAsia" w:eastAsia="方正仿宋_GBK"/>
          <w:color w:val="000000"/>
          <w:sz w:val="28"/>
        </w:rPr>
        <w:t>万元。</w:t>
      </w:r>
    </w:p>
    <w:p>
      <w:pPr>
        <w:spacing w:line="500" w:lineRule="exact"/>
        <w:ind w:firstLine="643" w:firstLineChars="20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（三）比上年增减情况</w:t>
      </w:r>
    </w:p>
    <w:p>
      <w:pPr>
        <w:spacing w:line="500" w:lineRule="exact"/>
        <w:ind w:firstLine="560"/>
        <w:rPr>
          <w:rFonts w:hint="eastAsia" w:eastAsia="方正仿宋_GBK"/>
          <w:color w:val="000000"/>
          <w:sz w:val="28"/>
          <w:lang w:eastAsia="zh-CN"/>
        </w:rPr>
      </w:pPr>
      <w:r>
        <w:rPr>
          <w:rFonts w:hint="eastAsia" w:eastAsia="方正仿宋_GBK"/>
          <w:color w:val="000000"/>
          <w:sz w:val="28"/>
        </w:rPr>
        <w:t xml:space="preserve"> 202</w:t>
      </w:r>
      <w:r>
        <w:rPr>
          <w:rFonts w:hint="eastAsia" w:eastAsia="方正仿宋_GBK"/>
          <w:color w:val="000000"/>
          <w:sz w:val="28"/>
          <w:lang w:eastAsia="zh-CN"/>
        </w:rPr>
        <w:t>3</w:t>
      </w:r>
      <w:r>
        <w:rPr>
          <w:rFonts w:hint="eastAsia" w:eastAsia="方正仿宋_GBK"/>
          <w:color w:val="000000"/>
          <w:sz w:val="28"/>
        </w:rPr>
        <w:t>年预算较202</w:t>
      </w:r>
      <w:r>
        <w:rPr>
          <w:rFonts w:hint="eastAsia" w:eastAsia="方正仿宋_GBK"/>
          <w:color w:val="000000"/>
          <w:sz w:val="28"/>
          <w:lang w:val="en-US" w:eastAsia="zh-CN"/>
        </w:rPr>
        <w:t>2</w:t>
      </w:r>
      <w:r>
        <w:rPr>
          <w:rFonts w:hint="eastAsia" w:eastAsia="方正仿宋_GBK"/>
          <w:color w:val="000000"/>
          <w:sz w:val="28"/>
        </w:rPr>
        <w:t>年增加</w:t>
      </w:r>
      <w:r>
        <w:rPr>
          <w:rFonts w:hint="eastAsia" w:eastAsia="方正仿宋_GBK"/>
          <w:color w:val="000000"/>
          <w:sz w:val="28"/>
          <w:lang w:val="en-US" w:eastAsia="zh-CN"/>
        </w:rPr>
        <w:t>246.25</w:t>
      </w:r>
      <w:r>
        <w:rPr>
          <w:rFonts w:hint="eastAsia" w:eastAsia="方正仿宋_GBK"/>
          <w:color w:val="000000"/>
          <w:sz w:val="28"/>
        </w:rPr>
        <w:t>万元，其中人员经费增加</w:t>
      </w:r>
      <w:r>
        <w:rPr>
          <w:rFonts w:hint="eastAsia" w:eastAsia="方正仿宋_GBK"/>
          <w:color w:val="000000"/>
          <w:sz w:val="28"/>
          <w:lang w:val="en-US" w:eastAsia="zh-CN"/>
        </w:rPr>
        <w:t>286.21</w:t>
      </w:r>
      <w:r>
        <w:rPr>
          <w:rFonts w:hint="eastAsia" w:eastAsia="方正仿宋_GBK"/>
          <w:color w:val="000000"/>
          <w:sz w:val="28"/>
        </w:rPr>
        <w:t>万元（增加原因为在职人员增加及工资调整）、正常公用经费</w:t>
      </w:r>
      <w:r>
        <w:rPr>
          <w:rFonts w:hint="eastAsia" w:eastAsia="方正仿宋_GBK"/>
          <w:color w:val="000000"/>
          <w:sz w:val="28"/>
          <w:lang w:eastAsia="zh-CN"/>
        </w:rPr>
        <w:t>与去年持平；</w:t>
      </w:r>
      <w:r>
        <w:rPr>
          <w:rFonts w:hint="eastAsia" w:eastAsia="方正仿宋_GBK"/>
          <w:color w:val="000000"/>
          <w:sz w:val="28"/>
        </w:rPr>
        <w:t>项目支出</w:t>
      </w:r>
      <w:r>
        <w:rPr>
          <w:rFonts w:hint="eastAsia" w:eastAsia="方正仿宋_GBK"/>
          <w:color w:val="000000"/>
          <w:sz w:val="28"/>
          <w:lang w:eastAsia="zh-CN"/>
        </w:rPr>
        <w:t>减少</w:t>
      </w:r>
      <w:r>
        <w:rPr>
          <w:rFonts w:hint="eastAsia" w:eastAsia="方正仿宋_GBK"/>
          <w:color w:val="000000"/>
          <w:sz w:val="28"/>
          <w:lang w:val="en-US" w:eastAsia="zh-CN"/>
        </w:rPr>
        <w:t>40.90</w:t>
      </w:r>
      <w:r>
        <w:rPr>
          <w:rFonts w:hint="eastAsia" w:eastAsia="方正仿宋_GBK"/>
          <w:color w:val="000000"/>
          <w:sz w:val="28"/>
        </w:rPr>
        <w:t>万元（</w:t>
      </w:r>
      <w:r>
        <w:rPr>
          <w:rFonts w:hint="eastAsia" w:eastAsia="方正仿宋_GBK"/>
          <w:color w:val="000000"/>
          <w:sz w:val="28"/>
          <w:lang w:eastAsia="zh-CN"/>
        </w:rPr>
        <w:t>因项目和资金均减少</w:t>
      </w:r>
      <w:r>
        <w:rPr>
          <w:rFonts w:hint="eastAsia" w:eastAsia="方正仿宋_GBK"/>
          <w:color w:val="000000"/>
          <w:sz w:val="28"/>
        </w:rPr>
        <w:t>）</w:t>
      </w:r>
      <w:r>
        <w:rPr>
          <w:rFonts w:hint="eastAsia" w:eastAsia="方正仿宋_GBK"/>
          <w:color w:val="000000"/>
          <w:sz w:val="28"/>
          <w:lang w:eastAsia="zh-CN"/>
        </w:rPr>
        <w:t>。</w:t>
      </w:r>
    </w:p>
    <w:p>
      <w:pPr>
        <w:spacing w:line="500" w:lineRule="exact"/>
        <w:ind w:firstLine="560"/>
        <w:rPr>
          <w:rFonts w:hint="eastAsia" w:eastAsia="方正仿宋_GBK"/>
          <w:color w:val="000000"/>
          <w:sz w:val="28"/>
          <w:lang w:eastAsia="zh-CN"/>
        </w:rPr>
      </w:pPr>
    </w:p>
    <w:p>
      <w:pPr>
        <w:numPr>
          <w:ilvl w:val="0"/>
          <w:numId w:val="0"/>
        </w:numPr>
        <w:spacing w:before="10" w:after="10"/>
        <w:ind w:firstLine="640" w:firstLineChars="0"/>
        <w:outlineLvl w:val="5"/>
        <w:rPr>
          <w:rFonts w:ascii="黑体" w:hAnsi="黑体" w:eastAsia="黑体" w:cs="黑体"/>
          <w:color w:val="000000"/>
          <w:sz w:val="32"/>
        </w:rPr>
      </w:pPr>
      <w:r>
        <w:rPr>
          <w:rFonts w:hint="eastAsia" w:ascii="黑体" w:hAnsi="黑体" w:eastAsia="黑体" w:cs="黑体"/>
          <w:color w:val="000000"/>
          <w:sz w:val="32"/>
          <w:szCs w:val="22"/>
          <w:lang w:val="en-US" w:eastAsia="zh-CN" w:bidi="ar-SA"/>
        </w:rPr>
        <w:t>三、</w:t>
      </w:r>
      <w:r>
        <w:rPr>
          <w:rFonts w:ascii="黑体" w:hAnsi="黑体" w:eastAsia="黑体" w:cs="黑体"/>
          <w:color w:val="000000"/>
          <w:sz w:val="32"/>
        </w:rPr>
        <w:t>机关运行经费安排情况</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w:t>
      </w:r>
      <w:r>
        <w:rPr>
          <w:rFonts w:hint="eastAsia" w:eastAsia="方正仿宋_GBK"/>
          <w:color w:val="000000"/>
          <w:sz w:val="28"/>
          <w:lang w:eastAsia="zh-CN"/>
        </w:rPr>
        <w:t>中心</w:t>
      </w:r>
      <w:r>
        <w:rPr>
          <w:rFonts w:hint="eastAsia" w:eastAsia="方正仿宋_GBK"/>
          <w:color w:val="000000"/>
          <w:sz w:val="28"/>
        </w:rPr>
        <w:t>运行经费共计安排</w:t>
      </w:r>
      <w:r>
        <w:rPr>
          <w:rFonts w:hint="eastAsia" w:eastAsia="方正仿宋_GBK"/>
          <w:color w:val="000000"/>
          <w:sz w:val="28"/>
          <w:lang w:val="en-US" w:eastAsia="zh-CN"/>
        </w:rPr>
        <w:t>29.37</w:t>
      </w:r>
      <w:r>
        <w:rPr>
          <w:rFonts w:hint="eastAsia" w:eastAsia="方正仿宋_GBK"/>
          <w:color w:val="000000"/>
          <w:sz w:val="28"/>
        </w:rPr>
        <w:t>万元，主要包括用于保证机关正常运转的办公费、差旅费、</w:t>
      </w:r>
      <w:r>
        <w:rPr>
          <w:rFonts w:hint="eastAsia" w:eastAsia="方正仿宋_GBK"/>
          <w:color w:val="000000"/>
          <w:sz w:val="28"/>
          <w:lang w:eastAsia="zh-CN"/>
        </w:rPr>
        <w:t>劳务费、</w:t>
      </w:r>
      <w:r>
        <w:rPr>
          <w:rFonts w:hint="eastAsia" w:eastAsia="方正仿宋_GBK"/>
          <w:color w:val="000000"/>
          <w:sz w:val="28"/>
        </w:rPr>
        <w:t>福利费、</w:t>
      </w:r>
      <w:r>
        <w:rPr>
          <w:rFonts w:hint="eastAsia" w:eastAsia="方正仿宋_GBK"/>
          <w:color w:val="000000"/>
          <w:sz w:val="28"/>
          <w:lang w:eastAsia="zh-CN"/>
        </w:rPr>
        <w:t>工会经费、</w:t>
      </w:r>
      <w:r>
        <w:rPr>
          <w:rFonts w:hint="eastAsia" w:eastAsia="方正仿宋_GBK"/>
          <w:color w:val="000000"/>
          <w:sz w:val="28"/>
        </w:rPr>
        <w:t>水电费、办公取暖费、公务车运行维护费等支出。</w:t>
      </w:r>
    </w:p>
    <w:p>
      <w:pPr>
        <w:spacing w:line="500" w:lineRule="exact"/>
        <w:ind w:firstLine="560"/>
        <w:rPr>
          <w:rFonts w:hint="eastAsia" w:eastAsia="方正仿宋_GBK"/>
          <w:color w:val="000000"/>
          <w:sz w:val="28"/>
        </w:rPr>
      </w:pPr>
    </w:p>
    <w:p>
      <w:pPr>
        <w:numPr>
          <w:ilvl w:val="0"/>
          <w:numId w:val="0"/>
        </w:numPr>
        <w:spacing w:before="10" w:after="10"/>
        <w:ind w:left="0" w:leftChars="0" w:firstLine="640" w:firstLineChars="0"/>
        <w:outlineLvl w:val="5"/>
        <w:rPr>
          <w:rFonts w:ascii="黑体" w:hAnsi="黑体" w:eastAsia="黑体" w:cs="黑体"/>
          <w:color w:val="000000"/>
          <w:sz w:val="32"/>
        </w:rPr>
      </w:pPr>
      <w:r>
        <w:rPr>
          <w:rFonts w:hint="eastAsia" w:ascii="黑体" w:hAnsi="黑体" w:eastAsia="黑体" w:cs="黑体"/>
          <w:color w:val="000000"/>
          <w:sz w:val="32"/>
          <w:szCs w:val="22"/>
          <w:lang w:val="en-US" w:eastAsia="zh-CN" w:bidi="ar-SA"/>
        </w:rPr>
        <w:t>四、</w:t>
      </w:r>
      <w:r>
        <w:rPr>
          <w:rFonts w:ascii="黑体" w:hAnsi="黑体" w:eastAsia="黑体" w:cs="黑体"/>
          <w:color w:val="000000"/>
          <w:sz w:val="32"/>
        </w:rPr>
        <w:t>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年我</w:t>
      </w:r>
      <w:r>
        <w:rPr>
          <w:rFonts w:hint="eastAsia" w:eastAsia="方正仿宋_GBK"/>
          <w:color w:val="000000"/>
          <w:sz w:val="28"/>
          <w:lang w:eastAsia="zh-CN"/>
        </w:rPr>
        <w:t>中心</w:t>
      </w:r>
      <w:r>
        <w:rPr>
          <w:rFonts w:hint="eastAsia" w:eastAsia="方正仿宋_GBK"/>
          <w:color w:val="000000"/>
          <w:sz w:val="28"/>
        </w:rPr>
        <w:t>“三公”经费预算安排</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与</w:t>
      </w: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w:t>
      </w:r>
      <w:r>
        <w:rPr>
          <w:rFonts w:hint="eastAsia" w:eastAsia="方正仿宋_GBK"/>
          <w:color w:val="000000"/>
          <w:sz w:val="28"/>
          <w:lang w:eastAsia="zh-CN"/>
        </w:rPr>
        <w:t>相比无变化</w:t>
      </w:r>
      <w:r>
        <w:rPr>
          <w:rFonts w:hint="eastAsia" w:eastAsia="方正仿宋_GBK"/>
          <w:color w:val="000000"/>
          <w:sz w:val="28"/>
        </w:rPr>
        <w:t>。具体安排情况为：</w:t>
      </w:r>
    </w:p>
    <w:p>
      <w:pPr>
        <w:numPr>
          <w:ilvl w:val="0"/>
          <w:numId w:val="1"/>
        </w:numPr>
        <w:spacing w:line="500" w:lineRule="exact"/>
        <w:ind w:left="808" w:leftChars="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公务用车购置及运行费</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eastAsia="方正仿宋_GBK"/>
          <w:sz w:val="28"/>
          <w:lang w:eastAsia="zh-CN"/>
        </w:rPr>
      </w:pPr>
      <w:r>
        <w:rPr>
          <w:rFonts w:hint="eastAsia" w:eastAsia="方正仿宋_GBK"/>
          <w:color w:val="000000"/>
          <w:sz w:val="28"/>
        </w:rPr>
        <w:t>共计安排0万元，与2022年预算相比无变化</w:t>
      </w:r>
      <w:r>
        <w:rPr>
          <w:rFonts w:hint="eastAsia" w:eastAsia="方正仿宋_GBK"/>
          <w:sz w:val="28"/>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eastAsia="方正仿宋_GBK"/>
          <w:color w:val="000000"/>
          <w:sz w:val="28"/>
          <w:lang w:eastAsia="zh-CN"/>
        </w:rPr>
      </w:pPr>
      <w:r>
        <w:rPr>
          <w:rFonts w:hint="eastAsia" w:eastAsia="方正仿宋_GBK"/>
          <w:color w:val="000000"/>
          <w:sz w:val="28"/>
        </w:rPr>
        <w:t>①公务用车购置0万元，与上年持平</w:t>
      </w:r>
      <w:r>
        <w:rPr>
          <w:rFonts w:hint="eastAsia" w:eastAsia="方正仿宋_GBK"/>
          <w:color w:val="000000"/>
          <w:sz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eastAsia="方正仿宋_GBK"/>
          <w:color w:val="000000"/>
          <w:sz w:val="28"/>
          <w:lang w:eastAsia="zh-CN"/>
        </w:rPr>
      </w:pPr>
      <w:r>
        <w:rPr>
          <w:rFonts w:hint="eastAsia" w:eastAsia="方正仿宋_GBK"/>
          <w:color w:val="000000"/>
          <w:sz w:val="28"/>
        </w:rPr>
        <w:t>②公务运行维护经费安排0万元，与上年持平</w:t>
      </w:r>
      <w:r>
        <w:rPr>
          <w:rFonts w:hint="eastAsia" w:eastAsia="方正仿宋_GBK"/>
          <w:color w:val="000000"/>
          <w:sz w:val="28"/>
          <w:lang w:eastAsia="zh-CN"/>
        </w:rPr>
        <w:t>。</w:t>
      </w:r>
    </w:p>
    <w:p>
      <w:pPr>
        <w:numPr>
          <w:ilvl w:val="0"/>
          <w:numId w:val="2"/>
        </w:numPr>
        <w:spacing w:line="500" w:lineRule="exact"/>
        <w:ind w:firstLine="643" w:firstLineChars="20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公务接待费</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eastAsia="方正仿宋_GBK"/>
          <w:sz w:val="28"/>
          <w:lang w:eastAsia="zh-CN"/>
        </w:rPr>
      </w:pPr>
      <w:r>
        <w:rPr>
          <w:rFonts w:hint="eastAsia" w:eastAsia="方正仿宋_GBK"/>
          <w:color w:val="000000"/>
          <w:sz w:val="28"/>
        </w:rPr>
        <w:t>共计安排0万元，与2022年预算相比无变化。</w:t>
      </w:r>
    </w:p>
    <w:p>
      <w:pPr>
        <w:numPr>
          <w:ilvl w:val="0"/>
          <w:numId w:val="2"/>
        </w:numPr>
        <w:spacing w:line="500" w:lineRule="exact"/>
        <w:ind w:left="0" w:leftChars="0" w:firstLine="643" w:firstLineChars="20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因公出国(境)费</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eastAsia="方正仿宋_GBK"/>
          <w:color w:val="000000"/>
          <w:sz w:val="28"/>
        </w:rPr>
      </w:pPr>
      <w:r>
        <w:rPr>
          <w:rFonts w:hint="eastAsia" w:eastAsia="方正仿宋_GBK"/>
          <w:color w:val="000000"/>
          <w:sz w:val="28"/>
        </w:rPr>
        <w:t>安排0万元，与2022年预算相比无变化。</w:t>
      </w:r>
    </w:p>
    <w:p>
      <w:pPr>
        <w:pStyle w:val="18"/>
        <w:ind w:left="0" w:leftChars="0" w:firstLine="0" w:firstLineChars="0"/>
      </w:pPr>
    </w:p>
    <w:p>
      <w:pPr>
        <w:spacing w:before="10" w:after="10"/>
        <w:ind w:firstLine="640"/>
        <w:outlineLvl w:val="5"/>
        <w:sectPr>
          <w:pgSz w:w="16840" w:h="11900" w:orient="landscape"/>
          <w:pgMar w:top="1361" w:right="1020" w:bottom="1361" w:left="1020" w:header="720" w:footer="720" w:gutter="0"/>
          <w:cols w:space="720" w:num="1"/>
          <w:docGrid w:linePitch="299" w:charSpace="0"/>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1、创业服务经费绩效目标表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1.积极落实创业就业政策</w:t>
            </w:r>
          </w:p>
          <w:p>
            <w:pPr>
              <w:pStyle w:val="12"/>
            </w:pPr>
            <w:r>
              <w:t>2.开展创业就业服务宣传和多场专项活动</w:t>
            </w:r>
          </w:p>
          <w:p>
            <w:pPr>
              <w:pStyle w:val="12"/>
            </w:pPr>
            <w:r>
              <w:t>3.按照市级要求发放创业就业奖补资金和管理补贴</w:t>
            </w:r>
          </w:p>
        </w:tc>
      </w:tr>
    </w:tbl>
    <w:tbl>
      <w:tblPr>
        <w:tblStyle w:val="4"/>
        <w:tblpPr w:leftFromText="180" w:rightFromText="180" w:vertAnchor="page" w:horzAnchor="margin" w:tblpXSpec="center" w:tblpY="286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招聘会数量</w:t>
            </w:r>
          </w:p>
        </w:tc>
        <w:tc>
          <w:tcPr>
            <w:tcW w:w="2835" w:type="dxa"/>
            <w:vAlign w:val="center"/>
          </w:tcPr>
          <w:p>
            <w:pPr>
              <w:pStyle w:val="12"/>
            </w:pPr>
            <w:r>
              <w:t>指导全区各地开展“春风行动”、“民营企业招聘周”等专项活动</w:t>
            </w:r>
          </w:p>
        </w:tc>
        <w:tc>
          <w:tcPr>
            <w:tcW w:w="2551" w:type="dxa"/>
            <w:vAlign w:val="center"/>
          </w:tcPr>
          <w:p>
            <w:pPr>
              <w:pStyle w:val="12"/>
            </w:pPr>
            <w:r>
              <w:t>≥50场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2835" w:type="dxa"/>
            <w:vAlign w:val="center"/>
          </w:tcPr>
          <w:p>
            <w:pPr>
              <w:pStyle w:val="12"/>
            </w:pPr>
            <w:r>
              <w:t>持续优化就业创业服务，提高服务水平</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数据及时性</w:t>
            </w:r>
          </w:p>
        </w:tc>
        <w:tc>
          <w:tcPr>
            <w:tcW w:w="2835" w:type="dxa"/>
            <w:vAlign w:val="center"/>
          </w:tcPr>
          <w:p>
            <w:pPr>
              <w:pStyle w:val="12"/>
            </w:pPr>
            <w:r>
              <w:t>及时关注和反映重点人群创业就业工作数据</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奖补资金成本</w:t>
            </w:r>
          </w:p>
        </w:tc>
        <w:tc>
          <w:tcPr>
            <w:tcW w:w="2835" w:type="dxa"/>
            <w:vAlign w:val="center"/>
          </w:tcPr>
          <w:p>
            <w:pPr>
              <w:pStyle w:val="12"/>
            </w:pPr>
            <w:r>
              <w:t>发放奖补资金和管理服务补贴成本</w:t>
            </w:r>
          </w:p>
        </w:tc>
        <w:tc>
          <w:tcPr>
            <w:tcW w:w="2551" w:type="dxa"/>
            <w:vAlign w:val="center"/>
          </w:tcPr>
          <w:p>
            <w:pPr>
              <w:pStyle w:val="12"/>
            </w:pPr>
            <w:r>
              <w:t>≤15万元</w:t>
            </w:r>
          </w:p>
        </w:tc>
        <w:tc>
          <w:tcPr>
            <w:tcW w:w="2268" w:type="dxa"/>
            <w:vAlign w:val="center"/>
          </w:tcPr>
          <w:p>
            <w:pPr>
              <w:pStyle w:val="12"/>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就业政策落实</w:t>
            </w:r>
          </w:p>
        </w:tc>
        <w:tc>
          <w:tcPr>
            <w:tcW w:w="2835" w:type="dxa"/>
            <w:vAlign w:val="center"/>
          </w:tcPr>
          <w:p>
            <w:pPr>
              <w:pStyle w:val="12"/>
            </w:pPr>
            <w:r>
              <w:t>各项就业政策落实到位</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创业就业增长率</w:t>
            </w:r>
          </w:p>
        </w:tc>
        <w:tc>
          <w:tcPr>
            <w:tcW w:w="2835" w:type="dxa"/>
            <w:vAlign w:val="center"/>
          </w:tcPr>
          <w:p>
            <w:pPr>
              <w:pStyle w:val="12"/>
            </w:pPr>
            <w:r>
              <w:t>创业就业增长率</w:t>
            </w:r>
          </w:p>
        </w:tc>
        <w:tc>
          <w:tcPr>
            <w:tcW w:w="2551" w:type="dxa"/>
            <w:vAlign w:val="center"/>
          </w:tcPr>
          <w:p>
            <w:pPr>
              <w:pStyle w:val="12"/>
            </w:pPr>
            <w:r>
              <w:t>≥8%</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受益群体满意程度</w:t>
            </w:r>
          </w:p>
        </w:tc>
        <w:tc>
          <w:tcPr>
            <w:tcW w:w="2551" w:type="dxa"/>
            <w:vAlign w:val="center"/>
          </w:tcPr>
          <w:p>
            <w:pPr>
              <w:pStyle w:val="12"/>
            </w:pPr>
            <w:r>
              <w:t>≥95%</w:t>
            </w:r>
          </w:p>
        </w:tc>
        <w:tc>
          <w:tcPr>
            <w:tcW w:w="2268" w:type="dxa"/>
            <w:vAlign w:val="center"/>
          </w:tcPr>
          <w:p>
            <w:pPr>
              <w:pStyle w:val="12"/>
            </w:pPr>
            <w:r>
              <w:t>民意反馈</w:t>
            </w:r>
          </w:p>
        </w:tc>
      </w:tr>
    </w:tbl>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docGrid w:linePitch="299" w:charSpace="0"/>
        </w:sectPr>
      </w:pPr>
    </w:p>
    <w:p>
      <w:pPr>
        <w:ind w:firstLine="560"/>
      </w:pPr>
      <w:r>
        <w:rPr>
          <w:rFonts w:ascii="方正仿宋_GBK" w:hAnsi="方正仿宋_GBK" w:eastAsia="方正仿宋_GBK" w:cs="方正仿宋_GBK"/>
          <w:b/>
          <w:color w:val="000000"/>
          <w:sz w:val="28"/>
        </w:rPr>
        <w:t>2、档案管理经费绩效目标表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1.档案盒、档案袋、档案夹、隔页纸。目录纸等档案保管用品及免费复印所需的大量纸张、墨粉等办公耗材费用</w:t>
            </w:r>
          </w:p>
          <w:p>
            <w:pPr>
              <w:pStyle w:val="12"/>
            </w:pPr>
            <w:r>
              <w:t>2.近四万份档案的维护以及档案室全年的工作运转</w:t>
            </w:r>
          </w:p>
          <w:p>
            <w:pPr>
              <w:pStyle w:val="12"/>
            </w:pPr>
            <w:r>
              <w:t>3.为流动人员提供高效、便捷、优质的查阅档案、解读政策等档案管理服务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为流动人员提供七大类22项基本公共服务</w:t>
            </w:r>
          </w:p>
        </w:tc>
        <w:tc>
          <w:tcPr>
            <w:tcW w:w="2551" w:type="dxa"/>
            <w:vAlign w:val="center"/>
          </w:tcPr>
          <w:p>
            <w:pPr>
              <w:pStyle w:val="12"/>
            </w:pPr>
            <w:r>
              <w:t>≥40000人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有效投诉和不良事件</w:t>
            </w:r>
          </w:p>
        </w:tc>
        <w:tc>
          <w:tcPr>
            <w:tcW w:w="2835" w:type="dxa"/>
            <w:vAlign w:val="center"/>
          </w:tcPr>
          <w:p>
            <w:pPr>
              <w:pStyle w:val="12"/>
            </w:pPr>
            <w:r>
              <w:t>全年产生有效投诉和不良事件率</w:t>
            </w:r>
          </w:p>
        </w:tc>
        <w:tc>
          <w:tcPr>
            <w:tcW w:w="2551" w:type="dxa"/>
            <w:vAlign w:val="center"/>
          </w:tcPr>
          <w:p>
            <w:pPr>
              <w:pStyle w:val="12"/>
            </w:pPr>
            <w:r>
              <w:t>未产生</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为流动人员查阅档案、解读政策相关服务是否正确及时</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办公耗材成本</w:t>
            </w:r>
          </w:p>
        </w:tc>
        <w:tc>
          <w:tcPr>
            <w:tcW w:w="2835" w:type="dxa"/>
            <w:vAlign w:val="center"/>
          </w:tcPr>
          <w:p>
            <w:pPr>
              <w:pStyle w:val="12"/>
            </w:pPr>
            <w:r>
              <w:t>纸质档案管理办公耗材成本</w:t>
            </w:r>
          </w:p>
        </w:tc>
        <w:tc>
          <w:tcPr>
            <w:tcW w:w="2551" w:type="dxa"/>
            <w:vAlign w:val="center"/>
          </w:tcPr>
          <w:p>
            <w:pPr>
              <w:pStyle w:val="12"/>
            </w:pPr>
            <w:r>
              <w:t>≤7万元</w:t>
            </w:r>
          </w:p>
        </w:tc>
        <w:tc>
          <w:tcPr>
            <w:tcW w:w="2268"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政策解读和管理服务</w:t>
            </w:r>
          </w:p>
        </w:tc>
        <w:tc>
          <w:tcPr>
            <w:tcW w:w="2835" w:type="dxa"/>
            <w:vAlign w:val="center"/>
          </w:tcPr>
          <w:p>
            <w:pPr>
              <w:pStyle w:val="12"/>
            </w:pPr>
            <w:r>
              <w:t>为流动人员提供高效便捷优质的人事档案管理服务</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≥90%</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3、扶贫专岗人员经费绩效目标表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1.及时发放扶贫专岗人员补贴800元/人/月</w:t>
            </w:r>
          </w:p>
          <w:p>
            <w:pPr>
              <w:pStyle w:val="12"/>
            </w:pPr>
            <w:r>
              <w:t>2.为扶贫专岗人员购买人身意外伤害保险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2835" w:type="dxa"/>
            <w:vAlign w:val="center"/>
          </w:tcPr>
          <w:p>
            <w:pPr>
              <w:pStyle w:val="12"/>
            </w:pPr>
            <w:r>
              <w:t>设置就业扶贫专岗人员的乡镇数量</w:t>
            </w:r>
          </w:p>
        </w:tc>
        <w:tc>
          <w:tcPr>
            <w:tcW w:w="2551" w:type="dxa"/>
            <w:vAlign w:val="center"/>
          </w:tcPr>
          <w:p>
            <w:pPr>
              <w:pStyle w:val="12"/>
            </w:pPr>
            <w:r>
              <w:t>≥19家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公益岗岗位补贴发放的准确率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2835" w:type="dxa"/>
            <w:vAlign w:val="center"/>
          </w:tcPr>
          <w:p>
            <w:pPr>
              <w:pStyle w:val="12"/>
            </w:pPr>
            <w:r>
              <w:t>公益岗岗位补贴发放的及时性</w:t>
            </w:r>
          </w:p>
        </w:tc>
        <w:tc>
          <w:tcPr>
            <w:tcW w:w="2551" w:type="dxa"/>
            <w:vAlign w:val="center"/>
          </w:tcPr>
          <w:p>
            <w:pPr>
              <w:pStyle w:val="12"/>
            </w:pPr>
            <w:r>
              <w:t>及时</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2835" w:type="dxa"/>
            <w:vAlign w:val="center"/>
          </w:tcPr>
          <w:p>
            <w:pPr>
              <w:pStyle w:val="12"/>
            </w:pPr>
            <w:r>
              <w:t>公益岗岗位每人每月补贴标准</w:t>
            </w:r>
          </w:p>
        </w:tc>
        <w:tc>
          <w:tcPr>
            <w:tcW w:w="2551" w:type="dxa"/>
            <w:vAlign w:val="center"/>
          </w:tcPr>
          <w:p>
            <w:pPr>
              <w:pStyle w:val="12"/>
            </w:pPr>
            <w:r>
              <w:t>≤800元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新增人数</w:t>
            </w:r>
          </w:p>
        </w:tc>
        <w:tc>
          <w:tcPr>
            <w:tcW w:w="2835" w:type="dxa"/>
            <w:vAlign w:val="center"/>
          </w:tcPr>
          <w:p>
            <w:pPr>
              <w:pStyle w:val="12"/>
            </w:pPr>
            <w:r>
              <w:t>扶贫专岗人员新增人数</w:t>
            </w:r>
          </w:p>
        </w:tc>
        <w:tc>
          <w:tcPr>
            <w:tcW w:w="2551" w:type="dxa"/>
            <w:vAlign w:val="center"/>
          </w:tcPr>
          <w:p>
            <w:pPr>
              <w:pStyle w:val="12"/>
            </w:pPr>
            <w:r>
              <w:t>≤10人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2835" w:type="dxa"/>
            <w:vAlign w:val="center"/>
          </w:tcPr>
          <w:p>
            <w:pPr>
              <w:pStyle w:val="12"/>
            </w:pPr>
            <w:r>
              <w:t>受益群体满意度</w:t>
            </w:r>
          </w:p>
        </w:tc>
        <w:tc>
          <w:tcPr>
            <w:tcW w:w="2551" w:type="dxa"/>
            <w:vAlign w:val="center"/>
          </w:tcPr>
          <w:p>
            <w:pPr>
              <w:pStyle w:val="12"/>
            </w:pPr>
            <w:r>
              <w:t>≥95%</w:t>
            </w:r>
          </w:p>
        </w:tc>
        <w:tc>
          <w:tcPr>
            <w:tcW w:w="2268" w:type="dxa"/>
            <w:vAlign w:val="center"/>
          </w:tcPr>
          <w:p>
            <w:pPr>
              <w:pStyle w:val="12"/>
            </w:pPr>
            <w:r>
              <w:t>民意反馈</w:t>
            </w:r>
          </w:p>
        </w:tc>
      </w:tr>
    </w:tbl>
    <w:p>
      <w:pPr>
        <w:sectPr>
          <w:pgSz w:w="16840" w:h="11900" w:orient="landscape"/>
          <w:pgMar w:top="1361" w:right="1020" w:bottom="1134" w:left="1020" w:header="720" w:footer="720" w:gutter="0"/>
          <w:cols w:space="720" w:num="1"/>
        </w:sectPr>
      </w:pPr>
    </w:p>
    <w:p>
      <w:pPr>
        <w:numPr>
          <w:ilvl w:val="0"/>
          <w:numId w:val="3"/>
        </w:num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政府采购预算</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我中心本年度无采购计划。</w:t>
      </w:r>
    </w:p>
    <w:p>
      <w:pPr>
        <w:spacing w:line="500" w:lineRule="exact"/>
        <w:ind w:firstLine="560"/>
        <w:rPr>
          <w:rFonts w:hint="eastAsia" w:eastAsia="方正仿宋_GBK"/>
          <w:color w:val="000000"/>
          <w:sz w:val="28"/>
          <w:lang w:eastAsia="zh-CN"/>
        </w:rPr>
      </w:pPr>
    </w:p>
    <w:p>
      <w:pPr>
        <w:numPr>
          <w:ilvl w:val="0"/>
          <w:numId w:val="3"/>
        </w:numPr>
        <w:spacing w:before="10" w:after="10"/>
        <w:ind w:left="0" w:leftChars="0" w:firstLine="640" w:firstLineChars="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国有资产</w:t>
      </w:r>
    </w:p>
    <w:p>
      <w:pPr>
        <w:keepNext w:val="0"/>
        <w:keepLines w:val="0"/>
        <w:pageBreakBefore w:val="0"/>
        <w:widowControl/>
        <w:numPr>
          <w:ilvl w:val="0"/>
          <w:numId w:val="0"/>
        </w:numPr>
        <w:kinsoku/>
        <w:wordWrap/>
        <w:overflowPunct/>
        <w:topLinePunct w:val="0"/>
        <w:autoSpaceDE/>
        <w:autoSpaceDN/>
        <w:bidi w:val="0"/>
        <w:adjustRightInd w:val="0"/>
        <w:snapToGrid w:val="0"/>
        <w:spacing w:before="10" w:after="10"/>
        <w:ind w:firstLine="560" w:firstLineChars="200"/>
        <w:textAlignment w:val="auto"/>
        <w:outlineLvl w:val="5"/>
        <w:rPr>
          <w:rFonts w:hint="eastAsia" w:eastAsia="方正仿宋_GBK"/>
          <w:color w:val="000000"/>
          <w:sz w:val="28"/>
          <w:lang w:val="en-US" w:eastAsia="zh-CN"/>
        </w:rPr>
      </w:pPr>
      <w:r>
        <w:rPr>
          <w:rFonts w:hint="eastAsia" w:eastAsia="方正仿宋_GBK"/>
          <w:color w:val="000000"/>
          <w:sz w:val="28"/>
          <w:lang w:eastAsia="zh-CN"/>
        </w:rPr>
        <w:t>截至</w:t>
      </w:r>
      <w:bookmarkStart w:id="0" w:name="_GoBack"/>
      <w:bookmarkEnd w:id="0"/>
      <w:r>
        <w:rPr>
          <w:rFonts w:hint="eastAsia" w:eastAsia="方正仿宋_GBK"/>
          <w:color w:val="000000"/>
          <w:sz w:val="28"/>
          <w:lang w:val="en-US" w:eastAsia="zh-CN"/>
        </w:rPr>
        <w:t>2022年年末，我中心国有资产原值1182.57万元，其中土地房屋及构建物998.52万元；通用设备158.53万元；专用设备0.39万元；家具用具及动植物25.13万元。我中心本年度无资产购置计划。</w:t>
      </w:r>
    </w:p>
    <w:p>
      <w:pPr>
        <w:keepNext w:val="0"/>
        <w:keepLines w:val="0"/>
        <w:pageBreakBefore w:val="0"/>
        <w:widowControl/>
        <w:numPr>
          <w:ilvl w:val="0"/>
          <w:numId w:val="0"/>
        </w:numPr>
        <w:kinsoku/>
        <w:wordWrap/>
        <w:overflowPunct/>
        <w:topLinePunct w:val="0"/>
        <w:autoSpaceDE/>
        <w:autoSpaceDN/>
        <w:bidi w:val="0"/>
        <w:adjustRightInd w:val="0"/>
        <w:snapToGrid w:val="0"/>
        <w:spacing w:before="10" w:after="10"/>
        <w:ind w:firstLine="560" w:firstLineChars="200"/>
        <w:textAlignment w:val="auto"/>
        <w:outlineLvl w:val="5"/>
        <w:rPr>
          <w:rFonts w:hint="default" w:eastAsia="方正仿宋_GBK"/>
          <w:color w:val="000000"/>
          <w:sz w:val="28"/>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 w:after="10"/>
        <w:ind w:firstLine="560" w:firstLineChars="200"/>
        <w:textAlignment w:val="auto"/>
        <w:outlineLvl w:val="5"/>
        <w:rPr>
          <w:rFonts w:hint="default" w:eastAsia="方正仿宋_GBK"/>
          <w:color w:val="000000"/>
          <w:sz w:val="28"/>
          <w:lang w:val="en-US" w:eastAsia="zh-CN"/>
        </w:rPr>
      </w:pPr>
    </w:p>
    <w:p>
      <w:pPr>
        <w:spacing w:before="10" w:after="10"/>
        <w:ind w:firstLine="640"/>
        <w:outlineLvl w:val="5"/>
      </w:pPr>
      <w:r>
        <w:rPr>
          <w:rFonts w:hint="eastAsia" w:ascii="黑体" w:hAnsi="黑体" w:eastAsia="黑体" w:cs="黑体"/>
          <w:color w:val="000000"/>
          <w:sz w:val="32"/>
          <w:lang w:eastAsia="zh-CN"/>
        </w:rPr>
        <w:t>八</w:t>
      </w:r>
      <w:r>
        <w:rPr>
          <w:rFonts w:ascii="黑体" w:hAnsi="黑体" w:eastAsia="黑体" w:cs="黑体"/>
          <w:color w:val="000000"/>
          <w:sz w:val="32"/>
        </w:rPr>
        <w:t>、名词解释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rPr>
          <w:rFonts w:eastAsia="方正仿宋_GBK"/>
          <w:color w:val="000000"/>
          <w:sz w:val="28"/>
        </w:rPr>
      </w:pPr>
    </w:p>
    <w:p>
      <w:pPr>
        <w:spacing w:before="10" w:after="10"/>
        <w:ind w:firstLine="640"/>
        <w:outlineLvl w:val="5"/>
      </w:pPr>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docGrid w:linePitch="299" w:charSpace="0"/>
        </w:sectPr>
      </w:pPr>
      <w:r>
        <w:rPr>
          <w:rFonts w:eastAsia="方正仿宋_GBK"/>
          <w:color w:val="000000"/>
          <w:sz w:val="28"/>
        </w:rPr>
        <w:t>我</w:t>
      </w:r>
      <w:r>
        <w:rPr>
          <w:rFonts w:hint="eastAsia" w:eastAsia="方正仿宋_GBK"/>
          <w:color w:val="000000"/>
          <w:sz w:val="28"/>
          <w:lang w:eastAsia="zh-CN"/>
        </w:rPr>
        <w:t>中心</w:t>
      </w:r>
      <w:r>
        <w:rPr>
          <w:rFonts w:eastAsia="方正仿宋_GBK"/>
          <w:color w:val="000000"/>
          <w:sz w:val="28"/>
        </w:rPr>
        <w:t>无其他需要说明的事项</w:t>
      </w:r>
      <w:r>
        <w:rPr>
          <w:rFonts w:hint="eastAsia" w:eastAsia="方正仿宋_GBK"/>
          <w:color w:val="000000"/>
          <w:sz w:val="28"/>
          <w:lang w:eastAsia="zh-CN"/>
        </w:rPr>
        <w:t>。</w:t>
      </w: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EF9ED"/>
    <w:multiLevelType w:val="singleLevel"/>
    <w:tmpl w:val="CC1EF9ED"/>
    <w:lvl w:ilvl="0" w:tentative="0">
      <w:start w:val="6"/>
      <w:numFmt w:val="chineseCounting"/>
      <w:suff w:val="nothing"/>
      <w:lvlText w:val="%1、"/>
      <w:lvlJc w:val="left"/>
      <w:rPr>
        <w:rFonts w:hint="eastAsia"/>
      </w:rPr>
    </w:lvl>
  </w:abstractNum>
  <w:abstractNum w:abstractNumId="1">
    <w:nsid w:val="0D87A8B5"/>
    <w:multiLevelType w:val="singleLevel"/>
    <w:tmpl w:val="0D87A8B5"/>
    <w:lvl w:ilvl="0" w:tentative="0">
      <w:start w:val="2"/>
      <w:numFmt w:val="chineseCounting"/>
      <w:suff w:val="nothing"/>
      <w:lvlText w:val="（%1）"/>
      <w:lvlJc w:val="left"/>
      <w:rPr>
        <w:rFonts w:hint="eastAsia"/>
      </w:rPr>
    </w:lvl>
  </w:abstractNum>
  <w:abstractNum w:abstractNumId="2">
    <w:nsid w:val="33FD4BBF"/>
    <w:multiLevelType w:val="singleLevel"/>
    <w:tmpl w:val="33FD4BB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2NlMDRlN2U5N2IzM2RhYmMwNzRjZTc5ZTY5YWVmZTcifQ=="/>
  </w:docVars>
  <w:rsids>
    <w:rsidRoot w:val="00D31D50"/>
    <w:rsid w:val="00323B43"/>
    <w:rsid w:val="003D37D8"/>
    <w:rsid w:val="00426133"/>
    <w:rsid w:val="004358AB"/>
    <w:rsid w:val="008B7726"/>
    <w:rsid w:val="00C131D5"/>
    <w:rsid w:val="00D31D50"/>
    <w:rsid w:val="00DD2F0E"/>
    <w:rsid w:val="00E03580"/>
    <w:rsid w:val="039C068D"/>
    <w:rsid w:val="05F45A09"/>
    <w:rsid w:val="06EA1B0A"/>
    <w:rsid w:val="0AD73F7E"/>
    <w:rsid w:val="0E903A8B"/>
    <w:rsid w:val="11C832D0"/>
    <w:rsid w:val="16BD22E9"/>
    <w:rsid w:val="1CD2164E"/>
    <w:rsid w:val="2EC5543D"/>
    <w:rsid w:val="2F87354F"/>
    <w:rsid w:val="36790725"/>
    <w:rsid w:val="49F93D4A"/>
    <w:rsid w:val="5DC34C1A"/>
    <w:rsid w:val="5F91655E"/>
    <w:rsid w:val="6ACA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单元格样式22"/>
    <w:basedOn w:val="1"/>
    <w:qFormat/>
    <w:uiPriority w:val="0"/>
    <w:pPr>
      <w:adjustRightInd/>
      <w:snapToGrid/>
      <w:spacing w:after="0"/>
      <w:jc w:val="right"/>
    </w:pPr>
    <w:rPr>
      <w:rFonts w:ascii="方正小标宋_GBK" w:hAnsi="方正小标宋_GBK" w:eastAsia="方正小标宋_GBK" w:cs="方正小标宋_GBK"/>
      <w:sz w:val="24"/>
      <w:szCs w:val="24"/>
      <w:lang w:eastAsia="uk-UA"/>
    </w:rPr>
  </w:style>
  <w:style w:type="paragraph" w:customStyle="1" w:styleId="9">
    <w:name w:val="单元格样式20"/>
    <w:basedOn w:val="1"/>
    <w:qFormat/>
    <w:uiPriority w:val="0"/>
    <w:pPr>
      <w:adjustRightInd/>
      <w:snapToGrid/>
      <w:spacing w:after="0"/>
    </w:pPr>
    <w:rPr>
      <w:rFonts w:ascii="方正小标宋_GBK" w:hAnsi="方正小标宋_GBK" w:eastAsia="方正小标宋_GBK" w:cs="方正小标宋_GBK"/>
      <w:sz w:val="24"/>
      <w:szCs w:val="24"/>
      <w:lang w:eastAsia="uk-UA"/>
    </w:rPr>
  </w:style>
  <w:style w:type="paragraph" w:customStyle="1" w:styleId="10">
    <w:name w:val="单元格样式1"/>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1">
    <w:name w:val="单元格样式4"/>
    <w:basedOn w:val="1"/>
    <w:qFormat/>
    <w:uiPriority w:val="0"/>
    <w:pPr>
      <w:adjustRightInd/>
      <w:snapToGrid/>
      <w:spacing w:after="0"/>
      <w:jc w:val="right"/>
    </w:pPr>
    <w:rPr>
      <w:rFonts w:ascii="方正书宋_GBK" w:hAnsi="方正书宋_GBK" w:eastAsia="方正书宋_GBK" w:cs="方正书宋_GBK"/>
      <w:sz w:val="21"/>
      <w:szCs w:val="24"/>
      <w:lang w:eastAsia="uk-UA"/>
    </w:rPr>
  </w:style>
  <w:style w:type="paragraph" w:customStyle="1" w:styleId="12">
    <w:name w:val="单元格样式2"/>
    <w:basedOn w:val="1"/>
    <w:qFormat/>
    <w:uiPriority w:val="0"/>
    <w:pPr>
      <w:adjustRightInd/>
      <w:snapToGrid/>
      <w:spacing w:after="0"/>
    </w:pPr>
    <w:rPr>
      <w:rFonts w:ascii="方正书宋_GBK" w:hAnsi="方正书宋_GBK" w:eastAsia="方正书宋_GBK" w:cs="方正书宋_GBK"/>
      <w:sz w:val="21"/>
      <w:szCs w:val="24"/>
      <w:lang w:eastAsia="uk-UA"/>
    </w:rPr>
  </w:style>
  <w:style w:type="paragraph" w:customStyle="1" w:styleId="13">
    <w:name w:val="单元格样式3"/>
    <w:basedOn w:val="1"/>
    <w:qFormat/>
    <w:uiPriority w:val="0"/>
    <w:pPr>
      <w:adjustRightInd/>
      <w:snapToGrid/>
      <w:spacing w:after="0"/>
      <w:jc w:val="center"/>
    </w:pPr>
    <w:rPr>
      <w:rFonts w:ascii="方正书宋_GBK" w:hAnsi="方正书宋_GBK" w:eastAsia="方正书宋_GBK" w:cs="方正书宋_GBK"/>
      <w:sz w:val="21"/>
      <w:szCs w:val="24"/>
      <w:lang w:eastAsia="uk-UA"/>
    </w:rPr>
  </w:style>
  <w:style w:type="paragraph" w:customStyle="1" w:styleId="14">
    <w:name w:val="单元格样式23"/>
    <w:basedOn w:val="1"/>
    <w:qFormat/>
    <w:uiPriority w:val="0"/>
    <w:pPr>
      <w:adjustRightInd/>
      <w:snapToGrid/>
      <w:spacing w:after="0"/>
      <w:jc w:val="right"/>
    </w:pPr>
    <w:rPr>
      <w:rFonts w:ascii="方正书宋_GBK" w:hAnsi="方正书宋_GBK" w:eastAsia="方正书宋_GBK" w:cs="方正书宋_GBK"/>
      <w:sz w:val="24"/>
      <w:szCs w:val="24"/>
      <w:lang w:eastAsia="uk-UA"/>
    </w:rPr>
  </w:style>
  <w:style w:type="paragraph" w:customStyle="1" w:styleId="15">
    <w:name w:val="插入文本样式-插入单位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16">
    <w:name w:val="插入文本样式-插入预算公开单位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17">
    <w:name w:val="插入文本样式-插入预算公开单位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18">
    <w:name w:val="插入文本样式-插入预算公开单位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19">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2894</Words>
  <Characters>3055</Characters>
  <Lines>19</Lines>
  <Paragraphs>5</Paragraphs>
  <TotalTime>25</TotalTime>
  <ScaleCrop>false</ScaleCrop>
  <LinksUpToDate>false</LinksUpToDate>
  <CharactersWithSpaces>3059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天吻娇颜</cp:lastModifiedBy>
  <dcterms:modified xsi:type="dcterms:W3CDTF">2024-03-19T01:20:00Z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A0C45912A1B64D1CBE8142DE8B4C7F74</vt:lpwstr>
  </property>
</Properties>
</file>