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jc w:val="center"/>
        <w:rPr>
          <w:rFonts w:ascii="方正楷体_GBK" w:eastAsia="宋体" w:hAnsi="方正楷体_GBK" w:hint="eastAsia"/>
          <w:b/>
          <w:bCs/>
          <w:sz w:val="44"/>
          <w:szCs w:val="44"/>
          <w:lang w:eastAsia="zh-CN"/>
        </w:rPr>
      </w:pPr>
      <w:r>
        <w:rPr>
          <w:rFonts w:ascii="方正楷体_GBK" w:hAnsi="方正楷体_GBK" w:hint="eastAsia"/>
          <w:b/>
          <w:bCs/>
          <w:sz w:val="44"/>
          <w:szCs w:val="44"/>
          <w:lang w:eastAsia="zh-CN"/>
        </w:rPr>
        <w:t>区委部门</w:t>
      </w:r>
    </w:p>
    <w:p>
      <w:pPr>
        <w:widowControl/>
        <w:jc w:val="center"/>
        <w:rPr>
          <w:rFonts w:ascii="方正楷体_GBK" w:hAnsi="方正楷体_GBK"/>
          <w:b/>
          <w:bCs/>
          <w:sz w:val="44"/>
          <w:szCs w:val="44"/>
        </w:rPr>
      </w:pPr>
      <w:r>
        <w:rPr>
          <w:rFonts w:ascii="方正楷体_GBK" w:hAnsi="方正楷体_GBK" w:hint="eastAsia"/>
          <w:b/>
          <w:bCs/>
          <w:sz w:val="44"/>
          <w:szCs w:val="44"/>
        </w:rPr>
        <w:t>20</w:t>
      </w:r>
      <w:r>
        <w:rPr>
          <w:rFonts w:ascii="方正楷体_GBK" w:hAnsi="方正楷体_GBK" w:hint="eastAsia"/>
          <w:b/>
          <w:bCs/>
          <w:sz w:val="44"/>
          <w:szCs w:val="44"/>
          <w:lang w:val="en-US" w:eastAsia="zh-CN"/>
        </w:rPr>
        <w:t>22</w:t>
      </w:r>
      <w:r>
        <w:rPr>
          <w:rFonts w:ascii="方正楷体_GBK" w:hAnsi="方正楷体_GBK" w:hint="eastAsia"/>
          <w:b/>
          <w:bCs/>
          <w:sz w:val="44"/>
          <w:szCs w:val="44"/>
        </w:rPr>
        <w:t>年预算公开情况说明</w:t>
      </w:r>
    </w:p>
    <w:p>
      <w:pPr>
        <w:widowControl/>
        <w:jc w:val="center"/>
        <w:rPr>
          <w:rFonts w:ascii="方正楷体_GBK" w:hAnsi="方正楷体_GBK"/>
          <w:b/>
          <w:bCs/>
          <w:sz w:val="44"/>
          <w:szCs w:val="44"/>
        </w:rPr>
      </w:pPr>
    </w:p>
    <w:p>
      <w:pPr>
        <w:keepNext w:val="0"/>
        <w:keepLines w:val="0"/>
        <w:pageBreakBefore w:val="0"/>
        <w:widowControl w:val="0"/>
        <w:kinsoku/>
        <w:wordWrap/>
        <w:overflowPunct/>
        <w:topLinePunct w:val="0"/>
        <w:autoSpaceDE/>
        <w:autoSpaceDN/>
        <w:bidi w:val="0"/>
        <w:adjustRightInd/>
        <w:spacing w:line="560" w:lineRule="exact"/>
        <w:ind w:firstLineChars="200" w:firstLine="640"/>
        <w:jc w:val="left"/>
        <w:textAlignment w:val="auto"/>
        <w:rPr>
          <w:rFonts w:ascii="宋体" w:eastAsia="方正仿宋简体" w:cs="方正仿宋简体" w:hAnsi="宋体" w:hint="eastAsia"/>
          <w:b w:val="0"/>
          <w:bCs/>
          <w:sz w:val="32"/>
          <w:szCs w:val="32"/>
        </w:rPr>
      </w:pPr>
      <w:r>
        <w:rPr>
          <w:rFonts w:ascii="宋体" w:eastAsia="方正仿宋简体" w:cs="方正仿宋简体" w:hAnsi="宋体" w:hint="eastAsia"/>
          <w:sz w:val="32"/>
          <w:szCs w:val="32"/>
        </w:rPr>
        <w:t>按照《</w:t>
      </w:r>
      <w:r>
        <w:rPr>
          <w:rFonts w:ascii="宋体" w:eastAsia="方正仿宋简体" w:cs="方正仿宋简体" w:hAnsi="宋体"/>
          <w:sz w:val="32"/>
          <w:szCs w:val="32"/>
        </w:rPr>
        <w:t>中华人民共和国</w:t>
      </w:r>
      <w:r>
        <w:rPr>
          <w:rFonts w:ascii="宋体" w:eastAsia="方正仿宋简体" w:cs="方正仿宋简体" w:hAnsi="宋体" w:hint="eastAsia"/>
          <w:sz w:val="32"/>
          <w:szCs w:val="32"/>
        </w:rPr>
        <w:t>预算法》、《地方预决算公开操作规程》和《河北省省级预算公开办法》规定，现将区委部门202</w:t>
      </w:r>
      <w:r>
        <w:rPr>
          <w:rFonts w:ascii="宋体" w:eastAsia="方正仿宋简体" w:cs="方正仿宋简体" w:hAnsi="宋体" w:hint="eastAsia"/>
          <w:sz w:val="32"/>
          <w:szCs w:val="32"/>
          <w:lang w:val="en-US" w:eastAsia="zh-CN"/>
        </w:rPr>
        <w:t>2</w:t>
      </w:r>
      <w:r>
        <w:rPr>
          <w:rFonts w:ascii="宋体" w:eastAsia="方正仿宋简体" w:cs="方正仿宋简体" w:hAnsi="宋体" w:hint="eastAsia"/>
          <w:sz w:val="32"/>
          <w:szCs w:val="32"/>
        </w:rPr>
        <w:t>年部门预算公开如下：</w:t>
      </w:r>
    </w:p>
    <w:p>
      <w:pPr>
        <w:keepNext w:val="0"/>
        <w:keepLines w:val="0"/>
        <w:pageBreakBefore w:val="0"/>
        <w:widowControl/>
        <w:kinsoku/>
        <w:wordWrap/>
        <w:overflowPunct/>
        <w:topLinePunct w:val="0"/>
        <w:autoSpaceDE/>
        <w:autoSpaceDN/>
        <w:bidi w:val="0"/>
        <w:adjustRightInd/>
        <w:spacing w:line="560" w:lineRule="exact"/>
        <w:ind w:firstLineChars="200" w:firstLine="640"/>
        <w:textAlignment w:val="auto"/>
        <w:rPr>
          <w:rFonts w:ascii="宋体" w:eastAsia="仿宋" w:hAnsi="宋体"/>
          <w:b/>
          <w:sz w:val="32"/>
          <w:szCs w:val="32"/>
        </w:rPr>
      </w:pPr>
      <w:r>
        <w:rPr>
          <w:rFonts w:ascii="宋体" w:eastAsia="黑体" w:cs="黑体" w:hAnsi="宋体" w:hint="eastAsia"/>
          <w:b w:val="0"/>
          <w:bCs/>
          <w:sz w:val="32"/>
          <w:szCs w:val="32"/>
        </w:rPr>
        <w:t>一、部门职责、机构设置</w:t>
      </w:r>
      <w:r>
        <w:rPr>
          <w:rFonts w:ascii="宋体" w:eastAsia="黑体" w:cs="黑体" w:hAnsi="宋体" w:hint="eastAsia"/>
          <w:b w:val="0"/>
          <w:bCs/>
          <w:sz w:val="32"/>
          <w:szCs w:val="32"/>
          <w:lang w:eastAsia="zh-CN"/>
        </w:rPr>
        <w:t>等基本</w:t>
      </w:r>
      <w:r>
        <w:rPr>
          <w:rFonts w:ascii="宋体" w:eastAsia="黑体" w:cs="黑体" w:hAnsi="宋体" w:hint="eastAsia"/>
          <w:b w:val="0"/>
          <w:bCs/>
          <w:sz w:val="32"/>
          <w:szCs w:val="32"/>
        </w:rPr>
        <w:t>情况</w:t>
      </w:r>
    </w:p>
    <w:p>
      <w:pPr>
        <w:keepNext w:val="0"/>
        <w:keepLines w:val="0"/>
        <w:pageBreakBefore w:val="0"/>
        <w:widowControl/>
        <w:kinsoku/>
        <w:wordWrap/>
        <w:overflowPunct/>
        <w:topLinePunct w:val="0"/>
        <w:autoSpaceDE/>
        <w:autoSpaceDN/>
        <w:bidi w:val="0"/>
        <w:adjustRightInd/>
        <w:snapToGrid w:val="0"/>
        <w:spacing w:line="560" w:lineRule="exact"/>
        <w:ind w:firstLineChars="200" w:firstLine="640"/>
        <w:textAlignment w:val="auto"/>
        <w:rPr>
          <w:rFonts w:ascii="方正仿宋简体" w:eastAsia="方正仿宋简体" w:cs="方正仿宋简体" w:hint="eastAsia"/>
          <w:sz w:val="32"/>
          <w:szCs w:val="32"/>
        </w:rPr>
      </w:pPr>
      <w:r>
        <w:rPr>
          <w:rFonts w:ascii="黑体" w:eastAsia="黑体" w:cs="黑体" w:hint="eastAsia"/>
          <w:sz w:val="32"/>
          <w:szCs w:val="32"/>
          <w:lang w:eastAsia="zh-CN"/>
        </w:rPr>
        <w:t>部门</w:t>
      </w:r>
      <w:r>
        <w:rPr>
          <w:rFonts w:ascii="黑体" w:eastAsia="黑体" w:cs="黑体" w:hint="eastAsia"/>
          <w:sz w:val="32"/>
          <w:szCs w:val="32"/>
        </w:rPr>
        <w:t>职责</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Chars="200" w:firstLine="640"/>
        <w:jc w:val="left"/>
        <w:textAlignment w:val="auto"/>
        <w:rPr>
          <w:rFonts w:ascii="方正仿宋简体" w:eastAsia="方正仿宋简体" w:cs="方正仿宋简体" w:hint="eastAsia"/>
          <w:sz w:val="32"/>
          <w:szCs w:val="32"/>
        </w:rPr>
      </w:pPr>
      <w:r>
        <w:rPr>
          <w:rFonts w:ascii="方正仿宋简体" w:eastAsia="方正仿宋简体" w:cs="方正仿宋简体" w:hint="eastAsia"/>
          <w:sz w:val="32"/>
          <w:szCs w:val="32"/>
        </w:rPr>
        <w:t>推动党中央和省委、市委、区委决策部署的贯彻落实，按照区委要求统筹协调有关方面开展工作，承担区委运行保障具体事务；区委日常文</w:t>
      </w:r>
      <w:bookmarkStart w:id="0" w:name="_GoBack"/>
      <w:bookmarkEnd w:id="0"/>
      <w:r>
        <w:rPr>
          <w:rFonts w:ascii="方正仿宋简体" w:eastAsia="方正仿宋简体" w:cs="方正仿宋简体" w:hint="eastAsia"/>
          <w:sz w:val="32"/>
          <w:szCs w:val="32"/>
        </w:rPr>
        <w:t>书处理，区委文件和区委办公室文件的审核工作，贯彻落实党内法规和规范性文件等工作，负责统筹协调和督促指导全区党务公开工作；区委全委会、区委常委会和区委其他重要会议的会务工作，区委领导参加重大活动和日常工作活动的组织安排；区委和区委办公室文件、区委主要领导日常文稿和有关区领导讲话稿的起草、修改等工作；围绕党中央和省委、市委、区委总体工作部署开展调查研究，收集和处理信息、反映动态，组织编写信息刊物，全区党委信息系统的协调和指导；组织贯彻落实国家和省、市有关公共机构节能工作的方针、政策和工作部署，推进、指导、协调、监督全区公共机构节能工作；完成上级和区委交办的督查任务，协调有关部门抓好区委重大决策的落实；围绕区委重点工作开展调研，为区委决策提供参谋意见；区委改革的日常工作，综合协调区委交办的改革方面的相关工作；区委全面从严治党主体责任的日常工作，综合协调区委交办的全面从严治党方面的相关工作；完成区委交办的其他任务。</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Chars="200" w:firstLine="640"/>
        <w:jc w:val="left"/>
        <w:textAlignment w:val="auto"/>
        <w:rPr>
          <w:rFonts w:ascii="仿宋" w:eastAsia="方正仿宋简体" w:hAnsi="仿宋"/>
          <w:sz w:val="32"/>
          <w:szCs w:val="32"/>
          <w:lang w:val="en-US" w:eastAsia="zh-CN"/>
        </w:rPr>
      </w:pPr>
      <w:r>
        <w:rPr>
          <w:rFonts w:ascii="黑体" w:eastAsia="黑体" w:cs="黑体" w:hint="eastAsia"/>
          <w:sz w:val="32"/>
          <w:szCs w:val="32"/>
          <w:lang w:eastAsia="zh-CN"/>
        </w:rPr>
        <w:t>机构设置</w:t>
      </w:r>
      <w:r>
        <w:rPr>
          <w:rFonts w:ascii="方正仿宋简体" w:eastAsia="方正仿宋简体" w:cs="方正仿宋简体" w:hint="eastAsia"/>
          <w:sz w:val="32"/>
          <w:szCs w:val="32"/>
          <w:lang w:val="en-US" w:eastAsia="zh-CN"/>
        </w:rPr>
        <w:t xml:space="preserve">  </w:t>
      </w:r>
    </w:p>
    <w:p>
      <w:pPr>
        <w:widowControl/>
        <w:spacing w:line="540" w:lineRule="exact"/>
        <w:ind w:firstLineChars="200" w:firstLine="640"/>
        <w:jc w:val="left"/>
        <w:rPr>
          <w:rFonts w:ascii="仿宋" w:eastAsia="仿宋"/>
          <w:sz w:val="32"/>
          <w:szCs w:val="32"/>
        </w:rPr>
      </w:pPr>
      <w:r>
        <w:rPr>
          <w:rFonts w:ascii="仿宋" w:eastAsia="仿宋"/>
          <w:sz w:val="32"/>
          <w:szCs w:val="32"/>
        </w:rPr>
        <w:t>根据区编办最近核定的三定方案要求，</w:t>
      </w:r>
      <w:r>
        <w:rPr>
          <w:rFonts w:ascii="仿宋" w:eastAsia="仿宋" w:hint="eastAsia"/>
          <w:sz w:val="32"/>
          <w:szCs w:val="32"/>
        </w:rPr>
        <w:t>中共唐山市丰润区委办公室</w:t>
      </w:r>
      <w:r>
        <w:rPr>
          <w:rFonts w:ascii="仿宋" w:eastAsia="仿宋"/>
          <w:sz w:val="32"/>
          <w:szCs w:val="32"/>
        </w:rPr>
        <w:t>为行政编制单位，内设</w:t>
      </w:r>
      <w:r>
        <w:rPr>
          <w:rFonts w:ascii="仿宋" w:eastAsia="仿宋" w:hint="eastAsia"/>
          <w:sz w:val="32"/>
          <w:szCs w:val="32"/>
        </w:rPr>
        <w:t>1</w:t>
      </w:r>
      <w:r>
        <w:rPr>
          <w:rFonts w:ascii="仿宋" w:eastAsia="仿宋" w:hint="eastAsia"/>
          <w:sz w:val="32"/>
          <w:szCs w:val="32"/>
          <w:lang w:val="en-US" w:eastAsia="zh-CN"/>
        </w:rPr>
        <w:t>5</w:t>
      </w:r>
      <w:r>
        <w:rPr>
          <w:rFonts w:ascii="仿宋" w:eastAsia="仿宋"/>
          <w:sz w:val="32"/>
          <w:szCs w:val="32"/>
        </w:rPr>
        <w:t>个行政职能科室，</w:t>
      </w:r>
      <w:r>
        <w:rPr>
          <w:rFonts w:ascii="仿宋" w:eastAsia="仿宋" w:hint="eastAsia"/>
          <w:sz w:val="32"/>
          <w:szCs w:val="32"/>
        </w:rPr>
        <w:t>秘书一科、秘书二科、综合一科、综合二科、财务</w:t>
      </w:r>
      <w:r>
        <w:rPr>
          <w:rFonts w:ascii="仿宋" w:eastAsia="仿宋" w:hint="eastAsia"/>
          <w:sz w:val="32"/>
          <w:szCs w:val="32"/>
          <w:lang w:eastAsia="zh-CN"/>
        </w:rPr>
        <w:t>人事</w:t>
      </w:r>
      <w:r>
        <w:rPr>
          <w:rFonts w:ascii="仿宋" w:eastAsia="仿宋" w:hint="eastAsia"/>
          <w:sz w:val="32"/>
          <w:szCs w:val="32"/>
        </w:rPr>
        <w:t>科、</w:t>
      </w:r>
      <w:r>
        <w:rPr>
          <w:rFonts w:ascii="仿宋" w:eastAsia="仿宋" w:hint="eastAsia"/>
          <w:sz w:val="32"/>
          <w:szCs w:val="32"/>
          <w:lang w:eastAsia="zh-CN"/>
        </w:rPr>
        <w:t>信息科、区委值班室、区委</w:t>
      </w:r>
      <w:r>
        <w:rPr>
          <w:rFonts w:ascii="仿宋" w:eastAsia="仿宋" w:hint="eastAsia"/>
          <w:sz w:val="32"/>
          <w:szCs w:val="32"/>
        </w:rPr>
        <w:t>法规科、</w:t>
      </w:r>
      <w:r>
        <w:rPr>
          <w:rFonts w:ascii="仿宋" w:eastAsia="仿宋" w:hint="eastAsia"/>
          <w:sz w:val="32"/>
          <w:szCs w:val="32"/>
          <w:lang w:eastAsia="zh-CN"/>
        </w:rPr>
        <w:t>督查室一科</w:t>
      </w:r>
      <w:r>
        <w:rPr>
          <w:rFonts w:ascii="仿宋" w:eastAsia="仿宋" w:hint="eastAsia"/>
          <w:sz w:val="32"/>
          <w:szCs w:val="32"/>
        </w:rPr>
        <w:t>、</w:t>
      </w:r>
      <w:r>
        <w:rPr>
          <w:rFonts w:ascii="仿宋" w:eastAsia="仿宋" w:hint="eastAsia"/>
          <w:sz w:val="32"/>
          <w:szCs w:val="32"/>
          <w:lang w:eastAsia="zh-CN"/>
        </w:rPr>
        <w:t>督查室二科、督查室三科、研究室一科、研究室二科、区委主体办、区委改革办秘书科</w:t>
      </w:r>
      <w:r>
        <w:rPr>
          <w:rFonts w:ascii="仿宋" w:eastAsia="仿宋" w:hint="eastAsia"/>
          <w:sz w:val="32"/>
          <w:szCs w:val="32"/>
        </w:rPr>
        <w:t>。</w:t>
      </w:r>
      <w:r>
        <w:rPr>
          <w:rFonts w:ascii="仿宋" w:eastAsia="仿宋"/>
          <w:sz w:val="32"/>
          <w:szCs w:val="32"/>
        </w:rPr>
        <w:t>人员编制数</w:t>
      </w:r>
      <w:r>
        <w:rPr>
          <w:rFonts w:ascii="仿宋" w:eastAsia="仿宋" w:hint="eastAsia"/>
          <w:sz w:val="32"/>
          <w:szCs w:val="32"/>
        </w:rPr>
        <w:t>59</w:t>
      </w:r>
      <w:r>
        <w:rPr>
          <w:rFonts w:ascii="仿宋" w:eastAsia="仿宋"/>
          <w:sz w:val="32"/>
          <w:szCs w:val="32"/>
        </w:rPr>
        <w:t>个，实际在编</w:t>
      </w:r>
      <w:r>
        <w:rPr>
          <w:rFonts w:ascii="仿宋" w:eastAsia="仿宋" w:hint="eastAsia"/>
          <w:sz w:val="32"/>
          <w:szCs w:val="32"/>
          <w:lang w:val="en-US" w:eastAsia="zh-CN"/>
        </w:rPr>
        <w:t>53</w:t>
      </w:r>
      <w:r>
        <w:rPr>
          <w:rFonts w:ascii="仿宋" w:eastAsia="仿宋"/>
          <w:sz w:val="32"/>
          <w:szCs w:val="32"/>
        </w:rPr>
        <w:t>人。</w:t>
      </w:r>
    </w:p>
    <w:p>
      <w:pPr>
        <w:widowControl/>
        <w:spacing w:line="540" w:lineRule="exact"/>
        <w:ind w:firstLineChars="200" w:firstLine="640"/>
        <w:jc w:val="center"/>
        <w:rPr>
          <w:rFonts w:ascii="仿宋" w:eastAsia="仿宋" w:hint="eastAsia"/>
          <w:b/>
          <w:bCs/>
          <w:sz w:val="32"/>
          <w:szCs w:val="32"/>
          <w:lang w:eastAsia="zh-CN"/>
        </w:rPr>
      </w:pPr>
    </w:p>
    <w:p>
      <w:pPr>
        <w:widowControl/>
        <w:spacing w:line="540" w:lineRule="exact"/>
        <w:ind w:firstLineChars="200" w:firstLine="640"/>
        <w:jc w:val="center"/>
        <w:rPr>
          <w:rFonts w:ascii="仿宋" w:eastAsia="仿宋"/>
          <w:sz w:val="32"/>
          <w:szCs w:val="32"/>
        </w:rPr>
      </w:pPr>
      <w:r>
        <w:rPr>
          <w:rFonts w:ascii="仿宋" w:eastAsia="仿宋" w:hint="eastAsia"/>
          <w:b/>
          <w:bCs/>
          <w:sz w:val="32"/>
          <w:szCs w:val="32"/>
          <w:lang w:eastAsia="zh-CN"/>
        </w:rPr>
        <w:t>区委办机构设置情况</w:t>
      </w:r>
    </w:p>
    <w:p>
      <w:pPr>
        <w:widowControl/>
        <w:spacing w:line="540" w:lineRule="exact"/>
        <w:ind w:firstLineChars="200" w:firstLine="640"/>
        <w:jc w:val="center"/>
        <w:rPr>
          <w:rFonts w:ascii="仿宋" w:eastAsia="仿宋"/>
          <w:sz w:val="32"/>
          <w:szCs w:val="32"/>
        </w:rPr>
      </w:pPr>
    </w:p>
    <w:p>
      <w:pPr>
        <w:widowControl/>
        <w:spacing w:line="540" w:lineRule="exact"/>
        <w:rPr>
          <w:rFonts w:ascii="仿宋" w:eastAsia="仿宋"/>
          <w:sz w:val="32"/>
          <w:szCs w:val="32"/>
        </w:rPr>
      </w:pPr>
    </w:p>
    <w:tbl>
      <w:tblPr>
        <w:tblpPr w:leftFromText="180" w:rightFromText="180" w:vertAnchor="text" w:horzAnchor="page" w:tblpX="1183" w:tblpY="-959"/>
        <w:tblOverlap w:val="neve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110"/>
        <w:gridCol w:w="1519"/>
        <w:gridCol w:w="1539"/>
        <w:gridCol w:w="2596"/>
      </w:tblGrid>
      <w:tr>
        <w:trPr>
          <w:trHeight w:val="1118"/>
        </w:trPr>
        <w:tc>
          <w:tcPr>
            <w:tcW w:w="4110" w:type="dxa"/>
            <w:vAlign w:val="center"/>
          </w:tcPr>
          <w:p>
            <w:pPr>
              <w:widowControl/>
              <w:spacing w:line="540" w:lineRule="exact"/>
              <w:jc w:val="center"/>
              <w:rPr>
                <w:rFonts w:ascii="仿宋" w:eastAsia="仿宋" w:hint="eastAsia"/>
                <w:sz w:val="32"/>
                <w:szCs w:val="32"/>
                <w:vertAlign w:val="baseline"/>
                <w:lang w:eastAsia="zh-CN"/>
              </w:rPr>
            </w:pPr>
            <w:r>
              <w:rPr>
                <w:rFonts w:ascii="仿宋" w:eastAsia="仿宋" w:hint="eastAsia"/>
                <w:sz w:val="32"/>
                <w:szCs w:val="32"/>
                <w:vertAlign w:val="baseline"/>
                <w:lang w:eastAsia="zh-CN"/>
              </w:rPr>
              <w:t>单位名称</w:t>
            </w:r>
          </w:p>
        </w:tc>
        <w:tc>
          <w:tcPr>
            <w:tcW w:w="1519" w:type="dxa"/>
            <w:vAlign w:val="center"/>
          </w:tcPr>
          <w:p>
            <w:pPr>
              <w:widowControl/>
              <w:spacing w:line="540" w:lineRule="exact"/>
              <w:jc w:val="center"/>
              <w:rPr>
                <w:rFonts w:ascii="仿宋" w:eastAsia="仿宋" w:hint="eastAsia"/>
                <w:sz w:val="32"/>
                <w:szCs w:val="32"/>
                <w:vertAlign w:val="baseline"/>
                <w:lang w:eastAsia="zh-CN"/>
              </w:rPr>
            </w:pPr>
            <w:r>
              <w:rPr>
                <w:rFonts w:ascii="仿宋" w:eastAsia="仿宋" w:hint="eastAsia"/>
                <w:sz w:val="32"/>
                <w:szCs w:val="32"/>
                <w:vertAlign w:val="baseline"/>
                <w:lang w:eastAsia="zh-CN"/>
              </w:rPr>
              <w:t>单位性质</w:t>
            </w:r>
          </w:p>
        </w:tc>
        <w:tc>
          <w:tcPr>
            <w:tcW w:w="1539" w:type="dxa"/>
            <w:vAlign w:val="center"/>
          </w:tcPr>
          <w:p>
            <w:pPr>
              <w:widowControl/>
              <w:spacing w:line="540" w:lineRule="exact"/>
              <w:jc w:val="center"/>
              <w:rPr>
                <w:rFonts w:ascii="仿宋" w:eastAsia="仿宋" w:hint="eastAsia"/>
                <w:sz w:val="32"/>
                <w:szCs w:val="32"/>
                <w:vertAlign w:val="baseline"/>
                <w:lang w:eastAsia="zh-CN"/>
              </w:rPr>
            </w:pPr>
            <w:r>
              <w:rPr>
                <w:rFonts w:ascii="仿宋" w:eastAsia="仿宋" w:hint="eastAsia"/>
                <w:sz w:val="32"/>
                <w:szCs w:val="32"/>
                <w:vertAlign w:val="baseline"/>
                <w:lang w:eastAsia="zh-CN"/>
              </w:rPr>
              <w:t>单位规格</w:t>
            </w:r>
          </w:p>
        </w:tc>
        <w:tc>
          <w:tcPr>
            <w:tcW w:w="2596" w:type="dxa"/>
            <w:vAlign w:val="center"/>
          </w:tcPr>
          <w:p>
            <w:pPr>
              <w:widowControl/>
              <w:spacing w:line="540" w:lineRule="exact"/>
              <w:jc w:val="center"/>
              <w:rPr>
                <w:rFonts w:ascii="仿宋" w:eastAsia="仿宋" w:hint="eastAsia"/>
                <w:sz w:val="32"/>
                <w:szCs w:val="32"/>
                <w:vertAlign w:val="baseline"/>
                <w:lang w:eastAsia="zh-CN"/>
              </w:rPr>
            </w:pPr>
            <w:r>
              <w:rPr>
                <w:rFonts w:ascii="仿宋" w:eastAsia="仿宋" w:hint="eastAsia"/>
                <w:sz w:val="32"/>
                <w:szCs w:val="32"/>
                <w:vertAlign w:val="baseline"/>
                <w:lang w:eastAsia="zh-CN"/>
              </w:rPr>
              <w:t>经费保障形式</w:t>
            </w:r>
          </w:p>
        </w:tc>
      </w:tr>
      <w:tr>
        <w:trPr>
          <w:trHeight w:val="770"/>
        </w:trPr>
        <w:tc>
          <w:tcPr>
            <w:tcW w:w="4110" w:type="dxa"/>
            <w:tcBorders>
              <w:top w:val="single" w:sz="4" w:space="0" w:color="auto"/>
              <w:left w:val="single" w:sz="4" w:space="0" w:color="auto"/>
              <w:right w:val="single" w:sz="4" w:space="0" w:color="auto"/>
            </w:tcBorders>
          </w:tcPr>
          <w:p>
            <w:pPr>
              <w:widowControl/>
              <w:spacing w:line="540" w:lineRule="exact"/>
              <w:rPr>
                <w:rFonts w:ascii="仿宋" w:eastAsia="仿宋" w:hint="eastAsia"/>
                <w:sz w:val="32"/>
                <w:szCs w:val="32"/>
                <w:vertAlign w:val="baseline"/>
                <w:lang w:eastAsia="zh-CN"/>
              </w:rPr>
            </w:pPr>
            <w:r>
              <w:rPr>
                <w:rFonts w:ascii="仿宋" w:eastAsia="仿宋" w:hint="eastAsia"/>
                <w:sz w:val="32"/>
                <w:szCs w:val="32"/>
                <w:vertAlign w:val="baseline"/>
                <w:lang w:eastAsia="zh-CN"/>
              </w:rPr>
              <w:t>中共唐山市丰润区委办公室</w:t>
            </w:r>
          </w:p>
        </w:tc>
        <w:tc>
          <w:tcPr>
            <w:tcW w:w="1519" w:type="dxa"/>
            <w:tcBorders>
              <w:top w:val="single" w:sz="4" w:space="0" w:color="auto"/>
              <w:left w:val="single" w:sz="4" w:space="0" w:color="auto"/>
              <w:right w:val="single" w:sz="4" w:space="0" w:color="auto"/>
            </w:tcBorders>
            <w:vAlign w:val="center"/>
          </w:tcPr>
          <w:p>
            <w:pPr>
              <w:widowControl/>
              <w:spacing w:line="540" w:lineRule="exact"/>
              <w:jc w:val="center"/>
              <w:rPr>
                <w:rFonts w:ascii="仿宋" w:eastAsia="仿宋" w:hint="eastAsia"/>
                <w:sz w:val="32"/>
                <w:szCs w:val="32"/>
                <w:vertAlign w:val="baseline"/>
                <w:lang w:eastAsia="zh-CN"/>
              </w:rPr>
            </w:pPr>
            <w:r>
              <w:rPr>
                <w:rFonts w:ascii="仿宋" w:eastAsia="仿宋" w:hint="eastAsia"/>
                <w:sz w:val="32"/>
                <w:szCs w:val="32"/>
                <w:vertAlign w:val="baseline"/>
                <w:lang w:eastAsia="zh-CN"/>
              </w:rPr>
              <w:t>行政</w:t>
            </w:r>
          </w:p>
        </w:tc>
        <w:tc>
          <w:tcPr>
            <w:tcW w:w="1539" w:type="dxa"/>
            <w:tcBorders>
              <w:top w:val="single" w:sz="4" w:space="0" w:color="auto"/>
              <w:left w:val="single" w:sz="4" w:space="0" w:color="auto"/>
              <w:right w:val="single" w:sz="4" w:space="0" w:color="auto"/>
            </w:tcBorders>
            <w:vAlign w:val="center"/>
          </w:tcPr>
          <w:p>
            <w:pPr>
              <w:widowControl/>
              <w:spacing w:line="540" w:lineRule="exact"/>
              <w:jc w:val="center"/>
              <w:rPr>
                <w:rFonts w:ascii="仿宋" w:eastAsia="仿宋" w:hint="eastAsia"/>
                <w:sz w:val="32"/>
                <w:szCs w:val="32"/>
                <w:vertAlign w:val="baseline"/>
                <w:lang w:eastAsia="zh-CN"/>
              </w:rPr>
            </w:pPr>
            <w:r>
              <w:rPr>
                <w:rFonts w:ascii="仿宋" w:eastAsia="仿宋" w:hint="eastAsia"/>
                <w:sz w:val="32"/>
                <w:szCs w:val="32"/>
                <w:vertAlign w:val="baseline"/>
                <w:lang w:eastAsia="zh-CN"/>
              </w:rPr>
              <w:t>正科级</w:t>
            </w:r>
          </w:p>
        </w:tc>
        <w:tc>
          <w:tcPr>
            <w:tcW w:w="2596" w:type="dxa"/>
            <w:tcBorders>
              <w:top w:val="single" w:sz="4" w:space="0" w:color="auto"/>
              <w:left w:val="single" w:sz="4" w:space="0" w:color="auto"/>
              <w:right w:val="single" w:sz="4" w:space="0" w:color="auto"/>
            </w:tcBorders>
            <w:vAlign w:val="center"/>
          </w:tcPr>
          <w:p>
            <w:pPr>
              <w:widowControl/>
              <w:spacing w:line="540" w:lineRule="exact"/>
              <w:jc w:val="center"/>
              <w:rPr>
                <w:rFonts w:ascii="仿宋" w:eastAsia="仿宋" w:hint="eastAsia"/>
                <w:sz w:val="32"/>
                <w:szCs w:val="32"/>
                <w:vertAlign w:val="baseline"/>
                <w:lang w:eastAsia="zh-CN"/>
              </w:rPr>
            </w:pPr>
            <w:r>
              <w:rPr>
                <w:rFonts w:ascii="仿宋" w:eastAsia="仿宋" w:hint="eastAsia"/>
                <w:sz w:val="32"/>
                <w:szCs w:val="32"/>
                <w:vertAlign w:val="baseline"/>
                <w:lang w:eastAsia="zh-CN"/>
              </w:rPr>
              <w:t>财政拨款</w:t>
            </w:r>
          </w:p>
        </w:tc>
      </w:tr>
    </w:tbl>
    <w:p>
      <w:pPr>
        <w:widowControl/>
        <w:spacing w:line="540" w:lineRule="exact"/>
        <w:ind w:firstLineChars="200" w:firstLine="640"/>
        <w:rPr>
          <w:rFonts w:ascii="宋体" w:eastAsia="仿宋" w:hAnsi="宋体"/>
          <w:b/>
          <w:sz w:val="32"/>
          <w:szCs w:val="32"/>
        </w:rPr>
      </w:pPr>
      <w:r>
        <w:rPr>
          <w:rFonts w:ascii="宋体" w:eastAsia="仿宋" w:hAnsi="宋体" w:hint="eastAsia"/>
          <w:b/>
          <w:sz w:val="32"/>
          <w:szCs w:val="32"/>
        </w:rPr>
        <w:t>二、部门预算总体安排情况</w:t>
      </w:r>
    </w:p>
    <w:p>
      <w:pPr>
        <w:widowControl/>
        <w:spacing w:line="540" w:lineRule="exact"/>
        <w:ind w:firstLineChars="200" w:firstLine="640"/>
        <w:rPr>
          <w:rFonts w:ascii="宋体" w:eastAsia="方正仿宋简体" w:cs="方正仿宋简体" w:hAnsi="宋体" w:hint="eastAsia"/>
          <w:sz w:val="32"/>
          <w:szCs w:val="32"/>
        </w:rPr>
      </w:pPr>
      <w:r>
        <w:rPr>
          <w:rFonts w:ascii="宋体" w:eastAsia="方正仿宋简体" w:cs="方正仿宋简体" w:hAnsi="宋体" w:hint="eastAsia"/>
          <w:sz w:val="32"/>
          <w:szCs w:val="32"/>
        </w:rPr>
        <w:t>1、20</w:t>
      </w:r>
      <w:r>
        <w:rPr>
          <w:rFonts w:ascii="宋体" w:eastAsia="方正仿宋简体" w:cs="方正仿宋简体" w:hAnsi="宋体" w:hint="eastAsia"/>
          <w:sz w:val="32"/>
          <w:szCs w:val="32"/>
          <w:lang w:val="en-US" w:eastAsia="zh-CN"/>
        </w:rPr>
        <w:t>22</w:t>
      </w:r>
      <w:r>
        <w:rPr>
          <w:rFonts w:ascii="宋体" w:eastAsia="方正仿宋简体" w:cs="方正仿宋简体" w:hAnsi="宋体" w:hint="eastAsia"/>
          <w:sz w:val="32"/>
          <w:szCs w:val="32"/>
        </w:rPr>
        <w:t>年一般公共预算拨款收入</w:t>
      </w:r>
      <w:r>
        <w:rPr>
          <w:rFonts w:ascii="宋体" w:eastAsia="方正仿宋简体" w:cs="方正仿宋简体" w:hAnsi="宋体" w:hint="eastAsia"/>
          <w:sz w:val="32"/>
          <w:szCs w:val="32"/>
          <w:lang w:val="en-US" w:eastAsia="zh-CN"/>
        </w:rPr>
        <w:t>1139.53</w:t>
      </w:r>
      <w:r>
        <w:rPr>
          <w:rFonts w:ascii="宋体" w:eastAsia="方正仿宋简体" w:cs="方正仿宋简体" w:hAnsi="宋体" w:hint="eastAsia"/>
          <w:color w:val="000000"/>
          <w:sz w:val="32"/>
          <w:szCs w:val="32"/>
          <w:shd w:val="clear" w:color="auto" w:fill="FFFFFF"/>
          <w:lang w:val="en-US" w:eastAsia="zh-CN"/>
        </w:rPr>
        <w:t>万</w:t>
      </w:r>
      <w:r>
        <w:rPr>
          <w:rFonts w:ascii="宋体" w:eastAsia="方正仿宋简体" w:cs="方正仿宋简体" w:hAnsi="宋体" w:hint="eastAsia"/>
          <w:sz w:val="32"/>
          <w:szCs w:val="32"/>
        </w:rPr>
        <w:t>元</w:t>
      </w:r>
      <w:r>
        <w:rPr>
          <w:rFonts w:ascii="宋体" w:eastAsia="方正仿宋简体" w:cs="方正仿宋简体" w:hAnsi="宋体" w:hint="eastAsia"/>
          <w:sz w:val="32"/>
          <w:szCs w:val="32"/>
          <w:lang w:val="en-US" w:eastAsia="zh-CN"/>
        </w:rPr>
        <w:t>,基金预算拨款161.71万元</w:t>
      </w:r>
      <w:r>
        <w:rPr>
          <w:rFonts w:ascii="宋体" w:eastAsia="方正仿宋简体" w:cs="方正仿宋简体" w:hAnsi="宋体" w:hint="eastAsia"/>
          <w:sz w:val="32"/>
          <w:szCs w:val="32"/>
        </w:rPr>
        <w:t>。</w:t>
      </w:r>
    </w:p>
    <w:p>
      <w:pPr>
        <w:widowControl/>
        <w:spacing w:line="540" w:lineRule="exact"/>
        <w:ind w:firstLineChars="200" w:firstLine="640"/>
        <w:rPr>
          <w:rFonts w:ascii="宋体" w:eastAsia="方正仿宋简体" w:cs="方正仿宋简体" w:hAnsi="宋体" w:hint="eastAsia"/>
          <w:sz w:val="32"/>
          <w:szCs w:val="32"/>
        </w:rPr>
      </w:pPr>
      <w:r>
        <w:rPr>
          <w:rFonts w:ascii="宋体" w:eastAsia="方正仿宋简体" w:cs="方正仿宋简体" w:hAnsi="宋体" w:hint="eastAsia"/>
          <w:sz w:val="32"/>
          <w:szCs w:val="32"/>
        </w:rPr>
        <w:t>2、20</w:t>
      </w:r>
      <w:r>
        <w:rPr>
          <w:rFonts w:ascii="宋体" w:eastAsia="方正仿宋简体" w:cs="方正仿宋简体" w:hAnsi="宋体" w:hint="eastAsia"/>
          <w:sz w:val="32"/>
          <w:szCs w:val="32"/>
          <w:lang w:val="en-US" w:eastAsia="zh-CN"/>
        </w:rPr>
        <w:t>22</w:t>
      </w:r>
      <w:r>
        <w:rPr>
          <w:rFonts w:ascii="宋体" w:eastAsia="方正仿宋简体" w:cs="方正仿宋简体" w:hAnsi="宋体" w:hint="eastAsia"/>
          <w:sz w:val="32"/>
          <w:szCs w:val="32"/>
        </w:rPr>
        <w:t>年，根据本单位职责和工作任务规划，共安排部门预算支出</w:t>
      </w:r>
      <w:r>
        <w:rPr>
          <w:rFonts w:ascii="宋体" w:eastAsia="方正仿宋简体" w:cs="方正仿宋简体" w:hAnsi="宋体" w:hint="eastAsia"/>
          <w:color w:val="000000"/>
          <w:sz w:val="32"/>
          <w:szCs w:val="32"/>
          <w:shd w:val="clear" w:color="auto" w:fill="FFFFFF"/>
          <w:lang w:val="en-US" w:eastAsia="zh-CN"/>
        </w:rPr>
        <w:t>1301.24万</w:t>
      </w:r>
      <w:r>
        <w:rPr>
          <w:rFonts w:ascii="宋体" w:eastAsia="方正仿宋简体" w:cs="方正仿宋简体" w:hAnsi="宋体" w:hint="eastAsia"/>
          <w:sz w:val="32"/>
          <w:szCs w:val="32"/>
        </w:rPr>
        <w:t>元。其中人员经费支出</w:t>
      </w:r>
      <w:r>
        <w:rPr>
          <w:rFonts w:ascii="宋体" w:eastAsia="方正仿宋简体" w:cs="方正仿宋简体" w:hAnsi="宋体" w:hint="eastAsia"/>
          <w:sz w:val="32"/>
          <w:szCs w:val="32"/>
          <w:lang w:val="en-US" w:eastAsia="zh-CN"/>
        </w:rPr>
        <w:t>650.78万</w:t>
      </w:r>
      <w:r>
        <w:rPr>
          <w:rFonts w:ascii="宋体" w:eastAsia="方正仿宋简体" w:cs="方正仿宋简体" w:hAnsi="宋体" w:hint="eastAsia"/>
          <w:sz w:val="32"/>
          <w:szCs w:val="32"/>
        </w:rPr>
        <w:t>元，日常公用经费支出</w:t>
      </w:r>
      <w:r>
        <w:rPr>
          <w:rFonts w:ascii="宋体" w:eastAsia="方正仿宋简体" w:cs="方正仿宋简体" w:hAnsi="宋体" w:hint="eastAsia"/>
          <w:sz w:val="32"/>
          <w:szCs w:val="32"/>
          <w:lang w:val="en-US" w:eastAsia="zh-CN"/>
        </w:rPr>
        <w:t>90.98万</w:t>
      </w:r>
      <w:r>
        <w:rPr>
          <w:rFonts w:ascii="宋体" w:eastAsia="方正仿宋简体" w:cs="方正仿宋简体" w:hAnsi="宋体" w:hint="eastAsia"/>
          <w:sz w:val="32"/>
          <w:szCs w:val="32"/>
        </w:rPr>
        <w:t>元，项目支出</w:t>
      </w:r>
      <w:r>
        <w:rPr>
          <w:rFonts w:ascii="宋体" w:eastAsia="方正仿宋简体" w:cs="方正仿宋简体" w:hAnsi="宋体" w:hint="eastAsia"/>
          <w:sz w:val="32"/>
          <w:szCs w:val="32"/>
          <w:lang w:val="en-US" w:eastAsia="zh-CN"/>
        </w:rPr>
        <w:t>559.48万</w:t>
      </w:r>
      <w:r>
        <w:rPr>
          <w:rFonts w:ascii="宋体" w:eastAsia="方正仿宋简体" w:cs="方正仿宋简体" w:hAnsi="宋体" w:hint="eastAsia"/>
          <w:sz w:val="32"/>
          <w:szCs w:val="32"/>
        </w:rPr>
        <w:t>元。</w:t>
      </w:r>
    </w:p>
    <w:p>
      <w:pPr>
        <w:widowControl/>
        <w:spacing w:line="540" w:lineRule="exact"/>
        <w:ind w:firstLineChars="200" w:firstLine="640"/>
        <w:rPr>
          <w:rFonts w:ascii="宋体" w:eastAsia="仿宋" w:hAnsi="宋体"/>
          <w:sz w:val="32"/>
          <w:szCs w:val="32"/>
        </w:rPr>
      </w:pPr>
      <w:r>
        <w:rPr>
          <w:rFonts w:ascii="宋体" w:eastAsia="方正仿宋简体" w:cs="方正仿宋简体" w:hAnsi="宋体" w:hint="eastAsia"/>
          <w:sz w:val="32"/>
          <w:szCs w:val="32"/>
        </w:rPr>
        <w:t>3、与上年相比</w:t>
      </w:r>
      <w:r>
        <w:rPr>
          <w:rFonts w:ascii="宋体" w:eastAsia="方正仿宋简体" w:cs="方正仿宋简体" w:hAnsi="宋体" w:hint="eastAsia"/>
          <w:sz w:val="32"/>
          <w:szCs w:val="32"/>
          <w:lang w:eastAsia="zh-CN"/>
        </w:rPr>
        <w:t>增加</w:t>
      </w:r>
      <w:r>
        <w:rPr>
          <w:rFonts w:ascii="宋体" w:eastAsia="方正仿宋简体" w:cs="方正仿宋简体" w:hAnsi="宋体" w:hint="eastAsia"/>
          <w:sz w:val="32"/>
          <w:szCs w:val="32"/>
          <w:lang w:val="en-US" w:eastAsia="zh-CN"/>
        </w:rPr>
        <w:t>328.45</w:t>
      </w:r>
      <w:r>
        <w:rPr>
          <w:rFonts w:ascii="宋体" w:eastAsia="方正仿宋简体" w:cs="方正仿宋简体" w:hAnsi="宋体" w:hint="eastAsia"/>
          <w:sz w:val="32"/>
          <w:szCs w:val="32"/>
        </w:rPr>
        <w:t>万元，其中：人员经费</w:t>
      </w:r>
      <w:r>
        <w:rPr>
          <w:rFonts w:ascii="宋体" w:eastAsia="方正仿宋简体" w:cs="方正仿宋简体" w:hAnsi="宋体" w:hint="eastAsia"/>
          <w:sz w:val="32"/>
          <w:szCs w:val="32"/>
          <w:lang w:eastAsia="zh-CN"/>
        </w:rPr>
        <w:t>增加</w:t>
      </w:r>
      <w:r>
        <w:rPr>
          <w:rFonts w:ascii="宋体" w:eastAsia="方正仿宋简体" w:cs="方正仿宋简体" w:hAnsi="宋体" w:hint="eastAsia"/>
          <w:sz w:val="32"/>
          <w:szCs w:val="32"/>
          <w:lang w:val="en-US" w:eastAsia="zh-CN"/>
        </w:rPr>
        <w:t>109.51</w:t>
      </w:r>
      <w:r>
        <w:rPr>
          <w:rFonts w:ascii="宋体" w:eastAsia="方正仿宋简体" w:cs="方正仿宋简体" w:hAnsi="宋体" w:hint="eastAsia"/>
          <w:sz w:val="32"/>
          <w:szCs w:val="32"/>
        </w:rPr>
        <w:t>万元，主要原因是</w:t>
      </w:r>
      <w:r>
        <w:rPr>
          <w:rFonts w:ascii="宋体" w:eastAsia="方正仿宋简体" w:cs="方正仿宋简体" w:hAnsi="宋体" w:hint="eastAsia"/>
          <w:sz w:val="32"/>
          <w:szCs w:val="32"/>
          <w:lang w:eastAsia="zh-CN"/>
        </w:rPr>
        <w:t>在职人员增加</w:t>
      </w:r>
      <w:r>
        <w:rPr>
          <w:rFonts w:ascii="宋体" w:eastAsia="方正仿宋简体" w:cs="方正仿宋简体" w:hAnsi="宋体" w:hint="eastAsia"/>
          <w:sz w:val="32"/>
          <w:szCs w:val="32"/>
          <w:lang w:val="en-US" w:eastAsia="zh-CN"/>
        </w:rPr>
        <w:t>7人,退休人员增加2人,相应经费增加</w:t>
      </w:r>
      <w:r>
        <w:rPr>
          <w:rFonts w:ascii="宋体" w:eastAsia="方正仿宋简体" w:cs="方正仿宋简体" w:hAnsi="宋体" w:hint="eastAsia"/>
          <w:sz w:val="32"/>
          <w:szCs w:val="32"/>
        </w:rPr>
        <w:t>。日常公用经费</w:t>
      </w:r>
      <w:r>
        <w:rPr>
          <w:rFonts w:ascii="宋体" w:eastAsia="方正仿宋简体" w:cs="方正仿宋简体" w:hAnsi="宋体" w:hint="eastAsia"/>
          <w:sz w:val="32"/>
          <w:szCs w:val="32"/>
          <w:lang w:eastAsia="zh-CN"/>
        </w:rPr>
        <w:t>增加</w:t>
      </w:r>
      <w:r>
        <w:rPr>
          <w:rFonts w:ascii="宋体" w:eastAsia="方正仿宋简体" w:cs="方正仿宋简体" w:hAnsi="宋体" w:hint="eastAsia"/>
          <w:sz w:val="32"/>
          <w:szCs w:val="32"/>
          <w:lang w:val="en-US" w:eastAsia="zh-CN"/>
        </w:rPr>
        <w:t>14.96</w:t>
      </w:r>
      <w:r>
        <w:rPr>
          <w:rFonts w:ascii="宋体" w:eastAsia="方正仿宋简体" w:cs="方正仿宋简体" w:hAnsi="宋体" w:hint="eastAsia"/>
          <w:sz w:val="32"/>
          <w:szCs w:val="32"/>
        </w:rPr>
        <w:t>万元，</w:t>
      </w:r>
      <w:r>
        <w:rPr>
          <w:rFonts w:ascii="宋体" w:eastAsia="方正仿宋简体" w:cs="方正仿宋简体" w:hAnsi="宋体" w:hint="eastAsia"/>
          <w:sz w:val="32"/>
          <w:szCs w:val="32"/>
          <w:lang w:eastAsia="zh-CN"/>
        </w:rPr>
        <w:t>主要原因是人员增加，在职人员邮电费、公务交通补贴费用增加，</w:t>
      </w:r>
      <w:r>
        <w:rPr>
          <w:rFonts w:ascii="宋体" w:eastAsia="方正仿宋简体" w:cs="方正仿宋简体" w:hAnsi="宋体" w:hint="eastAsia"/>
          <w:sz w:val="32"/>
          <w:szCs w:val="32"/>
          <w:lang w:val="en-US" w:eastAsia="zh-CN"/>
        </w:rPr>
        <w:t>退休人员物业补贴费用增加</w:t>
      </w:r>
      <w:r>
        <w:rPr>
          <w:rFonts w:ascii="宋体" w:eastAsia="方正仿宋简体" w:cs="方正仿宋简体" w:hAnsi="宋体" w:hint="eastAsia"/>
          <w:sz w:val="32"/>
          <w:szCs w:val="32"/>
        </w:rPr>
        <w:t>。项目支出</w:t>
      </w:r>
      <w:r>
        <w:rPr>
          <w:rFonts w:ascii="宋体" w:eastAsia="方正仿宋简体" w:cs="方正仿宋简体" w:hAnsi="宋体" w:hint="eastAsia"/>
          <w:sz w:val="32"/>
          <w:szCs w:val="32"/>
          <w:lang w:eastAsia="zh-CN"/>
        </w:rPr>
        <w:t>增加</w:t>
      </w:r>
      <w:r>
        <w:rPr>
          <w:rFonts w:ascii="宋体" w:eastAsia="方正仿宋简体" w:cs="方正仿宋简体" w:hAnsi="宋体" w:hint="eastAsia"/>
          <w:sz w:val="32"/>
          <w:szCs w:val="32"/>
          <w:lang w:val="en-US" w:eastAsia="zh-CN"/>
        </w:rPr>
        <w:t>203.98</w:t>
      </w:r>
      <w:r>
        <w:rPr>
          <w:rFonts w:ascii="宋体" w:eastAsia="方正仿宋简体" w:cs="方正仿宋简体" w:hAnsi="宋体" w:hint="eastAsia"/>
          <w:sz w:val="32"/>
          <w:szCs w:val="32"/>
        </w:rPr>
        <w:t>万元，</w:t>
      </w:r>
      <w:r>
        <w:rPr>
          <w:rFonts w:ascii="宋体" w:eastAsia="方正仿宋简体" w:cs="方正仿宋简体" w:hAnsi="宋体" w:hint="eastAsia"/>
          <w:sz w:val="32"/>
          <w:szCs w:val="32"/>
          <w:lang w:eastAsia="zh-CN"/>
        </w:rPr>
        <w:t>主要原因是上年度财政资金不足，部分项目资金未能支出，列入了本年度预算</w:t>
      </w:r>
      <w:r>
        <w:rPr>
          <w:rFonts w:ascii="宋体" w:eastAsia="方正仿宋简体" w:cs="方正仿宋简体" w:hAnsi="宋体" w:hint="eastAsia"/>
          <w:sz w:val="32"/>
          <w:szCs w:val="32"/>
        </w:rPr>
        <w:t>。</w:t>
      </w:r>
    </w:p>
    <w:p>
      <w:pPr>
        <w:widowControl/>
        <w:spacing w:line="540" w:lineRule="exact"/>
        <w:ind w:firstLineChars="200" w:firstLine="640"/>
        <w:rPr>
          <w:rFonts w:ascii="宋体" w:eastAsia="仿宋" w:hAnsi="宋体"/>
          <w:b/>
          <w:sz w:val="32"/>
          <w:szCs w:val="32"/>
        </w:rPr>
      </w:pPr>
      <w:r>
        <w:rPr>
          <w:rFonts w:ascii="宋体" w:eastAsia="仿宋" w:hAnsi="宋体" w:hint="eastAsia"/>
          <w:b/>
          <w:sz w:val="32"/>
          <w:szCs w:val="32"/>
        </w:rPr>
        <w:t>三、机关运行经费安排情况</w:t>
      </w:r>
    </w:p>
    <w:p>
      <w:pPr>
        <w:widowControl/>
        <w:spacing w:line="540" w:lineRule="exact"/>
        <w:ind w:firstLineChars="200" w:firstLine="640"/>
        <w:rPr>
          <w:rFonts w:ascii="宋体" w:eastAsia="方正仿宋简体" w:cs="方正仿宋简体" w:hAnsi="宋体" w:hint="eastAsia"/>
          <w:sz w:val="32"/>
          <w:szCs w:val="32"/>
        </w:rPr>
      </w:pPr>
      <w:r>
        <w:rPr>
          <w:rFonts w:ascii="宋体" w:eastAsia="方正仿宋简体" w:cs="方正仿宋简体" w:hAnsi="宋体" w:hint="eastAsia"/>
          <w:sz w:val="32"/>
          <w:szCs w:val="32"/>
        </w:rPr>
        <w:t>日常公用经费支出总计</w:t>
      </w:r>
      <w:r>
        <w:rPr>
          <w:rFonts w:ascii="宋体" w:eastAsia="方正仿宋简体" w:cs="方正仿宋简体" w:hAnsi="宋体" w:hint="eastAsia"/>
          <w:sz w:val="32"/>
          <w:szCs w:val="32"/>
          <w:lang w:val="en-US" w:eastAsia="zh-CN"/>
        </w:rPr>
        <w:t>90.98万</w:t>
      </w:r>
      <w:r>
        <w:rPr>
          <w:rFonts w:ascii="宋体" w:eastAsia="方正仿宋简体" w:cs="方正仿宋简体" w:hAnsi="宋体" w:hint="eastAsia"/>
          <w:sz w:val="32"/>
          <w:szCs w:val="32"/>
        </w:rPr>
        <w:t>元。其中：</w:t>
      </w:r>
    </w:p>
    <w:p>
      <w:pPr>
        <w:widowControl/>
        <w:spacing w:line="540" w:lineRule="exact"/>
        <w:ind w:firstLineChars="200" w:firstLine="640"/>
        <w:rPr>
          <w:rFonts w:ascii="宋体" w:eastAsia="方正仿宋简体" w:cs="方正仿宋简体" w:hAnsi="宋体" w:hint="eastAsia"/>
          <w:sz w:val="32"/>
          <w:szCs w:val="32"/>
        </w:rPr>
      </w:pPr>
      <w:r>
        <w:rPr>
          <w:rFonts w:ascii="宋体" w:eastAsia="方正仿宋简体" w:cs="方正仿宋简体" w:hAnsi="宋体" w:hint="eastAsia"/>
          <w:sz w:val="32"/>
          <w:szCs w:val="32"/>
        </w:rPr>
        <w:t>1、办公费：</w:t>
      </w:r>
      <w:r>
        <w:rPr>
          <w:rFonts w:ascii="宋体" w:eastAsia="方正仿宋简体" w:cs="方正仿宋简体" w:hAnsi="宋体" w:hint="eastAsia"/>
          <w:sz w:val="32"/>
          <w:szCs w:val="32"/>
          <w:lang w:val="en-US" w:eastAsia="zh-CN"/>
        </w:rPr>
        <w:t>8.36万</w:t>
      </w:r>
      <w:r>
        <w:rPr>
          <w:rFonts w:ascii="宋体" w:eastAsia="方正仿宋简体" w:cs="方正仿宋简体" w:hAnsi="宋体" w:hint="eastAsia"/>
          <w:sz w:val="32"/>
          <w:szCs w:val="32"/>
        </w:rPr>
        <w:t>元。</w:t>
      </w:r>
    </w:p>
    <w:p>
      <w:pPr>
        <w:widowControl/>
        <w:spacing w:line="540" w:lineRule="exact"/>
        <w:ind w:firstLineChars="200" w:firstLine="640"/>
        <w:rPr>
          <w:rFonts w:ascii="宋体" w:eastAsia="方正仿宋简体" w:cs="方正仿宋简体" w:hAnsi="宋体" w:hint="eastAsia"/>
          <w:sz w:val="32"/>
          <w:szCs w:val="32"/>
        </w:rPr>
      </w:pPr>
      <w:r>
        <w:rPr>
          <w:rFonts w:ascii="宋体" w:eastAsia="方正仿宋简体" w:cs="方正仿宋简体" w:hAnsi="宋体" w:hint="eastAsia"/>
          <w:sz w:val="32"/>
          <w:szCs w:val="32"/>
        </w:rPr>
        <w:t>2、邮电费：</w:t>
      </w:r>
      <w:r>
        <w:rPr>
          <w:rFonts w:ascii="宋体" w:eastAsia="方正仿宋简体" w:cs="方正仿宋简体" w:hAnsi="宋体" w:hint="eastAsia"/>
          <w:sz w:val="32"/>
          <w:szCs w:val="32"/>
          <w:lang w:val="en-US" w:eastAsia="zh-CN"/>
        </w:rPr>
        <w:t>26.77万</w:t>
      </w:r>
      <w:r>
        <w:rPr>
          <w:rFonts w:ascii="宋体" w:eastAsia="方正仿宋简体" w:cs="方正仿宋简体" w:hAnsi="宋体" w:hint="eastAsia"/>
          <w:sz w:val="32"/>
          <w:szCs w:val="32"/>
        </w:rPr>
        <w:t>元。</w:t>
      </w:r>
    </w:p>
    <w:p>
      <w:pPr>
        <w:widowControl/>
        <w:spacing w:line="540" w:lineRule="exact"/>
        <w:ind w:firstLineChars="200" w:firstLine="640"/>
        <w:rPr>
          <w:rFonts w:ascii="宋体" w:eastAsia="方正仿宋简体" w:cs="方正仿宋简体" w:hAnsi="宋体" w:hint="eastAsia"/>
          <w:sz w:val="32"/>
          <w:szCs w:val="32"/>
        </w:rPr>
      </w:pPr>
      <w:r>
        <w:rPr>
          <w:rFonts w:ascii="宋体" w:eastAsia="方正仿宋简体" w:cs="方正仿宋简体" w:hAnsi="宋体" w:hint="eastAsia"/>
          <w:sz w:val="32"/>
          <w:szCs w:val="32"/>
        </w:rPr>
        <w:t>3、差旅费：</w:t>
      </w:r>
      <w:r>
        <w:rPr>
          <w:rFonts w:ascii="宋体" w:eastAsia="方正仿宋简体" w:cs="方正仿宋简体" w:hAnsi="宋体" w:hint="eastAsia"/>
          <w:sz w:val="32"/>
          <w:szCs w:val="32"/>
          <w:lang w:val="en-US" w:eastAsia="zh-CN"/>
        </w:rPr>
        <w:t>1.90万</w:t>
      </w:r>
      <w:r>
        <w:rPr>
          <w:rFonts w:ascii="宋体" w:eastAsia="方正仿宋简体" w:cs="方正仿宋简体" w:hAnsi="宋体" w:hint="eastAsia"/>
          <w:sz w:val="32"/>
          <w:szCs w:val="32"/>
        </w:rPr>
        <w:t>元。</w:t>
      </w:r>
    </w:p>
    <w:p>
      <w:pPr>
        <w:widowControl/>
        <w:spacing w:line="540" w:lineRule="exact"/>
        <w:ind w:firstLineChars="200" w:firstLine="640"/>
        <w:rPr>
          <w:rFonts w:ascii="宋体" w:eastAsia="方正仿宋简体" w:cs="方正仿宋简体" w:hAnsi="宋体" w:hint="eastAsia"/>
          <w:sz w:val="32"/>
          <w:szCs w:val="32"/>
          <w:lang w:val="en-US" w:eastAsia="zh-CN"/>
        </w:rPr>
      </w:pPr>
      <w:r>
        <w:rPr>
          <w:rFonts w:ascii="宋体" w:eastAsia="方正仿宋简体" w:cs="方正仿宋简体" w:hAnsi="宋体" w:hint="eastAsia"/>
          <w:sz w:val="32"/>
          <w:szCs w:val="32"/>
        </w:rPr>
        <w:t>4、</w:t>
      </w:r>
      <w:r>
        <w:rPr>
          <w:rFonts w:ascii="宋体" w:eastAsia="方正仿宋简体" w:cs="方正仿宋简体" w:hAnsi="宋体" w:hint="eastAsia"/>
          <w:sz w:val="32"/>
          <w:szCs w:val="32"/>
          <w:lang w:eastAsia="zh-CN"/>
        </w:rPr>
        <w:t>维修费：</w:t>
      </w:r>
      <w:r>
        <w:rPr>
          <w:rFonts w:ascii="宋体" w:eastAsia="方正仿宋简体" w:cs="方正仿宋简体" w:hAnsi="宋体" w:hint="eastAsia"/>
          <w:sz w:val="32"/>
          <w:szCs w:val="32"/>
          <w:lang w:val="en-US" w:eastAsia="zh-CN"/>
        </w:rPr>
        <w:t>0.10万元。</w:t>
      </w:r>
    </w:p>
    <w:p>
      <w:pPr>
        <w:widowControl/>
        <w:spacing w:line="540" w:lineRule="exact"/>
        <w:ind w:firstLineChars="200" w:firstLine="640"/>
        <w:rPr>
          <w:rFonts w:ascii="宋体" w:eastAsia="方正仿宋简体" w:cs="方正仿宋简体" w:hAnsi="宋体" w:hint="eastAsia"/>
          <w:sz w:val="32"/>
          <w:szCs w:val="32"/>
        </w:rPr>
      </w:pPr>
      <w:r>
        <w:rPr>
          <w:rFonts w:ascii="宋体" w:eastAsia="方正仿宋简体" w:cs="方正仿宋简体" w:hAnsi="宋体" w:hint="eastAsia"/>
          <w:sz w:val="32"/>
          <w:szCs w:val="32"/>
          <w:lang w:val="en-US" w:eastAsia="zh-CN"/>
        </w:rPr>
        <w:t>5、</w:t>
      </w:r>
      <w:r>
        <w:rPr>
          <w:rFonts w:ascii="宋体" w:eastAsia="方正仿宋简体" w:cs="方正仿宋简体" w:hAnsi="宋体" w:hint="eastAsia"/>
          <w:sz w:val="32"/>
          <w:szCs w:val="32"/>
        </w:rPr>
        <w:t>公务接待费：</w:t>
      </w:r>
      <w:r>
        <w:rPr>
          <w:rFonts w:ascii="宋体" w:eastAsia="方正仿宋简体" w:cs="方正仿宋简体" w:hAnsi="宋体" w:hint="eastAsia"/>
          <w:sz w:val="32"/>
          <w:szCs w:val="32"/>
          <w:lang w:val="en-US" w:eastAsia="zh-CN"/>
        </w:rPr>
        <w:t>0.9万</w:t>
      </w:r>
      <w:r>
        <w:rPr>
          <w:rFonts w:ascii="宋体" w:eastAsia="方正仿宋简体" w:cs="方正仿宋简体" w:hAnsi="宋体" w:hint="eastAsia"/>
          <w:sz w:val="32"/>
          <w:szCs w:val="32"/>
        </w:rPr>
        <w:t>元。</w:t>
      </w:r>
    </w:p>
    <w:p>
      <w:pPr>
        <w:widowControl/>
        <w:spacing w:line="540" w:lineRule="exact"/>
        <w:ind w:firstLineChars="200" w:firstLine="640"/>
        <w:rPr>
          <w:rFonts w:ascii="宋体" w:eastAsia="方正仿宋简体" w:cs="方正仿宋简体" w:hAnsi="宋体"/>
          <w:sz w:val="32"/>
          <w:szCs w:val="32"/>
          <w:lang w:val="en-US" w:eastAsia="zh-CN"/>
        </w:rPr>
      </w:pPr>
      <w:r>
        <w:rPr>
          <w:rFonts w:ascii="宋体" w:eastAsia="方正仿宋简体" w:cs="方正仿宋简体" w:hAnsi="宋体" w:hint="eastAsia"/>
          <w:sz w:val="32"/>
          <w:szCs w:val="32"/>
          <w:lang w:val="en-US" w:eastAsia="zh-CN"/>
        </w:rPr>
        <w:t>6、工会经费：1.65万元。按在职职工每人每年300元安排。</w:t>
      </w:r>
    </w:p>
    <w:p>
      <w:pPr>
        <w:widowControl/>
        <w:spacing w:line="540" w:lineRule="exact"/>
        <w:ind w:firstLineChars="199" w:firstLine="637"/>
        <w:rPr>
          <w:rFonts w:ascii="宋体" w:eastAsia="方正仿宋简体" w:cs="方正仿宋简体" w:hAnsi="宋体" w:hint="eastAsia"/>
          <w:sz w:val="32"/>
          <w:szCs w:val="32"/>
        </w:rPr>
      </w:pPr>
      <w:r>
        <w:rPr>
          <w:rFonts w:ascii="宋体" w:eastAsia="方正仿宋简体" w:cs="方正仿宋简体" w:hAnsi="宋体" w:hint="eastAsia"/>
          <w:sz w:val="32"/>
          <w:szCs w:val="32"/>
          <w:lang w:val="en-US" w:eastAsia="zh-CN"/>
        </w:rPr>
        <w:t>7</w:t>
      </w:r>
      <w:r>
        <w:rPr>
          <w:rFonts w:ascii="宋体" w:eastAsia="方正仿宋简体" w:cs="方正仿宋简体" w:hAnsi="宋体" w:hint="eastAsia"/>
          <w:sz w:val="32"/>
          <w:szCs w:val="32"/>
        </w:rPr>
        <w:t>、福利费：</w:t>
      </w:r>
      <w:r>
        <w:rPr>
          <w:rFonts w:ascii="宋体" w:eastAsia="方正仿宋简体" w:cs="方正仿宋简体" w:hAnsi="宋体" w:hint="eastAsia"/>
          <w:sz w:val="32"/>
          <w:szCs w:val="32"/>
          <w:lang w:val="en-US" w:eastAsia="zh-CN"/>
        </w:rPr>
        <w:t>1.69万</w:t>
      </w:r>
      <w:r>
        <w:rPr>
          <w:rFonts w:ascii="宋体" w:eastAsia="方正仿宋简体" w:cs="方正仿宋简体" w:hAnsi="宋体" w:hint="eastAsia"/>
          <w:sz w:val="32"/>
          <w:szCs w:val="32"/>
        </w:rPr>
        <w:t>元。按在职职工每人每年</w:t>
      </w:r>
      <w:r>
        <w:rPr>
          <w:rFonts w:ascii="宋体" w:eastAsia="方正仿宋简体" w:cs="方正仿宋简体" w:hAnsi="宋体" w:hint="eastAsia"/>
          <w:sz w:val="32"/>
          <w:szCs w:val="32"/>
          <w:lang w:val="en-US" w:eastAsia="zh-CN"/>
        </w:rPr>
        <w:t>300</w:t>
      </w:r>
      <w:r>
        <w:rPr>
          <w:rFonts w:ascii="宋体" w:eastAsia="方正仿宋简体" w:cs="方正仿宋简体" w:hAnsi="宋体" w:hint="eastAsia"/>
          <w:sz w:val="32"/>
          <w:szCs w:val="32"/>
        </w:rPr>
        <w:t>元安排</w:t>
      </w:r>
      <w:r>
        <w:rPr>
          <w:rFonts w:ascii="宋体" w:eastAsia="方正仿宋简体" w:cs="方正仿宋简体" w:hAnsi="宋体" w:hint="eastAsia"/>
          <w:sz w:val="32"/>
          <w:szCs w:val="32"/>
          <w:lang w:eastAsia="zh-CN"/>
        </w:rPr>
        <w:t>，</w:t>
      </w:r>
      <w:r>
        <w:rPr>
          <w:rFonts w:ascii="宋体" w:eastAsia="方正仿宋简体" w:cs="方正仿宋简体" w:hAnsi="宋体" w:hint="eastAsia"/>
          <w:sz w:val="32"/>
          <w:szCs w:val="32"/>
        </w:rPr>
        <w:t>退休人员</w:t>
      </w:r>
      <w:r>
        <w:rPr>
          <w:rFonts w:ascii="宋体" w:eastAsia="方正仿宋简体" w:cs="方正仿宋简体" w:hAnsi="宋体" w:hint="eastAsia"/>
          <w:sz w:val="32"/>
          <w:szCs w:val="32"/>
          <w:lang w:eastAsia="zh-CN"/>
        </w:rPr>
        <w:t>每人</w:t>
      </w:r>
      <w:r>
        <w:rPr>
          <w:rFonts w:ascii="宋体" w:eastAsia="方正仿宋简体" w:cs="方正仿宋简体" w:hAnsi="宋体" w:hint="eastAsia"/>
          <w:sz w:val="32"/>
          <w:szCs w:val="32"/>
        </w:rPr>
        <w:t>每年</w:t>
      </w:r>
      <w:r>
        <w:rPr>
          <w:rFonts w:ascii="宋体" w:eastAsia="方正仿宋简体" w:cs="方正仿宋简体" w:hAnsi="宋体" w:hint="eastAsia"/>
          <w:sz w:val="32"/>
          <w:szCs w:val="32"/>
          <w:lang w:val="en-US" w:eastAsia="zh-CN"/>
        </w:rPr>
        <w:t>50</w:t>
      </w:r>
      <w:r>
        <w:rPr>
          <w:rFonts w:ascii="宋体" w:eastAsia="方正仿宋简体" w:cs="方正仿宋简体" w:hAnsi="宋体" w:hint="eastAsia"/>
          <w:sz w:val="32"/>
          <w:szCs w:val="32"/>
        </w:rPr>
        <w:t>元安排。</w:t>
      </w:r>
    </w:p>
    <w:p>
      <w:pPr>
        <w:widowControl/>
        <w:spacing w:line="540" w:lineRule="exact"/>
        <w:ind w:firstLineChars="200" w:firstLine="640"/>
        <w:rPr>
          <w:rFonts w:ascii="宋体" w:eastAsia="方正仿宋简体" w:cs="方正仿宋简体" w:hAnsi="宋体" w:hint="eastAsia"/>
          <w:sz w:val="32"/>
          <w:szCs w:val="32"/>
        </w:rPr>
      </w:pPr>
      <w:r>
        <w:rPr>
          <w:rFonts w:ascii="宋体" w:eastAsia="方正仿宋简体" w:cs="方正仿宋简体" w:hAnsi="宋体" w:hint="eastAsia"/>
          <w:sz w:val="32"/>
          <w:szCs w:val="32"/>
          <w:lang w:val="en-US" w:eastAsia="zh-CN"/>
        </w:rPr>
        <w:t>8</w:t>
      </w:r>
      <w:r>
        <w:rPr>
          <w:rFonts w:ascii="宋体" w:eastAsia="方正仿宋简体" w:cs="方正仿宋简体" w:hAnsi="宋体" w:hint="eastAsia"/>
          <w:sz w:val="32"/>
          <w:szCs w:val="32"/>
        </w:rPr>
        <w:t>、公务用车运行维护费：18</w:t>
      </w:r>
      <w:r>
        <w:rPr>
          <w:rFonts w:ascii="宋体" w:eastAsia="方正仿宋简体" w:cs="方正仿宋简体" w:hAnsi="宋体" w:hint="eastAsia"/>
          <w:sz w:val="32"/>
          <w:szCs w:val="32"/>
          <w:lang w:eastAsia="zh-CN"/>
        </w:rPr>
        <w:t>万</w:t>
      </w:r>
      <w:r>
        <w:rPr>
          <w:rFonts w:ascii="宋体" w:eastAsia="方正仿宋简体" w:cs="方正仿宋简体" w:hAnsi="宋体" w:hint="eastAsia"/>
          <w:sz w:val="32"/>
          <w:szCs w:val="32"/>
        </w:rPr>
        <w:t>元。</w:t>
      </w:r>
    </w:p>
    <w:p>
      <w:pPr>
        <w:widowControl/>
        <w:spacing w:line="540" w:lineRule="exact"/>
        <w:ind w:leftChars="304" w:left="638"/>
        <w:rPr>
          <w:rFonts w:ascii="宋体" w:eastAsia="方正仿宋简体" w:cs="方正仿宋简体" w:hAnsi="宋体" w:hint="eastAsia"/>
          <w:sz w:val="32"/>
          <w:szCs w:val="32"/>
        </w:rPr>
      </w:pPr>
      <w:r>
        <w:rPr>
          <w:rFonts w:ascii="宋体" w:eastAsia="方正仿宋简体" w:cs="方正仿宋简体" w:hAnsi="宋体" w:hint="eastAsia"/>
          <w:sz w:val="32"/>
          <w:szCs w:val="32"/>
          <w:lang w:val="en-US" w:eastAsia="zh-CN"/>
        </w:rPr>
        <w:t>9</w:t>
      </w:r>
      <w:r>
        <w:rPr>
          <w:rFonts w:ascii="宋体" w:eastAsia="方正仿宋简体" w:cs="方正仿宋简体" w:hAnsi="宋体" w:hint="eastAsia"/>
          <w:sz w:val="32"/>
          <w:szCs w:val="32"/>
        </w:rPr>
        <w:t>、其他交通费（公务交通补贴）：</w:t>
      </w:r>
      <w:r>
        <w:rPr>
          <w:rFonts w:ascii="宋体" w:eastAsia="方正仿宋简体" w:cs="方正仿宋简体" w:hAnsi="宋体" w:hint="eastAsia"/>
          <w:sz w:val="32"/>
          <w:szCs w:val="32"/>
          <w:lang w:val="en-US" w:eastAsia="zh-CN"/>
        </w:rPr>
        <w:t>31.61万</w:t>
      </w:r>
      <w:r>
        <w:rPr>
          <w:rFonts w:ascii="宋体" w:eastAsia="方正仿宋简体" w:cs="方正仿宋简体" w:hAnsi="宋体" w:hint="eastAsia"/>
          <w:sz w:val="32"/>
          <w:szCs w:val="32"/>
        </w:rPr>
        <w:t>元。</w:t>
      </w:r>
    </w:p>
    <w:p>
      <w:pPr>
        <w:widowControl/>
        <w:snapToGrid w:val="0"/>
        <w:spacing w:line="588" w:lineRule="exact"/>
        <w:ind w:firstLineChars="200" w:firstLine="640"/>
        <w:rPr>
          <w:rFonts w:ascii="宋体" w:eastAsia="仿宋" w:hAnsi="宋体"/>
          <w:b/>
          <w:sz w:val="32"/>
          <w:szCs w:val="32"/>
        </w:rPr>
      </w:pPr>
      <w:r>
        <w:rPr>
          <w:rFonts w:ascii="宋体" w:eastAsia="仿宋" w:hAnsi="宋体" w:hint="eastAsia"/>
          <w:b/>
          <w:sz w:val="32"/>
          <w:szCs w:val="32"/>
        </w:rPr>
        <w:t>四、</w:t>
      </w:r>
      <w:r>
        <w:rPr>
          <w:rFonts w:ascii="宋体" w:eastAsia="仿宋" w:hAnsi="宋体" w:hint="eastAsia"/>
          <w:b/>
          <w:sz w:val="32"/>
          <w:szCs w:val="32"/>
          <w:lang w:eastAsia="zh-CN"/>
        </w:rPr>
        <w:t>财政拨款</w:t>
      </w:r>
      <w:r>
        <w:rPr>
          <w:rFonts w:ascii="宋体" w:eastAsia="仿宋" w:hAnsi="宋体"/>
          <w:b/>
          <w:sz w:val="32"/>
          <w:szCs w:val="32"/>
        </w:rPr>
        <w:t>“三公”经费</w:t>
      </w:r>
      <w:r>
        <w:rPr>
          <w:rFonts w:ascii="宋体" w:eastAsia="仿宋" w:hAnsi="宋体" w:hint="eastAsia"/>
          <w:b/>
          <w:sz w:val="32"/>
          <w:szCs w:val="32"/>
          <w:lang w:eastAsia="zh-CN"/>
        </w:rPr>
        <w:t>预算</w:t>
      </w:r>
      <w:r>
        <w:rPr>
          <w:rFonts w:ascii="宋体" w:eastAsia="仿宋" w:hAnsi="宋体"/>
          <w:b/>
          <w:sz w:val="32"/>
          <w:szCs w:val="32"/>
        </w:rPr>
        <w:t>情况</w:t>
      </w:r>
    </w:p>
    <w:p>
      <w:pPr>
        <w:widowControl/>
        <w:snapToGrid w:val="0"/>
        <w:spacing w:line="588" w:lineRule="exact"/>
        <w:ind w:firstLineChars="200" w:firstLine="640"/>
        <w:rPr>
          <w:rFonts w:ascii="宋体" w:eastAsia="方正仿宋简体" w:cs="方正仿宋简体" w:hAnsi="宋体" w:hint="eastAsia"/>
          <w:sz w:val="32"/>
          <w:szCs w:val="32"/>
        </w:rPr>
      </w:pPr>
      <w:r>
        <w:rPr>
          <w:rFonts w:ascii="宋体" w:eastAsia="方正仿宋简体" w:cs="方正仿宋简体" w:hAnsi="宋体" w:hint="eastAsia"/>
          <w:sz w:val="32"/>
          <w:szCs w:val="32"/>
        </w:rPr>
        <w:t>20</w:t>
      </w:r>
      <w:r>
        <w:rPr>
          <w:rFonts w:ascii="宋体" w:eastAsia="方正仿宋简体" w:cs="方正仿宋简体" w:hAnsi="宋体" w:hint="eastAsia"/>
          <w:sz w:val="32"/>
          <w:szCs w:val="32"/>
          <w:lang w:val="en-US" w:eastAsia="zh-CN"/>
        </w:rPr>
        <w:t>22</w:t>
      </w:r>
      <w:r>
        <w:rPr>
          <w:rFonts w:ascii="宋体" w:eastAsia="方正仿宋简体" w:cs="方正仿宋简体" w:hAnsi="宋体" w:hint="eastAsia"/>
          <w:sz w:val="32"/>
          <w:szCs w:val="32"/>
        </w:rPr>
        <w:t>年我部门“三公”经费预算安排18.9万元，</w:t>
      </w:r>
      <w:r>
        <w:rPr>
          <w:rFonts w:ascii="宋体" w:eastAsia="方正仿宋简体" w:cs="方正仿宋简体" w:hAnsi="宋体" w:hint="eastAsia"/>
          <w:sz w:val="32"/>
          <w:szCs w:val="32"/>
          <w:lang w:eastAsia="zh-CN"/>
        </w:rPr>
        <w:t>与</w:t>
      </w:r>
      <w:r>
        <w:rPr>
          <w:rFonts w:ascii="宋体" w:eastAsia="方正仿宋简体" w:cs="方正仿宋简体" w:hAnsi="宋体" w:hint="eastAsia"/>
          <w:sz w:val="32"/>
          <w:szCs w:val="32"/>
        </w:rPr>
        <w:t>上年预算</w:t>
      </w:r>
      <w:r>
        <w:rPr>
          <w:rFonts w:ascii="宋体" w:eastAsia="方正仿宋简体" w:cs="方正仿宋简体" w:hAnsi="宋体" w:hint="eastAsia"/>
          <w:sz w:val="32"/>
          <w:szCs w:val="32"/>
          <w:lang w:eastAsia="zh-CN"/>
        </w:rPr>
        <w:t>相比无变化</w:t>
      </w:r>
      <w:r>
        <w:rPr>
          <w:rFonts w:ascii="宋体" w:eastAsia="方正仿宋简体" w:cs="方正仿宋简体" w:hAnsi="宋体" w:hint="eastAsia"/>
          <w:sz w:val="32"/>
          <w:szCs w:val="32"/>
        </w:rPr>
        <w:t xml:space="preserve">。具体安排情况为： </w:t>
      </w:r>
    </w:p>
    <w:p>
      <w:pPr>
        <w:widowControl/>
        <w:numPr>
          <w:ilvl w:val="0"/>
          <w:numId w:val="1"/>
        </w:numPr>
        <w:snapToGrid w:val="0"/>
        <w:spacing w:line="588" w:lineRule="exact"/>
        <w:ind w:left="0" w:firstLineChars="200" w:firstLine="640"/>
        <w:rPr>
          <w:rFonts w:ascii="宋体" w:eastAsia="方正仿宋简体" w:cs="方正仿宋简体" w:hAnsi="宋体" w:hint="eastAsia"/>
          <w:sz w:val="32"/>
          <w:szCs w:val="32"/>
        </w:rPr>
      </w:pPr>
      <w:r>
        <w:rPr>
          <w:rFonts w:ascii="宋体" w:eastAsia="方正仿宋简体" w:cs="方正仿宋简体" w:hAnsi="宋体" w:hint="eastAsia"/>
          <w:sz w:val="32"/>
          <w:szCs w:val="32"/>
        </w:rPr>
        <w:t>公务用车购置及运行费。共计安排18万元，与20</w:t>
      </w:r>
      <w:r>
        <w:rPr>
          <w:rFonts w:ascii="宋体" w:eastAsia="方正仿宋简体" w:cs="方正仿宋简体" w:hAnsi="宋体" w:hint="eastAsia"/>
          <w:sz w:val="32"/>
          <w:szCs w:val="32"/>
          <w:lang w:val="en-US" w:eastAsia="zh-CN"/>
        </w:rPr>
        <w:t>21</w:t>
      </w:r>
      <w:r>
        <w:rPr>
          <w:rFonts w:ascii="宋体" w:eastAsia="方正仿宋简体" w:cs="方正仿宋简体" w:hAnsi="宋体" w:hint="eastAsia"/>
          <w:sz w:val="32"/>
          <w:szCs w:val="32"/>
        </w:rPr>
        <w:t>年预算相比无变化。①公务用车购置安排0万元。②公车运行维护经费安排18万元，与上年预算相比无变化。</w:t>
      </w:r>
    </w:p>
    <w:p>
      <w:pPr>
        <w:widowControl/>
        <w:numPr>
          <w:ilvl w:val="0"/>
          <w:numId w:val="1"/>
        </w:numPr>
        <w:snapToGrid w:val="0"/>
        <w:spacing w:line="588" w:lineRule="exact"/>
        <w:ind w:left="0" w:firstLineChars="200" w:firstLine="640"/>
        <w:rPr>
          <w:rFonts w:ascii="宋体" w:eastAsia="方正仿宋简体" w:cs="方正仿宋简体" w:hAnsi="宋体" w:hint="eastAsia"/>
          <w:sz w:val="32"/>
          <w:szCs w:val="32"/>
        </w:rPr>
      </w:pPr>
      <w:r>
        <w:rPr>
          <w:rFonts w:ascii="宋体" w:eastAsia="方正仿宋简体" w:cs="方正仿宋简体" w:hAnsi="宋体" w:hint="eastAsia"/>
          <w:sz w:val="32"/>
          <w:szCs w:val="32"/>
        </w:rPr>
        <w:t>公务接待费。安排0.9万元，与20</w:t>
      </w:r>
      <w:r>
        <w:rPr>
          <w:rFonts w:ascii="宋体" w:eastAsia="方正仿宋简体" w:cs="方正仿宋简体" w:hAnsi="宋体" w:hint="eastAsia"/>
          <w:sz w:val="32"/>
          <w:szCs w:val="32"/>
          <w:lang w:val="en-US" w:eastAsia="zh-CN"/>
        </w:rPr>
        <w:t>21</w:t>
      </w:r>
      <w:r>
        <w:rPr>
          <w:rFonts w:ascii="宋体" w:eastAsia="方正仿宋简体" w:cs="方正仿宋简体" w:hAnsi="宋体" w:hint="eastAsia"/>
          <w:sz w:val="32"/>
          <w:szCs w:val="32"/>
        </w:rPr>
        <w:t>年相比无变化。</w:t>
      </w:r>
    </w:p>
    <w:p>
      <w:pPr>
        <w:widowControl/>
        <w:numPr>
          <w:ilvl w:val="0"/>
          <w:numId w:val="1"/>
        </w:numPr>
        <w:snapToGrid w:val="0"/>
        <w:spacing w:line="588" w:lineRule="exact"/>
        <w:ind w:left="0" w:firstLineChars="200" w:firstLine="640"/>
        <w:rPr>
          <w:rFonts w:ascii="宋体" w:eastAsia="方正仿宋简体" w:cs="方正仿宋简体" w:hAnsi="宋体" w:hint="eastAsia"/>
          <w:sz w:val="32"/>
          <w:szCs w:val="32"/>
        </w:rPr>
      </w:pPr>
      <w:r>
        <w:rPr>
          <w:rFonts w:ascii="宋体" w:eastAsia="方正仿宋简体" w:cs="方正仿宋简体" w:hAnsi="宋体" w:hint="eastAsia"/>
          <w:sz w:val="32"/>
          <w:szCs w:val="32"/>
        </w:rPr>
        <w:t>因公出国（境）费。安排0万元, 与20</w:t>
      </w:r>
      <w:r>
        <w:rPr>
          <w:rFonts w:ascii="宋体" w:eastAsia="方正仿宋简体" w:cs="方正仿宋简体" w:hAnsi="宋体" w:hint="eastAsia"/>
          <w:sz w:val="32"/>
          <w:szCs w:val="32"/>
          <w:lang w:val="en-US" w:eastAsia="zh-CN"/>
        </w:rPr>
        <w:t>21</w:t>
      </w:r>
      <w:r>
        <w:rPr>
          <w:rFonts w:ascii="宋体" w:eastAsia="方正仿宋简体" w:cs="方正仿宋简体" w:hAnsi="宋体" w:hint="eastAsia"/>
          <w:sz w:val="32"/>
          <w:szCs w:val="32"/>
        </w:rPr>
        <w:t>年相比无变化。</w:t>
      </w:r>
    </w:p>
    <w:p>
      <w:pPr>
        <w:keepNext w:val="0"/>
        <w:keepLines w:val="0"/>
        <w:pageBreakBefore w:val="0"/>
        <w:widowControl/>
        <w:numPr>
          <w:ilvl w:val="0"/>
          <w:numId w:val="2"/>
        </w:numPr>
        <w:kinsoku/>
        <w:wordWrap/>
        <w:overflowPunct/>
        <w:topLinePunct w:val="0"/>
        <w:autoSpaceDE/>
        <w:autoSpaceDN/>
        <w:bidi w:val="0"/>
        <w:adjustRightInd/>
        <w:snapToGrid w:val="0"/>
        <w:spacing w:line="580" w:lineRule="exact"/>
        <w:ind w:left="0" w:firstLineChars="200" w:firstLine="640"/>
        <w:jc w:val="both"/>
        <w:textAlignment w:val="auto"/>
        <w:rPr>
          <w:rFonts w:ascii="方正仿宋简体" w:eastAsia="方正仿宋简体" w:cs="方正仿宋简体" w:hint="eastAsia"/>
          <w:b/>
          <w:sz w:val="32"/>
          <w:szCs w:val="32"/>
        </w:rPr>
      </w:pPr>
      <w:r>
        <w:rPr>
          <w:rFonts w:ascii="方正仿宋简体" w:eastAsia="方正仿宋简体" w:cs="方正仿宋简体" w:hint="eastAsia"/>
          <w:b/>
          <w:sz w:val="32"/>
          <w:szCs w:val="32"/>
          <w:lang w:eastAsia="zh-CN"/>
        </w:rPr>
        <w:t>预算绩效信息情况</w:t>
      </w:r>
    </w:p>
    <w:p>
      <w:pPr>
        <w:keepNext w:val="0"/>
        <w:keepLines w:val="0"/>
        <w:pageBreakBefore w:val="0"/>
        <w:widowControl w:val="0"/>
        <w:kinsoku/>
        <w:wordWrap/>
        <w:overflowPunct/>
        <w:topLinePunct w:val="0"/>
        <w:autoSpaceDE/>
        <w:autoSpaceDN/>
        <w:bidi w:val="0"/>
        <w:adjustRightInd/>
        <w:spacing w:line="580" w:lineRule="exact"/>
        <w:ind w:firstLineChars="200" w:firstLine="640"/>
        <w:jc w:val="left"/>
        <w:textAlignment w:val="auto"/>
        <w:rPr>
          <w:rFonts w:ascii="宋体" w:eastAsia="方正仿宋简体" w:cs="方正仿宋简体" w:hAnsi="宋体" w:hint="eastAsia"/>
          <w:sz w:val="32"/>
          <w:szCs w:val="32"/>
        </w:rPr>
      </w:pPr>
      <w:r>
        <w:rPr>
          <w:rFonts w:ascii="宋体" w:eastAsia="方正仿宋简体" w:cs="方正仿宋简体" w:hAnsi="宋体" w:hint="eastAsia"/>
          <w:sz w:val="32"/>
          <w:szCs w:val="32"/>
        </w:rPr>
        <w:t>（一）总体绩效目标</w:t>
      </w:r>
    </w:p>
    <w:p>
      <w:pPr>
        <w:keepNext w:val="0"/>
        <w:keepLines w:val="0"/>
        <w:pageBreakBefore w:val="0"/>
        <w:widowControl w:val="0"/>
        <w:kinsoku/>
        <w:wordWrap/>
        <w:overflowPunct/>
        <w:topLinePunct w:val="0"/>
        <w:autoSpaceDE/>
        <w:autoSpaceDN/>
        <w:bidi w:val="0"/>
        <w:adjustRightInd/>
        <w:spacing w:line="580" w:lineRule="exact"/>
        <w:ind w:firstLineChars="200" w:firstLine="640"/>
        <w:jc w:val="left"/>
        <w:textAlignment w:val="auto"/>
        <w:rPr>
          <w:rFonts w:ascii="宋体" w:eastAsia="方正仿宋简体" w:cs="方正仿宋简体" w:hAnsi="宋体" w:hint="eastAsia"/>
          <w:sz w:val="32"/>
          <w:szCs w:val="32"/>
        </w:rPr>
      </w:pPr>
      <w:r>
        <w:rPr>
          <w:rFonts w:ascii="宋体" w:eastAsia="方正仿宋简体" w:cs="方正仿宋简体" w:hAnsi="宋体" w:hint="eastAsia"/>
          <w:sz w:val="32"/>
          <w:szCs w:val="32"/>
        </w:rPr>
        <w:t>推动党中央和省委、市委、区委决策部署的贯彻落实，按照区委要求统筹协调有关方面开展工作，承担区委运行保障具体事务；区委日常文书处理，区委文件和区委办公室文件的审核工作；贯彻落实党内法规和规范性文件等工作，统筹协调和督促指导全区党务公开工作；区委全委会、区委常委会和区委其他重要会议的会务工作，区委领导参加重大活动和日常工作活动的组织安排；区委和区委办公室文件、区委主要领导日常文稿和有关区领导讲话稿的起草、修改等工作；围绕党中央和省委、市委、区委总体工作部署开展调查研究，收集和处理信息、反映动态，组织编写信息刊物，全区党委信息系统的协调和指导；组织贯彻落实国家和省、市有关公共机构节能工作的方针、政策和工作部署；推进、指导、协调、监督全区公共机构节能工作；完成上级和区委交办的督查任务，协调有关部门抓好区委重大决策的落实；围绕区委重点工作开展调研，为区委决策提供参谋意见；负责区委改革的日常工作，综合协调区委交办的改革方面的相关工作；区委全面从严治党主体责任的日常工作，综合协调区委交办的全面从严治党方面的相关工作；完成区委交办的其他任务。</w:t>
      </w:r>
    </w:p>
    <w:p>
      <w:pPr>
        <w:keepNext w:val="0"/>
        <w:keepLines w:val="0"/>
        <w:pageBreakBefore w:val="0"/>
        <w:widowControl w:val="0"/>
        <w:kinsoku/>
        <w:wordWrap/>
        <w:overflowPunct/>
        <w:topLinePunct w:val="0"/>
        <w:autoSpaceDE/>
        <w:autoSpaceDN/>
        <w:bidi w:val="0"/>
        <w:adjustRightInd/>
        <w:spacing w:line="580" w:lineRule="exact"/>
        <w:ind w:firstLineChars="200" w:firstLine="640"/>
        <w:jc w:val="left"/>
        <w:textAlignment w:val="auto"/>
        <w:rPr>
          <w:rFonts w:ascii="宋体" w:eastAsia="方正仿宋简体" w:cs="方正仿宋简体" w:hAnsi="宋体" w:hint="eastAsia"/>
          <w:sz w:val="32"/>
          <w:szCs w:val="32"/>
        </w:rPr>
      </w:pPr>
      <w:r>
        <w:rPr>
          <w:rFonts w:ascii="宋体" w:eastAsia="方正仿宋简体" w:cs="方正仿宋简体" w:hAnsi="宋体" w:hint="eastAsia"/>
          <w:sz w:val="32"/>
          <w:szCs w:val="32"/>
        </w:rPr>
        <w:t>（二）分项绩效目标</w:t>
      </w:r>
    </w:p>
    <w:p>
      <w:pPr>
        <w:pStyle w:val="22"/>
        <w:rPr>
          <w:rFonts w:ascii="宋体" w:eastAsia="方正仿宋简体" w:cs="方正仿宋简体" w:hAnsi="宋体" w:hint="eastAsia"/>
          <w:sz w:val="32"/>
          <w:szCs w:val="32"/>
        </w:rPr>
      </w:pPr>
      <w:r>
        <w:rPr>
          <w:rFonts w:ascii="宋体" w:eastAsia="方正仿宋简体" w:cs="方正仿宋简体" w:hAnsi="宋体" w:hint="eastAsia"/>
          <w:sz w:val="32"/>
          <w:szCs w:val="32"/>
        </w:rPr>
        <w:t>1、公文运转</w:t>
      </w:r>
    </w:p>
    <w:p>
      <w:pPr>
        <w:pStyle w:val="22"/>
        <w:rPr>
          <w:rFonts w:ascii="宋体" w:eastAsia="方正仿宋简体" w:cs="方正仿宋简体" w:hAnsi="宋体" w:hint="eastAsia"/>
          <w:sz w:val="32"/>
          <w:szCs w:val="32"/>
        </w:rPr>
      </w:pPr>
      <w:r>
        <w:rPr>
          <w:rFonts w:ascii="宋体" w:eastAsia="方正仿宋简体" w:cs="方正仿宋简体" w:hAnsi="宋体" w:hint="eastAsia"/>
          <w:sz w:val="32"/>
          <w:szCs w:val="32"/>
        </w:rPr>
        <w:t>绩效目标：改进公文办理，规范流程，做到零滞留、无差错、公文审核严谨高效，增强区委文件的权威性。加强文稿前期介入，打造精品文稿。</w:t>
      </w:r>
    </w:p>
    <w:p>
      <w:pPr>
        <w:pStyle w:val="22"/>
        <w:rPr>
          <w:rFonts w:ascii="宋体" w:eastAsia="方正仿宋简体" w:cs="方正仿宋简体" w:hAnsi="宋体" w:hint="eastAsia"/>
          <w:sz w:val="32"/>
          <w:szCs w:val="32"/>
        </w:rPr>
      </w:pPr>
      <w:r>
        <w:rPr>
          <w:rFonts w:ascii="宋体" w:eastAsia="方正仿宋简体" w:cs="方正仿宋简体" w:hAnsi="宋体" w:hint="eastAsia"/>
          <w:sz w:val="32"/>
          <w:szCs w:val="32"/>
        </w:rPr>
        <w:t>绩效指标：公文无差错率98%，当天办理公文100%无滞留。</w:t>
      </w:r>
    </w:p>
    <w:p>
      <w:pPr>
        <w:pStyle w:val="22"/>
        <w:rPr>
          <w:rFonts w:ascii="宋体" w:eastAsia="方正仿宋简体" w:cs="方正仿宋简体" w:hAnsi="宋体" w:hint="eastAsia"/>
          <w:sz w:val="32"/>
          <w:szCs w:val="32"/>
        </w:rPr>
      </w:pPr>
      <w:r>
        <w:rPr>
          <w:rFonts w:ascii="宋体" w:eastAsia="方正仿宋简体" w:cs="方正仿宋简体" w:hAnsi="宋体" w:hint="eastAsia"/>
          <w:sz w:val="32"/>
          <w:szCs w:val="32"/>
        </w:rPr>
        <w:t>2、协调区委大型会议和活动</w:t>
      </w:r>
    </w:p>
    <w:p>
      <w:pPr>
        <w:pStyle w:val="22"/>
        <w:rPr>
          <w:rFonts w:ascii="宋体" w:eastAsia="方正仿宋简体" w:cs="方正仿宋简体" w:hAnsi="宋体" w:hint="eastAsia"/>
          <w:sz w:val="32"/>
          <w:szCs w:val="32"/>
        </w:rPr>
      </w:pPr>
      <w:r>
        <w:rPr>
          <w:rFonts w:ascii="宋体" w:eastAsia="方正仿宋简体" w:cs="方正仿宋简体" w:hAnsi="宋体" w:hint="eastAsia"/>
          <w:sz w:val="32"/>
          <w:szCs w:val="32"/>
        </w:rPr>
        <w:t>绩效目标：加强区级层面重要会议活动的统筹协调，精心谋划组织好全区性重大会议活动，要从严从细谋划安排区委主要领导参加的重要会议活动。</w:t>
      </w:r>
    </w:p>
    <w:p>
      <w:pPr>
        <w:pStyle w:val="22"/>
        <w:rPr>
          <w:rFonts w:ascii="宋体" w:eastAsia="方正仿宋简体" w:cs="方正仿宋简体" w:hAnsi="宋体" w:hint="eastAsia"/>
          <w:sz w:val="32"/>
          <w:szCs w:val="32"/>
        </w:rPr>
      </w:pPr>
      <w:r>
        <w:rPr>
          <w:rFonts w:ascii="宋体" w:eastAsia="方正仿宋简体" w:cs="方正仿宋简体" w:hAnsi="宋体" w:hint="eastAsia"/>
          <w:sz w:val="32"/>
          <w:szCs w:val="32"/>
        </w:rPr>
        <w:t>绩效指标：会议活动成功率95%，印刷资料成本同行业最低，印刷文头每令不高于800元。</w:t>
      </w:r>
    </w:p>
    <w:p>
      <w:pPr>
        <w:pStyle w:val="22"/>
        <w:rPr>
          <w:rFonts w:ascii="宋体" w:eastAsia="方正仿宋简体" w:cs="方正仿宋简体" w:hAnsi="宋体" w:hint="eastAsia"/>
          <w:sz w:val="32"/>
          <w:szCs w:val="32"/>
        </w:rPr>
      </w:pPr>
      <w:r>
        <w:rPr>
          <w:rFonts w:ascii="宋体" w:eastAsia="方正仿宋简体" w:cs="方正仿宋简体" w:hAnsi="宋体" w:hint="eastAsia"/>
          <w:sz w:val="32"/>
          <w:szCs w:val="32"/>
        </w:rPr>
        <w:t>3、会务接待</w:t>
      </w:r>
    </w:p>
    <w:p>
      <w:pPr>
        <w:pStyle w:val="22"/>
        <w:rPr>
          <w:rFonts w:ascii="宋体" w:eastAsia="方正仿宋简体" w:cs="方正仿宋简体" w:hAnsi="宋体" w:hint="eastAsia"/>
          <w:sz w:val="32"/>
          <w:szCs w:val="32"/>
        </w:rPr>
      </w:pPr>
      <w:r>
        <w:rPr>
          <w:rFonts w:ascii="宋体" w:eastAsia="方正仿宋简体" w:cs="方正仿宋简体" w:hAnsi="宋体" w:hint="eastAsia"/>
          <w:sz w:val="32"/>
          <w:szCs w:val="32"/>
        </w:rPr>
        <w:t>绩效目标：严格执行中央八项规定，坚持热情周到、简洁简朴。严格执行接待标准、降低接待费规模。</w:t>
      </w:r>
    </w:p>
    <w:p>
      <w:pPr>
        <w:pStyle w:val="22"/>
        <w:rPr>
          <w:rFonts w:ascii="宋体" w:eastAsia="方正仿宋简体" w:cs="方正仿宋简体" w:hAnsi="宋体" w:hint="eastAsia"/>
          <w:sz w:val="32"/>
          <w:szCs w:val="32"/>
        </w:rPr>
      </w:pPr>
      <w:r>
        <w:rPr>
          <w:rFonts w:ascii="宋体" w:eastAsia="方正仿宋简体" w:cs="方正仿宋简体" w:hAnsi="宋体" w:hint="eastAsia"/>
          <w:sz w:val="32"/>
          <w:szCs w:val="32"/>
        </w:rPr>
        <w:t>绩效指标：中型会议室每天使用费不高于1500元。</w:t>
      </w:r>
    </w:p>
    <w:p>
      <w:pPr>
        <w:pStyle w:val="22"/>
        <w:rPr>
          <w:rFonts w:ascii="宋体" w:eastAsia="方正仿宋简体" w:cs="方正仿宋简体" w:hAnsi="宋体" w:hint="eastAsia"/>
          <w:sz w:val="32"/>
          <w:szCs w:val="32"/>
        </w:rPr>
      </w:pPr>
      <w:r>
        <w:rPr>
          <w:rFonts w:ascii="宋体" w:eastAsia="方正仿宋简体" w:cs="方正仿宋简体" w:hAnsi="宋体" w:hint="eastAsia"/>
          <w:sz w:val="32"/>
          <w:szCs w:val="32"/>
        </w:rPr>
        <w:t>4、公务内网建设与维护</w:t>
      </w:r>
    </w:p>
    <w:p>
      <w:pPr>
        <w:pStyle w:val="22"/>
        <w:rPr>
          <w:rFonts w:ascii="宋体" w:eastAsia="方正仿宋简体" w:cs="方正仿宋简体" w:hAnsi="宋体" w:hint="eastAsia"/>
          <w:sz w:val="32"/>
          <w:szCs w:val="32"/>
        </w:rPr>
      </w:pPr>
      <w:r>
        <w:rPr>
          <w:rFonts w:ascii="宋体" w:eastAsia="方正仿宋简体" w:cs="方正仿宋简体" w:hAnsi="宋体" w:hint="eastAsia"/>
          <w:sz w:val="32"/>
          <w:szCs w:val="32"/>
        </w:rPr>
        <w:t>绩效目标：数据资源丰富、数据正版、权威可靠、用户满意度高。线路通畅，系统运行稳定。</w:t>
      </w:r>
    </w:p>
    <w:p>
      <w:pPr>
        <w:pStyle w:val="22"/>
        <w:rPr>
          <w:rFonts w:ascii="宋体" w:eastAsia="方正仿宋简体" w:cs="方正仿宋简体" w:hAnsi="宋体" w:hint="eastAsia"/>
          <w:sz w:val="32"/>
          <w:szCs w:val="32"/>
        </w:rPr>
      </w:pPr>
      <w:r>
        <w:rPr>
          <w:rFonts w:ascii="宋体" w:eastAsia="方正仿宋简体" w:cs="方正仿宋简体" w:hAnsi="宋体" w:hint="eastAsia"/>
          <w:sz w:val="32"/>
          <w:szCs w:val="32"/>
        </w:rPr>
        <w:t>绩效指标：保持内网24小时线路通畅。</w:t>
      </w:r>
    </w:p>
    <w:p>
      <w:pPr>
        <w:pStyle w:val="22"/>
        <w:rPr>
          <w:rFonts w:ascii="宋体" w:eastAsia="方正仿宋简体" w:cs="方正仿宋简体" w:hAnsi="宋体" w:hint="eastAsia"/>
          <w:sz w:val="32"/>
          <w:szCs w:val="32"/>
        </w:rPr>
      </w:pPr>
      <w:r>
        <w:rPr>
          <w:rFonts w:ascii="宋体" w:eastAsia="方正仿宋简体" w:cs="方正仿宋简体" w:hAnsi="宋体" w:hint="eastAsia"/>
          <w:sz w:val="32"/>
          <w:szCs w:val="32"/>
        </w:rPr>
        <w:t>5、信息收集和督查调研</w:t>
      </w:r>
    </w:p>
    <w:p>
      <w:pPr>
        <w:pStyle w:val="22"/>
        <w:rPr>
          <w:rFonts w:ascii="宋体" w:eastAsia="方正仿宋简体" w:cs="方正仿宋简体" w:hAnsi="宋体" w:hint="eastAsia"/>
          <w:sz w:val="32"/>
          <w:szCs w:val="32"/>
        </w:rPr>
      </w:pPr>
      <w:r>
        <w:rPr>
          <w:rFonts w:ascii="宋体" w:eastAsia="方正仿宋简体" w:cs="方正仿宋简体" w:hAnsi="宋体" w:hint="eastAsia"/>
          <w:sz w:val="32"/>
          <w:szCs w:val="32"/>
        </w:rPr>
        <w:t>绩效目标：协调关系、化解矛盾、理顺情绪，增进社会各阶层不同利益群体的和谐与稳定；通过调研课题就党和政府关注的问题，提出客观、有价值、有分量、有影响的意见建议，促进决策民主化和科学化。</w:t>
      </w:r>
    </w:p>
    <w:p>
      <w:pPr>
        <w:keepNext w:val="0"/>
        <w:keepLines w:val="0"/>
        <w:pageBreakBefore w:val="0"/>
        <w:widowControl w:val="0"/>
        <w:kinsoku/>
        <w:wordWrap/>
        <w:overflowPunct/>
        <w:topLinePunct w:val="0"/>
        <w:autoSpaceDE/>
        <w:autoSpaceDN/>
        <w:bidi w:val="0"/>
        <w:adjustRightInd/>
        <w:spacing w:line="580" w:lineRule="exact"/>
        <w:ind w:firstLineChars="200" w:firstLine="640"/>
        <w:jc w:val="left"/>
        <w:textAlignment w:val="auto"/>
        <w:rPr>
          <w:rFonts w:ascii="宋体" w:eastAsia="方正仿宋简体" w:cs="方正仿宋简体" w:hAnsi="宋体" w:hint="eastAsia"/>
          <w:sz w:val="32"/>
          <w:szCs w:val="32"/>
        </w:rPr>
      </w:pPr>
      <w:r>
        <w:rPr>
          <w:rFonts w:ascii="宋体" w:eastAsia="方正仿宋简体" w:cs="方正仿宋简体" w:hAnsi="宋体" w:hint="eastAsia"/>
          <w:sz w:val="32"/>
          <w:szCs w:val="32"/>
        </w:rPr>
        <w:t>绩效指标：各项督查工作督办率大于95%。</w:t>
      </w:r>
    </w:p>
    <w:p>
      <w:pPr>
        <w:keepNext w:val="0"/>
        <w:keepLines w:val="0"/>
        <w:pageBreakBefore w:val="0"/>
        <w:widowControl w:val="0"/>
        <w:kinsoku/>
        <w:wordWrap/>
        <w:overflowPunct/>
        <w:topLinePunct w:val="0"/>
        <w:autoSpaceDE/>
        <w:autoSpaceDN/>
        <w:bidi w:val="0"/>
        <w:adjustRightInd/>
        <w:spacing w:line="580" w:lineRule="exact"/>
        <w:ind w:firstLineChars="200" w:firstLine="640"/>
        <w:jc w:val="left"/>
        <w:textAlignment w:val="auto"/>
        <w:rPr>
          <w:rFonts w:ascii="宋体" w:eastAsia="方正仿宋简体" w:cs="方正仿宋简体" w:hAnsi="宋体" w:hint="eastAsia"/>
          <w:sz w:val="32"/>
          <w:szCs w:val="32"/>
        </w:rPr>
      </w:pPr>
      <w:r>
        <w:rPr>
          <w:rFonts w:ascii="宋体" w:eastAsia="方正仿宋简体" w:cs="方正仿宋简体" w:hAnsi="宋体" w:hint="eastAsia"/>
          <w:sz w:val="32"/>
          <w:szCs w:val="32"/>
        </w:rPr>
        <w:t>（三）工作保障措施</w:t>
      </w:r>
    </w:p>
    <w:p>
      <w:pPr>
        <w:pStyle w:val="23"/>
        <w:rPr>
          <w:rFonts w:ascii="宋体" w:eastAsia="方正仿宋简体" w:cs="方正仿宋简体" w:hAnsi="宋体" w:hint="eastAsia"/>
          <w:sz w:val="32"/>
          <w:szCs w:val="32"/>
        </w:rPr>
      </w:pPr>
      <w:r>
        <w:rPr>
          <w:rFonts w:ascii="宋体" w:eastAsia="方正仿宋简体" w:cs="方正仿宋简体" w:hAnsi="宋体" w:hint="eastAsia"/>
          <w:sz w:val="32"/>
          <w:szCs w:val="32"/>
        </w:rPr>
        <w:t>2022年，区委办公室将进一步紧紧围绕全区中心工作，着眼大局当参谋、总揽全局搞协调、突出重点抓督查、立足全局保运转，奋力推进区委办公室工作取得新业绩，再上新台阶。</w:t>
      </w:r>
    </w:p>
    <w:p>
      <w:pPr>
        <w:pStyle w:val="23"/>
        <w:rPr>
          <w:rFonts w:ascii="宋体" w:eastAsia="方正仿宋简体" w:cs="方正仿宋简体" w:hAnsi="宋体" w:hint="eastAsia"/>
          <w:sz w:val="32"/>
          <w:szCs w:val="32"/>
        </w:rPr>
      </w:pPr>
      <w:r>
        <w:rPr>
          <w:rFonts w:ascii="宋体" w:eastAsia="方正仿宋简体" w:cs="方正仿宋简体" w:hAnsi="宋体" w:hint="eastAsia"/>
          <w:sz w:val="32"/>
          <w:szCs w:val="32"/>
        </w:rPr>
        <w:t>（一）高站位起草综合文稿。遵循“以文辅政、精益求精”的工作理念，坚持站位求高、思路求新、内容求实、文字求精，着力在提高文稿起草质量、增强以文辅政能力上下功夫。</w:t>
      </w:r>
    </w:p>
    <w:p>
      <w:pPr>
        <w:pStyle w:val="23"/>
        <w:rPr>
          <w:rFonts w:ascii="宋体" w:eastAsia="方正仿宋简体" w:cs="方正仿宋简体" w:hAnsi="宋体" w:hint="eastAsia"/>
          <w:sz w:val="32"/>
          <w:szCs w:val="32"/>
        </w:rPr>
      </w:pPr>
      <w:r>
        <w:rPr>
          <w:rFonts w:ascii="宋体" w:eastAsia="方正仿宋简体" w:cs="方正仿宋简体" w:hAnsi="宋体" w:hint="eastAsia"/>
          <w:sz w:val="32"/>
          <w:szCs w:val="32"/>
        </w:rPr>
        <w:t>（二）深入扎实开展调查研究。围绕区委重点工作，深入一线调研，及时了解群众愿望，认真研究基层实际，探索服务高质量发展的新思路、新办法，努力为区委决策建言献策，形成一批有分量的调研成果。</w:t>
      </w:r>
    </w:p>
    <w:p>
      <w:pPr>
        <w:pStyle w:val="23"/>
        <w:rPr>
          <w:rFonts w:ascii="宋体" w:eastAsia="方正仿宋简体" w:cs="方正仿宋简体" w:hAnsi="宋体" w:hint="eastAsia"/>
          <w:sz w:val="32"/>
          <w:szCs w:val="32"/>
        </w:rPr>
      </w:pPr>
      <w:r>
        <w:rPr>
          <w:rFonts w:ascii="宋体" w:eastAsia="方正仿宋简体" w:cs="方正仿宋简体" w:hAnsi="宋体" w:hint="eastAsia"/>
          <w:sz w:val="32"/>
          <w:szCs w:val="32"/>
        </w:rPr>
        <w:t>（三）全面推进深化改革。坚持市达任务与区级任务双轨同步推进，积极总结推广改革经验。</w:t>
      </w:r>
    </w:p>
    <w:p>
      <w:pPr>
        <w:pStyle w:val="23"/>
        <w:rPr>
          <w:rFonts w:ascii="宋体" w:eastAsia="方正仿宋简体" w:cs="方正仿宋简体" w:hAnsi="宋体" w:hint="eastAsia"/>
          <w:sz w:val="32"/>
          <w:szCs w:val="32"/>
        </w:rPr>
      </w:pPr>
      <w:r>
        <w:rPr>
          <w:rFonts w:ascii="宋体" w:eastAsia="方正仿宋简体" w:cs="方正仿宋简体" w:hAnsi="宋体" w:hint="eastAsia"/>
          <w:sz w:val="32"/>
          <w:szCs w:val="32"/>
        </w:rPr>
        <w:t>（四）积极拓宽延伸信息渠道。坚持重策划、选准题、出精品的工作理念，深入研究新形势下领导对信息工作的需求，积极拓展信息的广度和深度，当好“千里眼”和“顺风耳”。</w:t>
      </w:r>
    </w:p>
    <w:p>
      <w:pPr>
        <w:pStyle w:val="23"/>
        <w:rPr>
          <w:rFonts w:ascii="宋体" w:eastAsia="方正仿宋简体" w:cs="方正仿宋简体" w:hAnsi="宋体" w:hint="eastAsia"/>
          <w:sz w:val="32"/>
          <w:szCs w:val="32"/>
        </w:rPr>
      </w:pPr>
      <w:r>
        <w:rPr>
          <w:rFonts w:ascii="宋体" w:eastAsia="方正仿宋简体" w:cs="方正仿宋简体" w:hAnsi="宋体" w:hint="eastAsia"/>
          <w:sz w:val="32"/>
          <w:szCs w:val="32"/>
        </w:rPr>
        <w:t>（五）精心组织会务活动。坚持科学规范的理念，精心设计会议形式、议程、参加人员等工作细节，出色完成区委全会等全区性会议的组织工作。</w:t>
      </w:r>
    </w:p>
    <w:p>
      <w:pPr>
        <w:pStyle w:val="23"/>
        <w:rPr>
          <w:rFonts w:ascii="宋体" w:eastAsia="方正仿宋简体" w:cs="方正仿宋简体" w:hAnsi="宋体" w:hint="eastAsia"/>
          <w:sz w:val="32"/>
          <w:szCs w:val="32"/>
        </w:rPr>
      </w:pPr>
      <w:r>
        <w:rPr>
          <w:rFonts w:ascii="宋体" w:eastAsia="方正仿宋简体" w:cs="方正仿宋简体" w:hAnsi="宋体" w:hint="eastAsia"/>
          <w:sz w:val="32"/>
          <w:szCs w:val="32"/>
        </w:rPr>
        <w:t>（六）构筑全员大督查格局。围绕落实市“十项重点工作”和全区重点工作，给办公室每位科级干部及各科室分配督查任务，充分调动方方面面的力量，形成督查工作的强大合力。</w:t>
      </w:r>
    </w:p>
    <w:p>
      <w:pPr>
        <w:pStyle w:val="23"/>
        <w:rPr>
          <w:rFonts w:ascii="宋体" w:eastAsia="方正仿宋简体" w:cs="方正仿宋简体" w:hAnsi="宋体" w:hint="eastAsia"/>
          <w:sz w:val="32"/>
          <w:szCs w:val="32"/>
        </w:rPr>
      </w:pPr>
      <w:r>
        <w:rPr>
          <w:rFonts w:ascii="宋体" w:eastAsia="方正仿宋简体" w:cs="方正仿宋简体" w:hAnsi="宋体" w:hint="eastAsia"/>
          <w:sz w:val="32"/>
          <w:szCs w:val="32"/>
        </w:rPr>
        <w:t>（七）全面推进机关党的建设。始终坚持“党管宣传、党管意识形态”的原则，认真落实意识形态。</w:t>
      </w:r>
    </w:p>
    <w:p>
      <w:pPr>
        <w:pStyle w:val="23"/>
        <w:rPr>
          <w:rFonts w:ascii="宋体" w:eastAsia="方正仿宋简体" w:cs="方正仿宋简体" w:hAnsi="宋体" w:hint="eastAsia"/>
          <w:sz w:val="32"/>
          <w:szCs w:val="32"/>
        </w:rPr>
      </w:pPr>
      <w:r>
        <w:rPr>
          <w:rFonts w:ascii="宋体" w:eastAsia="方正仿宋简体" w:cs="方正仿宋简体" w:hAnsi="宋体" w:hint="eastAsia"/>
          <w:sz w:val="32"/>
          <w:szCs w:val="32"/>
        </w:rPr>
        <w:t>（八）认真履行主体责任。发挥牵头抓总作用，强力推进中央和省委巡视整改工作落实。综合协调区委交办的从严治党方面的相关工作。</w:t>
      </w:r>
    </w:p>
    <w:p>
      <w:pPr>
        <w:pStyle w:val="23"/>
        <w:rPr>
          <w:rFonts w:ascii="宋体" w:eastAsia="方正仿宋简体" w:cs="方正仿宋简体" w:hAnsi="宋体" w:hint="eastAsia"/>
          <w:sz w:val="32"/>
          <w:szCs w:val="32"/>
        </w:rPr>
      </w:pPr>
      <w:r>
        <w:rPr>
          <w:rFonts w:ascii="宋体" w:eastAsia="方正仿宋简体" w:cs="方正仿宋简体" w:hAnsi="宋体" w:hint="eastAsia"/>
          <w:sz w:val="32"/>
          <w:szCs w:val="32"/>
        </w:rPr>
        <w:t>（九）不断加强绩效管理，采取措施，控制偏差，保证绩效目标的实现。</w:t>
      </w:r>
    </w:p>
    <w:p>
      <w:pPr>
        <w:pStyle w:val="23"/>
        <w:rPr>
          <w:rFonts w:ascii="宋体" w:eastAsia="方正仿宋简体" w:cs="方正仿宋简体" w:hAnsi="宋体" w:hint="eastAsia"/>
          <w:sz w:val="32"/>
          <w:szCs w:val="32"/>
        </w:rPr>
      </w:pPr>
      <w:r>
        <w:rPr>
          <w:rFonts w:ascii="宋体" w:eastAsia="方正仿宋简体" w:cs="方正仿宋简体" w:hAnsi="宋体" w:hint="eastAsia"/>
          <w:sz w:val="32"/>
          <w:szCs w:val="32"/>
        </w:rPr>
        <w:t>1、完善制度建设。制定完善预算绩效、资金管理办法管理制度、资金管理办法，工作保障制度等，为全年预算绩效目标的实现奠定制度基础。</w:t>
      </w:r>
    </w:p>
    <w:p>
      <w:pPr>
        <w:pStyle w:val="23"/>
        <w:rPr>
          <w:rFonts w:ascii="宋体" w:eastAsia="方正仿宋简体" w:cs="方正仿宋简体" w:hAnsi="宋体" w:hint="eastAsia"/>
          <w:sz w:val="32"/>
          <w:szCs w:val="32"/>
        </w:rPr>
      </w:pPr>
      <w:r>
        <w:rPr>
          <w:rFonts w:ascii="宋体" w:eastAsia="方正仿宋简体" w:cs="方正仿宋简体" w:hAnsi="宋体" w:hint="eastAsia"/>
          <w:sz w:val="32"/>
          <w:szCs w:val="32"/>
        </w:rPr>
        <w:t>2、加强支出管理。通过优化支出结构，编细编实预算，加快各项工作启动和进程，及时支付资金，按规定及时到支付中心审核票据，确保支出进度达标。</w:t>
      </w:r>
    </w:p>
    <w:p>
      <w:pPr>
        <w:pStyle w:val="23"/>
        <w:rPr>
          <w:rFonts w:ascii="宋体" w:eastAsia="方正仿宋简体" w:cs="方正仿宋简体" w:hAnsi="宋体" w:hint="eastAsia"/>
          <w:sz w:val="32"/>
          <w:szCs w:val="32"/>
        </w:rPr>
      </w:pPr>
      <w:r>
        <w:rPr>
          <w:rFonts w:ascii="宋体" w:eastAsia="方正仿宋简体" w:cs="方正仿宋简体" w:hAnsi="宋体" w:hint="eastAsia"/>
          <w:sz w:val="32"/>
          <w:szCs w:val="32"/>
        </w:rPr>
        <w:t>3、加强绩效运行监控。按要求开展绩效运行监控，发现问题及时采取措施，确保绩效目标如期保质实现。</w:t>
      </w:r>
    </w:p>
    <w:p>
      <w:pPr>
        <w:pStyle w:val="23"/>
        <w:rPr>
          <w:rFonts w:ascii="宋体" w:eastAsia="方正仿宋简体" w:cs="方正仿宋简体" w:hAnsi="宋体" w:hint="eastAsia"/>
          <w:sz w:val="32"/>
          <w:szCs w:val="32"/>
        </w:rPr>
      </w:pPr>
      <w:r>
        <w:rPr>
          <w:rFonts w:ascii="宋体" w:eastAsia="方正仿宋简体" w:cs="方正仿宋简体" w:hAnsi="宋体" w:hint="eastAsia"/>
          <w:sz w:val="32"/>
          <w:szCs w:val="32"/>
        </w:rPr>
        <w:t>4、做好绩效自评。按要求开展上年度部门预算绩效自评和重点评价工作，对评价中发现的问题及时整改，调整优化支出结构，提高财政资金使用效益。</w:t>
      </w:r>
    </w:p>
    <w:p>
      <w:pPr>
        <w:pStyle w:val="23"/>
        <w:rPr>
          <w:rFonts w:ascii="宋体" w:eastAsia="方正仿宋简体" w:cs="方正仿宋简体" w:hAnsi="宋体" w:hint="eastAsia"/>
          <w:sz w:val="32"/>
          <w:szCs w:val="32"/>
        </w:rPr>
      </w:pPr>
      <w:r>
        <w:rPr>
          <w:rFonts w:ascii="宋体" w:eastAsia="方正仿宋简体" w:cs="方正仿宋简体" w:hAnsi="宋体" w:hint="eastAsia"/>
          <w:sz w:val="32"/>
          <w:szCs w:val="32"/>
        </w:rPr>
        <w:t>5、规范财务资产管理。完善财务管理制度，严格审批程序，加强固定资产登记、使用和报废处置管理，做到支出合理，物尽其用。</w:t>
      </w:r>
    </w:p>
    <w:p>
      <w:pPr>
        <w:pStyle w:val="23"/>
        <w:rPr>
          <w:rFonts w:ascii="宋体" w:eastAsia="方正仿宋简体" w:cs="方正仿宋简体" w:hAnsi="宋体" w:hint="eastAsia"/>
          <w:sz w:val="32"/>
          <w:szCs w:val="32"/>
        </w:rPr>
      </w:pPr>
      <w:r>
        <w:rPr>
          <w:rFonts w:ascii="宋体" w:eastAsia="方正仿宋简体" w:cs="方正仿宋简体" w:hAnsi="宋体" w:hint="eastAsia"/>
          <w:sz w:val="32"/>
          <w:szCs w:val="32"/>
        </w:rPr>
        <w:t>6、加强内部监督。加强内部监督制度建设，对绩效运行情况、重大支出决策、资产处置及其他重要财务事项的决策和执行进行督导，对会计资料进行内部审计，并配合做好审计、财政监督等外部监督工作，确保财政资金安全有效。</w:t>
      </w:r>
    </w:p>
    <w:p>
      <w:pPr>
        <w:pStyle w:val="23"/>
        <w:rPr>
          <w:rFonts w:ascii="宋体" w:eastAsia="方正仿宋简体" w:cs="方正仿宋简体" w:hAnsi="宋体" w:hint="eastAsia"/>
          <w:sz w:val="32"/>
          <w:szCs w:val="32"/>
        </w:rPr>
      </w:pPr>
      <w:r>
        <w:rPr>
          <w:rFonts w:ascii="宋体" w:eastAsia="方正仿宋简体" w:cs="方正仿宋简体" w:hAnsi="宋体" w:hint="eastAsia"/>
          <w:sz w:val="32"/>
          <w:szCs w:val="32"/>
        </w:rPr>
        <w:t>7、加强宣传培训调研等。加强人员培训，提高职工业务素质；加强调研，提出优化财政资金配置、提高资金使用效益的意见；加大宣传力度，强化预算绩效管理意识，促进预算绩效管理水平进一步提升。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宋体"/>
          <w:b/>
          <w:sz w:val="32"/>
          <w:szCs w:val="32"/>
        </w:rPr>
      </w:pPr>
      <w:r>
        <w:rPr>
          <w:rFonts w:ascii="宋体" w:hint="eastAsia"/>
          <w:b/>
          <w:sz w:val="32"/>
          <w:szCs w:val="32"/>
        </w:rPr>
        <w:t>六、政府采购预算情况</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宋体" w:eastAsia="仿宋" w:hAnsi="宋体"/>
          <w:sz w:val="32"/>
          <w:szCs w:val="32"/>
        </w:rPr>
      </w:pPr>
      <w:r>
        <w:rPr>
          <w:rFonts w:ascii="宋体" w:eastAsia="仿宋" w:hAnsi="宋体" w:hint="eastAsia"/>
          <w:sz w:val="32"/>
          <w:szCs w:val="32"/>
        </w:rPr>
        <w:t>无</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宋体" w:eastAsia="仿宋" w:hAnsi="宋体"/>
          <w:b/>
          <w:sz w:val="32"/>
          <w:szCs w:val="32"/>
        </w:rPr>
      </w:pPr>
      <w:r>
        <w:rPr>
          <w:rFonts w:ascii="宋体" w:eastAsia="仿宋" w:hAnsi="宋体" w:hint="eastAsia"/>
          <w:b/>
          <w:sz w:val="32"/>
          <w:szCs w:val="32"/>
        </w:rPr>
        <w:t>七、国有资产</w:t>
      </w:r>
      <w:r>
        <w:rPr>
          <w:rFonts w:ascii="宋体" w:eastAsia="仿宋" w:hAnsi="宋体" w:hint="eastAsia"/>
          <w:b/>
          <w:sz w:val="32"/>
          <w:szCs w:val="32"/>
          <w:lang w:eastAsia="zh-CN"/>
        </w:rPr>
        <w:t>信息</w:t>
      </w:r>
      <w:r>
        <w:rPr>
          <w:rFonts w:ascii="宋体" w:eastAsia="仿宋" w:hAnsi="宋体" w:hint="eastAsia"/>
          <w:b/>
          <w:sz w:val="32"/>
          <w:szCs w:val="32"/>
        </w:rPr>
        <w:t>情况</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宋体" w:eastAsia="仿宋" w:hAnsi="宋体"/>
          <w:b/>
          <w:sz w:val="32"/>
          <w:szCs w:val="32"/>
        </w:rPr>
      </w:pPr>
      <w:r>
        <w:rPr>
          <w:rFonts w:ascii="宋体" w:eastAsia="仿宋" w:hAnsi="宋体"/>
          <w:sz w:val="32"/>
          <w:szCs w:val="32"/>
        </w:rPr>
        <w:t>20</w:t>
      </w:r>
      <w:r>
        <w:rPr>
          <w:rFonts w:ascii="宋体" w:eastAsia="仿宋" w:hAnsi="宋体" w:hint="eastAsia"/>
          <w:sz w:val="32"/>
          <w:szCs w:val="32"/>
          <w:lang w:val="en-US" w:eastAsia="zh-CN"/>
        </w:rPr>
        <w:t>21</w:t>
      </w:r>
      <w:r>
        <w:rPr>
          <w:rFonts w:ascii="宋体" w:eastAsia="仿宋" w:hAnsi="宋体"/>
          <w:sz w:val="32"/>
          <w:szCs w:val="32"/>
        </w:rPr>
        <w:t>年底资产原值</w:t>
      </w:r>
      <w:r>
        <w:rPr>
          <w:rFonts w:ascii="宋体" w:eastAsia="仿宋" w:hAnsi="宋体" w:hint="eastAsia"/>
          <w:sz w:val="32"/>
          <w:szCs w:val="32"/>
          <w:lang w:val="en-US" w:eastAsia="zh-CN"/>
        </w:rPr>
        <w:t>259.47</w:t>
      </w:r>
      <w:r>
        <w:rPr>
          <w:rFonts w:ascii="宋体" w:eastAsia="仿宋" w:hAnsi="宋体"/>
          <w:sz w:val="32"/>
          <w:szCs w:val="32"/>
        </w:rPr>
        <w:t>万元，</w:t>
      </w:r>
      <w:r>
        <w:rPr>
          <w:rFonts w:ascii="宋体" w:eastAsia="仿宋" w:hAnsi="宋体" w:hint="eastAsia"/>
          <w:sz w:val="32"/>
          <w:szCs w:val="32"/>
        </w:rPr>
        <w:t>其中通用设备</w:t>
      </w:r>
      <w:r>
        <w:rPr>
          <w:rFonts w:ascii="宋体" w:eastAsia="仿宋" w:hAnsi="宋体" w:hint="eastAsia"/>
          <w:sz w:val="32"/>
          <w:szCs w:val="32"/>
          <w:lang w:val="en-US" w:eastAsia="zh-CN"/>
        </w:rPr>
        <w:t>228.61</w:t>
      </w:r>
      <w:r>
        <w:rPr>
          <w:rFonts w:ascii="宋体" w:eastAsia="仿宋" w:hAnsi="宋体" w:hint="eastAsia"/>
          <w:sz w:val="32"/>
          <w:szCs w:val="32"/>
        </w:rPr>
        <w:t>万元，公务用车</w:t>
      </w:r>
      <w:r>
        <w:rPr>
          <w:rFonts w:ascii="宋体" w:eastAsia="仿宋" w:hAnsi="宋体" w:hint="eastAsia"/>
          <w:sz w:val="32"/>
          <w:szCs w:val="32"/>
          <w:lang w:val="en-US" w:eastAsia="zh-CN"/>
        </w:rPr>
        <w:t>6</w:t>
      </w:r>
      <w:r>
        <w:rPr>
          <w:rFonts w:ascii="宋体" w:eastAsia="仿宋" w:hAnsi="宋体" w:hint="eastAsia"/>
          <w:sz w:val="32"/>
          <w:szCs w:val="32"/>
        </w:rPr>
        <w:t>辆，</w:t>
      </w:r>
      <w:r>
        <w:rPr>
          <w:rFonts w:ascii="宋体" w:eastAsia="仿宋" w:hAnsi="宋体" w:hint="eastAsia"/>
          <w:sz w:val="32"/>
          <w:szCs w:val="32"/>
          <w:lang w:val="en-US" w:eastAsia="zh-CN"/>
        </w:rPr>
        <w:t>99.98</w:t>
      </w:r>
      <w:r>
        <w:rPr>
          <w:rFonts w:ascii="宋体" w:eastAsia="仿宋" w:hAnsi="宋体" w:hint="eastAsia"/>
          <w:sz w:val="32"/>
          <w:szCs w:val="32"/>
        </w:rPr>
        <w:t>万元，家具、用具</w:t>
      </w:r>
      <w:r>
        <w:rPr>
          <w:rFonts w:ascii="宋体" w:eastAsia="仿宋" w:hAnsi="宋体" w:hint="eastAsia"/>
          <w:sz w:val="32"/>
          <w:szCs w:val="32"/>
          <w:lang w:val="en-US" w:eastAsia="zh-CN"/>
        </w:rPr>
        <w:t>20.71</w:t>
      </w:r>
      <w:r>
        <w:rPr>
          <w:rFonts w:ascii="宋体" w:eastAsia="仿宋" w:hAnsi="宋体" w:hint="eastAsia"/>
          <w:sz w:val="32"/>
          <w:szCs w:val="32"/>
        </w:rPr>
        <w:t>万元，无形资产</w:t>
      </w:r>
      <w:r>
        <w:rPr>
          <w:rFonts w:ascii="宋体" w:eastAsia="仿宋" w:hAnsi="宋体" w:hint="eastAsia"/>
          <w:sz w:val="32"/>
          <w:szCs w:val="32"/>
          <w:lang w:val="en-US" w:eastAsia="zh-CN"/>
        </w:rPr>
        <w:t>10.15</w:t>
      </w:r>
      <w:r>
        <w:rPr>
          <w:rFonts w:ascii="宋体" w:eastAsia="仿宋" w:hAnsi="宋体" w:hint="eastAsia"/>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宋体" w:eastAsia="仿宋" w:hAnsi="宋体"/>
          <w:sz w:val="32"/>
          <w:szCs w:val="32"/>
        </w:rPr>
      </w:pPr>
      <w:r>
        <w:rPr>
          <w:rFonts w:ascii="宋体" w:eastAsia="仿宋" w:hAnsi="宋体"/>
          <w:sz w:val="32"/>
          <w:szCs w:val="32"/>
        </w:rPr>
        <w:t>比20</w:t>
      </w:r>
      <w:r>
        <w:rPr>
          <w:rFonts w:ascii="宋体" w:eastAsia="仿宋" w:hAnsi="宋体" w:hint="eastAsia"/>
          <w:sz w:val="32"/>
          <w:szCs w:val="32"/>
          <w:lang w:val="en-US" w:eastAsia="zh-CN"/>
        </w:rPr>
        <w:t>20</w:t>
      </w:r>
      <w:r>
        <w:rPr>
          <w:rFonts w:ascii="宋体" w:eastAsia="仿宋" w:hAnsi="宋体"/>
          <w:sz w:val="32"/>
          <w:szCs w:val="32"/>
        </w:rPr>
        <w:t>年资产原值</w:t>
      </w:r>
      <w:r>
        <w:rPr>
          <w:rFonts w:ascii="宋体" w:eastAsia="仿宋" w:hAnsi="宋体" w:hint="eastAsia"/>
          <w:sz w:val="32"/>
          <w:szCs w:val="32"/>
          <w:lang w:val="en-US" w:eastAsia="zh-CN"/>
        </w:rPr>
        <w:t>292.81</w:t>
      </w:r>
      <w:r>
        <w:rPr>
          <w:rFonts w:ascii="宋体" w:eastAsia="仿宋" w:hAnsi="宋体"/>
          <w:sz w:val="32"/>
          <w:szCs w:val="32"/>
        </w:rPr>
        <w:t>万元，</w:t>
      </w:r>
      <w:r>
        <w:rPr>
          <w:rFonts w:ascii="宋体" w:eastAsia="仿宋" w:hAnsi="宋体" w:hint="eastAsia"/>
          <w:sz w:val="32"/>
          <w:szCs w:val="32"/>
          <w:lang w:eastAsia="zh-CN"/>
        </w:rPr>
        <w:t>减少</w:t>
      </w:r>
      <w:r>
        <w:rPr>
          <w:rFonts w:ascii="宋体" w:eastAsia="仿宋" w:hAnsi="宋体"/>
          <w:sz w:val="32"/>
          <w:szCs w:val="32"/>
        </w:rPr>
        <w:t>了</w:t>
      </w:r>
      <w:r>
        <w:rPr>
          <w:rFonts w:ascii="宋体" w:eastAsia="仿宋" w:hAnsi="宋体" w:hint="eastAsia"/>
          <w:sz w:val="32"/>
          <w:szCs w:val="32"/>
          <w:lang w:val="en-US" w:eastAsia="zh-CN"/>
        </w:rPr>
        <w:t>33.34</w:t>
      </w:r>
      <w:r>
        <w:rPr>
          <w:rFonts w:ascii="宋体" w:eastAsia="仿宋" w:hAnsi="宋体" w:hint="eastAsia"/>
          <w:sz w:val="32"/>
          <w:szCs w:val="32"/>
        </w:rPr>
        <w:t>万</w:t>
      </w:r>
      <w:r>
        <w:rPr>
          <w:rFonts w:ascii="宋体" w:eastAsia="仿宋" w:hAnsi="宋体"/>
          <w:sz w:val="32"/>
          <w:szCs w:val="32"/>
        </w:rPr>
        <w:t>元，主要</w:t>
      </w:r>
      <w:r>
        <w:rPr>
          <w:rFonts w:ascii="宋体" w:eastAsia="仿宋" w:hAnsi="宋体" w:hint="eastAsia"/>
          <w:sz w:val="32"/>
          <w:szCs w:val="32"/>
        </w:rPr>
        <w:t>原因</w:t>
      </w:r>
      <w:r>
        <w:rPr>
          <w:rFonts w:ascii="宋体" w:eastAsia="仿宋" w:hAnsi="宋体"/>
          <w:sz w:val="32"/>
          <w:szCs w:val="32"/>
        </w:rPr>
        <w:t>是</w:t>
      </w:r>
      <w:r>
        <w:rPr>
          <w:rFonts w:ascii="宋体" w:eastAsia="仿宋" w:hAnsi="宋体" w:hint="eastAsia"/>
          <w:sz w:val="32"/>
          <w:szCs w:val="32"/>
          <w:lang w:eastAsia="zh-CN"/>
        </w:rPr>
        <w:t>有关资产无偿调拨到其他单位</w:t>
      </w:r>
      <w:r>
        <w:rPr>
          <w:rFonts w:ascii="宋体" w:eastAsia="仿宋" w:hAnsi="宋体"/>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宋体" w:eastAsia="仿宋" w:hAnsi="宋体" w:hint="eastAsia"/>
          <w:sz w:val="32"/>
          <w:szCs w:val="32"/>
          <w:lang w:val="en-US" w:eastAsia="zh-CN"/>
        </w:rPr>
      </w:pPr>
      <w:r>
        <w:rPr>
          <w:rFonts w:ascii="宋体" w:eastAsia="仿宋" w:hAnsi="宋体" w:hint="eastAsia"/>
          <w:sz w:val="32"/>
          <w:szCs w:val="32"/>
          <w:lang w:val="en-US" w:eastAsia="zh-CN"/>
        </w:rPr>
        <w:t>本年度无拟购置资产。</w:t>
      </w:r>
    </w:p>
    <w:p>
      <w:pPr>
        <w:snapToGrid w:val="0"/>
        <w:spacing w:line="588" w:lineRule="exact"/>
        <w:ind w:firstLineChars="150" w:firstLine="480"/>
        <w:jc w:val="center"/>
        <w:rPr>
          <w:rFonts w:ascii="宋体" w:eastAsia="方正黑体简体" w:cs="方正黑体简体" w:hAnsi="宋体" w:hint="eastAsia"/>
          <w:sz w:val="32"/>
          <w:szCs w:val="32"/>
          <w:lang w:val="en-US" w:eastAsia="zh-CN"/>
        </w:rPr>
      </w:pPr>
      <w:r>
        <w:rPr>
          <w:rFonts w:ascii="宋体" w:eastAsia="方正黑体简体" w:cs="方正黑体简体" w:hAnsi="宋体" w:hint="eastAsia"/>
          <w:sz w:val="32"/>
          <w:szCs w:val="32"/>
          <w:lang w:val="en-US" w:eastAsia="zh-CN"/>
        </w:rPr>
        <w:t>部门固定资产占用情况表</w:t>
      </w:r>
    </w:p>
    <w:p>
      <w:pPr>
        <w:keepNext w:val="0"/>
        <w:keepLines w:val="0"/>
        <w:pageBreakBefore w:val="0"/>
        <w:widowControl w:val="0"/>
        <w:kinsoku/>
        <w:wordWrap/>
        <w:overflowPunct/>
        <w:topLinePunct w:val="0"/>
        <w:autoSpaceDE/>
        <w:autoSpaceDN/>
        <w:bidi w:val="0"/>
        <w:adjustRightInd/>
        <w:snapToGrid w:val="0"/>
        <w:spacing w:line="588" w:lineRule="exact"/>
        <w:ind w:firstLine="0"/>
        <w:textAlignment w:val="auto"/>
        <w:rPr>
          <w:rFonts w:ascii="宋体" w:eastAsia="仿宋" w:hAnsi="宋体" w:hint="eastAsia"/>
          <w:sz w:val="24"/>
          <w:szCs w:val="24"/>
          <w:lang w:val="en-US" w:eastAsia="zh-CN"/>
        </w:rPr>
      </w:pPr>
      <w:r>
        <w:rPr>
          <w:rFonts w:ascii="宋体" w:eastAsia="仿宋" w:hAnsi="宋体" w:hint="eastAsia"/>
          <w:sz w:val="24"/>
          <w:szCs w:val="24"/>
          <w:lang w:val="en-US" w:eastAsia="zh-CN"/>
        </w:rPr>
        <w:t>编制部门：中共唐山市丰润区委办公室        截止时间：2021年12月31日</w:t>
      </w:r>
    </w:p>
    <w:tbl>
      <w:tblPr>
        <w:jc w:val="left"/>
        <w:tblInd w:w="0" w:type="dx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531"/>
        <w:gridCol w:w="1500"/>
        <w:gridCol w:w="3491"/>
      </w:tblGrid>
      <w:tr>
        <w:tc>
          <w:tcPr>
            <w:tcW w:w="3531" w:type="dxa"/>
          </w:tcPr>
          <w:p>
            <w:pPr>
              <w:snapToGrid w:val="0"/>
              <w:spacing w:line="588" w:lineRule="exact"/>
              <w:rPr>
                <w:rFonts w:ascii="宋体" w:eastAsia="仿宋" w:hAnsi="宋体" w:hint="eastAsia"/>
                <w:sz w:val="28"/>
                <w:szCs w:val="28"/>
                <w:vertAlign w:val="baseline"/>
                <w:lang w:val="en-US" w:eastAsia="zh-CN"/>
              </w:rPr>
            </w:pPr>
            <w:r>
              <w:rPr>
                <w:rFonts w:ascii="宋体" w:eastAsia="仿宋" w:hAnsi="宋体" w:hint="eastAsia"/>
                <w:sz w:val="28"/>
                <w:szCs w:val="28"/>
                <w:lang w:val="en-US" w:eastAsia="zh-CN"/>
              </w:rPr>
              <w:t>项目</w:t>
            </w:r>
          </w:p>
        </w:tc>
        <w:tc>
          <w:tcPr>
            <w:tcW w:w="1500" w:type="dxa"/>
          </w:tcPr>
          <w:p>
            <w:pPr>
              <w:snapToGrid w:val="0"/>
              <w:spacing w:line="588" w:lineRule="exact"/>
              <w:rPr>
                <w:rFonts w:ascii="宋体" w:eastAsia="仿宋" w:hAnsi="宋体" w:hint="eastAsia"/>
                <w:sz w:val="28"/>
                <w:szCs w:val="28"/>
                <w:vertAlign w:val="baseline"/>
                <w:lang w:val="en-US" w:eastAsia="zh-CN"/>
              </w:rPr>
            </w:pPr>
            <w:r>
              <w:rPr>
                <w:rFonts w:ascii="宋体" w:eastAsia="仿宋" w:hAnsi="宋体" w:hint="eastAsia"/>
                <w:sz w:val="28"/>
                <w:szCs w:val="28"/>
                <w:vertAlign w:val="baseline"/>
                <w:lang w:val="en-US" w:eastAsia="zh-CN"/>
              </w:rPr>
              <w:t>数量</w:t>
            </w:r>
          </w:p>
        </w:tc>
        <w:tc>
          <w:tcPr>
            <w:tcW w:w="3491" w:type="dxa"/>
          </w:tcPr>
          <w:p>
            <w:pPr>
              <w:snapToGrid w:val="0"/>
              <w:spacing w:line="588" w:lineRule="exact"/>
              <w:rPr>
                <w:rFonts w:ascii="宋体" w:eastAsia="仿宋" w:hAnsi="宋体" w:hint="eastAsia"/>
                <w:sz w:val="28"/>
                <w:szCs w:val="28"/>
                <w:vertAlign w:val="baseline"/>
                <w:lang w:val="en-US" w:eastAsia="zh-CN"/>
              </w:rPr>
            </w:pPr>
            <w:r>
              <w:rPr>
                <w:rFonts w:ascii="宋体" w:eastAsia="仿宋" w:hAnsi="宋体" w:hint="eastAsia"/>
                <w:sz w:val="28"/>
                <w:szCs w:val="28"/>
                <w:vertAlign w:val="baseline"/>
                <w:lang w:val="en-US" w:eastAsia="zh-CN"/>
              </w:rPr>
              <w:t>价值（金额单位：万元）</w:t>
            </w:r>
          </w:p>
        </w:tc>
      </w:tr>
      <w:tr>
        <w:tc>
          <w:tcPr>
            <w:tcW w:w="3531" w:type="dxa"/>
            <w:tcBorders>
              <w:top w:val="single" w:sz="4" w:space="0" w:color="auto"/>
              <w:left w:val="single" w:sz="4" w:space="0" w:color="auto"/>
              <w:right w:val="single" w:sz="4" w:space="0" w:color="auto"/>
            </w:tcBorders>
          </w:tcPr>
          <w:p>
            <w:pPr>
              <w:snapToGrid w:val="0"/>
              <w:spacing w:line="588" w:lineRule="exact"/>
              <w:rPr>
                <w:rFonts w:ascii="宋体" w:eastAsia="仿宋" w:hAnsi="宋体" w:hint="eastAsia"/>
                <w:sz w:val="28"/>
                <w:szCs w:val="28"/>
                <w:vertAlign w:val="baseline"/>
                <w:lang w:val="en-US" w:eastAsia="zh-CN"/>
              </w:rPr>
            </w:pPr>
            <w:r>
              <w:rPr>
                <w:rFonts w:ascii="宋体" w:eastAsia="仿宋" w:hAnsi="宋体" w:hint="eastAsia"/>
                <w:sz w:val="28"/>
                <w:szCs w:val="28"/>
                <w:vertAlign w:val="baseline"/>
                <w:lang w:val="en-US" w:eastAsia="zh-CN"/>
              </w:rPr>
              <w:t>资产总额</w:t>
            </w:r>
          </w:p>
        </w:tc>
        <w:tc>
          <w:tcPr>
            <w:tcW w:w="1500" w:type="dxa"/>
            <w:tcBorders>
              <w:top w:val="single" w:sz="4" w:space="0" w:color="auto"/>
              <w:left w:val="single" w:sz="4" w:space="0" w:color="auto"/>
              <w:right w:val="single" w:sz="4" w:space="0" w:color="auto"/>
            </w:tcBorders>
          </w:tcPr>
          <w:p>
            <w:pPr>
              <w:snapToGrid w:val="0"/>
              <w:spacing w:line="588" w:lineRule="exact"/>
              <w:jc w:val="center"/>
              <w:rPr>
                <w:rFonts w:ascii="宋体" w:eastAsia="仿宋" w:hAnsi="宋体" w:hint="eastAsia"/>
                <w:sz w:val="28"/>
                <w:szCs w:val="28"/>
                <w:vertAlign w:val="baseline"/>
                <w:lang w:val="en-US" w:eastAsia="zh-CN"/>
              </w:rPr>
            </w:pPr>
            <w:r>
              <w:rPr>
                <w:rFonts w:ascii="宋体" w:eastAsia="仿宋" w:hAnsi="宋体" w:hint="eastAsia"/>
                <w:sz w:val="28"/>
                <w:szCs w:val="28"/>
                <w:vertAlign w:val="baseline"/>
                <w:lang w:val="en-US" w:eastAsia="zh-CN"/>
              </w:rPr>
              <w:t>------</w:t>
            </w:r>
          </w:p>
        </w:tc>
        <w:tc>
          <w:tcPr>
            <w:tcW w:w="3491" w:type="dxa"/>
            <w:tcBorders>
              <w:top w:val="single" w:sz="4" w:space="0" w:color="auto"/>
              <w:left w:val="single" w:sz="4" w:space="0" w:color="auto"/>
              <w:right w:val="single" w:sz="4" w:space="0" w:color="auto"/>
            </w:tcBorders>
          </w:tcPr>
          <w:p>
            <w:pPr>
              <w:snapToGrid w:val="0"/>
              <w:spacing w:line="588" w:lineRule="exact"/>
              <w:jc w:val="center"/>
              <w:rPr>
                <w:rFonts w:ascii="宋体" w:eastAsia="仿宋" w:hAnsi="宋体"/>
                <w:sz w:val="28"/>
                <w:szCs w:val="28"/>
                <w:vertAlign w:val="baseline"/>
                <w:lang w:val="en-US" w:eastAsia="zh-CN"/>
              </w:rPr>
            </w:pPr>
            <w:r>
              <w:rPr>
                <w:rFonts w:ascii="宋体" w:eastAsia="仿宋" w:hAnsi="宋体" w:hint="eastAsia"/>
                <w:sz w:val="28"/>
                <w:szCs w:val="28"/>
                <w:vertAlign w:val="baseline"/>
                <w:lang w:val="en-US" w:eastAsia="zh-CN"/>
              </w:rPr>
              <w:t>259.47</w:t>
            </w:r>
          </w:p>
        </w:tc>
      </w:tr>
      <w:tr>
        <w:tc>
          <w:tcPr>
            <w:tcW w:w="3531" w:type="dxa"/>
            <w:tcBorders>
              <w:top w:val="single" w:sz="4" w:space="0" w:color="auto"/>
              <w:left w:val="single" w:sz="4" w:space="0" w:color="auto"/>
              <w:right w:val="single" w:sz="4" w:space="0" w:color="auto"/>
            </w:tcBorders>
          </w:tcPr>
          <w:p>
            <w:pPr>
              <w:snapToGrid w:val="0"/>
              <w:spacing w:line="588" w:lineRule="exact"/>
              <w:rPr>
                <w:rFonts w:ascii="宋体" w:eastAsia="仿宋" w:hAnsi="宋体" w:hint="eastAsia"/>
                <w:sz w:val="28"/>
                <w:szCs w:val="28"/>
                <w:vertAlign w:val="baseline"/>
                <w:lang w:val="en-US" w:eastAsia="zh-CN"/>
              </w:rPr>
            </w:pPr>
            <w:r>
              <w:rPr>
                <w:rFonts w:ascii="宋体" w:eastAsia="仿宋" w:hAnsi="宋体" w:hint="eastAsia"/>
                <w:sz w:val="28"/>
                <w:szCs w:val="28"/>
                <w:vertAlign w:val="baseline"/>
                <w:lang w:val="en-US" w:eastAsia="zh-CN"/>
              </w:rPr>
              <w:t>1、车辆（台、辆）</w:t>
            </w:r>
          </w:p>
        </w:tc>
        <w:tc>
          <w:tcPr>
            <w:tcW w:w="1500" w:type="dxa"/>
            <w:tcBorders>
              <w:top w:val="single" w:sz="4" w:space="0" w:color="auto"/>
              <w:left w:val="single" w:sz="4" w:space="0" w:color="auto"/>
              <w:right w:val="single" w:sz="4" w:space="0" w:color="auto"/>
            </w:tcBorders>
          </w:tcPr>
          <w:p>
            <w:pPr>
              <w:snapToGrid w:val="0"/>
              <w:spacing w:line="588" w:lineRule="exact"/>
              <w:jc w:val="center"/>
              <w:rPr>
                <w:rFonts w:ascii="宋体" w:eastAsia="仿宋" w:hAnsi="宋体" w:hint="eastAsia"/>
                <w:sz w:val="28"/>
                <w:szCs w:val="28"/>
                <w:vertAlign w:val="baseline"/>
                <w:lang w:val="en-US" w:eastAsia="zh-CN"/>
              </w:rPr>
            </w:pPr>
            <w:r>
              <w:rPr>
                <w:rFonts w:ascii="宋体" w:eastAsia="仿宋" w:hAnsi="宋体" w:hint="eastAsia"/>
                <w:sz w:val="28"/>
                <w:szCs w:val="28"/>
                <w:vertAlign w:val="baseline"/>
                <w:lang w:val="en-US" w:eastAsia="zh-CN"/>
              </w:rPr>
              <w:t>5</w:t>
            </w:r>
          </w:p>
        </w:tc>
        <w:tc>
          <w:tcPr>
            <w:tcW w:w="3491" w:type="dxa"/>
            <w:tcBorders>
              <w:top w:val="single" w:sz="4" w:space="0" w:color="auto"/>
              <w:left w:val="single" w:sz="4" w:space="0" w:color="auto"/>
              <w:right w:val="single" w:sz="4" w:space="0" w:color="auto"/>
            </w:tcBorders>
          </w:tcPr>
          <w:p>
            <w:pPr>
              <w:snapToGrid w:val="0"/>
              <w:spacing w:line="588" w:lineRule="exact"/>
              <w:jc w:val="center"/>
              <w:rPr>
                <w:rFonts w:ascii="宋体" w:eastAsia="仿宋" w:hAnsi="宋体"/>
                <w:sz w:val="28"/>
                <w:szCs w:val="28"/>
                <w:vertAlign w:val="baseline"/>
                <w:lang w:val="en-US" w:eastAsia="zh-CN"/>
              </w:rPr>
            </w:pPr>
            <w:r>
              <w:rPr>
                <w:rFonts w:ascii="宋体" w:eastAsia="仿宋" w:hAnsi="宋体" w:hint="eastAsia"/>
                <w:sz w:val="28"/>
                <w:szCs w:val="28"/>
                <w:vertAlign w:val="baseline"/>
                <w:lang w:val="en-US" w:eastAsia="zh-CN"/>
              </w:rPr>
              <w:t>99.98</w:t>
            </w:r>
          </w:p>
        </w:tc>
      </w:tr>
      <w:tr>
        <w:tc>
          <w:tcPr>
            <w:tcW w:w="3531" w:type="dxa"/>
            <w:tcBorders>
              <w:top w:val="single" w:sz="4" w:space="0" w:color="auto"/>
              <w:left w:val="single" w:sz="4" w:space="0" w:color="auto"/>
              <w:right w:val="single" w:sz="4" w:space="0" w:color="auto"/>
            </w:tcBorders>
          </w:tcPr>
          <w:p>
            <w:pPr>
              <w:snapToGrid w:val="0"/>
              <w:spacing w:line="588" w:lineRule="exact"/>
              <w:rPr>
                <w:rFonts w:ascii="宋体" w:eastAsia="仿宋" w:hAnsi="宋体" w:hint="eastAsia"/>
                <w:sz w:val="28"/>
                <w:szCs w:val="28"/>
                <w:vertAlign w:val="baseline"/>
                <w:lang w:val="en-US" w:eastAsia="zh-CN"/>
              </w:rPr>
            </w:pPr>
            <w:r>
              <w:rPr>
                <w:rFonts w:ascii="宋体" w:eastAsia="仿宋" w:hAnsi="宋体" w:hint="eastAsia"/>
                <w:sz w:val="28"/>
                <w:szCs w:val="28"/>
                <w:vertAlign w:val="baseline"/>
                <w:lang w:val="en-US" w:eastAsia="zh-CN"/>
              </w:rPr>
              <w:t>2、单价在20万元以上设备</w:t>
            </w:r>
          </w:p>
        </w:tc>
        <w:tc>
          <w:tcPr>
            <w:tcW w:w="1500" w:type="dxa"/>
            <w:tcBorders>
              <w:top w:val="single" w:sz="4" w:space="0" w:color="auto"/>
              <w:left w:val="single" w:sz="4" w:space="0" w:color="auto"/>
              <w:right w:val="single" w:sz="4" w:space="0" w:color="auto"/>
            </w:tcBorders>
          </w:tcPr>
          <w:p>
            <w:pPr>
              <w:snapToGrid w:val="0"/>
              <w:spacing w:line="588" w:lineRule="exact"/>
              <w:jc w:val="center"/>
              <w:rPr>
                <w:rFonts w:ascii="宋体" w:eastAsia="仿宋" w:hAnsi="宋体" w:hint="eastAsia"/>
                <w:sz w:val="28"/>
                <w:szCs w:val="28"/>
                <w:vertAlign w:val="baseline"/>
                <w:lang w:val="en-US" w:eastAsia="zh-CN"/>
              </w:rPr>
            </w:pPr>
            <w:r>
              <w:rPr>
                <w:rFonts w:ascii="宋体" w:eastAsia="仿宋" w:hAnsi="宋体" w:hint="eastAsia"/>
                <w:sz w:val="28"/>
                <w:szCs w:val="28"/>
                <w:vertAlign w:val="baseline"/>
                <w:lang w:val="en-US" w:eastAsia="zh-CN"/>
              </w:rPr>
              <w:t>------</w:t>
            </w:r>
          </w:p>
        </w:tc>
        <w:tc>
          <w:tcPr>
            <w:tcW w:w="3491" w:type="dxa"/>
            <w:tcBorders>
              <w:top w:val="single" w:sz="4" w:space="0" w:color="auto"/>
              <w:left w:val="single" w:sz="4" w:space="0" w:color="auto"/>
              <w:right w:val="single" w:sz="4" w:space="0" w:color="auto"/>
            </w:tcBorders>
          </w:tcPr>
          <w:p>
            <w:pPr>
              <w:snapToGrid w:val="0"/>
              <w:spacing w:line="588" w:lineRule="exact"/>
              <w:jc w:val="center"/>
              <w:rPr>
                <w:rFonts w:ascii="宋体" w:eastAsia="仿宋" w:hAnsi="宋体" w:hint="eastAsia"/>
                <w:sz w:val="28"/>
                <w:szCs w:val="28"/>
                <w:vertAlign w:val="baseline"/>
                <w:lang w:val="en-US" w:eastAsia="zh-CN"/>
              </w:rPr>
            </w:pPr>
          </w:p>
        </w:tc>
      </w:tr>
      <w:tr>
        <w:tc>
          <w:tcPr>
            <w:tcW w:w="3531" w:type="dxa"/>
            <w:tcBorders>
              <w:top w:val="single" w:sz="4" w:space="0" w:color="auto"/>
              <w:left w:val="single" w:sz="4" w:space="0" w:color="auto"/>
              <w:right w:val="single" w:sz="4" w:space="0" w:color="auto"/>
            </w:tcBorders>
          </w:tcPr>
          <w:p>
            <w:pPr>
              <w:snapToGrid w:val="0"/>
              <w:spacing w:line="588" w:lineRule="exact"/>
              <w:rPr>
                <w:rFonts w:ascii="宋体" w:eastAsia="仿宋" w:hAnsi="宋体" w:hint="eastAsia"/>
                <w:sz w:val="28"/>
                <w:szCs w:val="28"/>
                <w:vertAlign w:val="baseline"/>
                <w:lang w:val="en-US" w:eastAsia="zh-CN"/>
              </w:rPr>
            </w:pPr>
            <w:r>
              <w:rPr>
                <w:rFonts w:ascii="宋体" w:eastAsia="仿宋" w:hAnsi="宋体" w:hint="eastAsia"/>
                <w:sz w:val="28"/>
                <w:szCs w:val="28"/>
                <w:vertAlign w:val="baseline"/>
                <w:lang w:val="en-US" w:eastAsia="zh-CN"/>
              </w:rPr>
              <w:t>3、其他资产</w:t>
            </w:r>
          </w:p>
        </w:tc>
        <w:tc>
          <w:tcPr>
            <w:tcW w:w="1500" w:type="dxa"/>
            <w:tcBorders>
              <w:top w:val="single" w:sz="4" w:space="0" w:color="auto"/>
              <w:left w:val="single" w:sz="4" w:space="0" w:color="auto"/>
              <w:right w:val="single" w:sz="4" w:space="0" w:color="auto"/>
            </w:tcBorders>
          </w:tcPr>
          <w:p>
            <w:pPr>
              <w:snapToGrid w:val="0"/>
              <w:spacing w:line="588" w:lineRule="exact"/>
              <w:jc w:val="center"/>
              <w:rPr>
                <w:rFonts w:ascii="宋体" w:eastAsia="仿宋" w:hAnsi="宋体" w:hint="eastAsia"/>
                <w:sz w:val="28"/>
                <w:szCs w:val="28"/>
                <w:vertAlign w:val="baseline"/>
                <w:lang w:val="en-US" w:eastAsia="zh-CN"/>
              </w:rPr>
            </w:pPr>
          </w:p>
        </w:tc>
        <w:tc>
          <w:tcPr>
            <w:tcW w:w="3491" w:type="dxa"/>
            <w:tcBorders>
              <w:top w:val="single" w:sz="4" w:space="0" w:color="auto"/>
              <w:left w:val="single" w:sz="4" w:space="0" w:color="auto"/>
              <w:right w:val="single" w:sz="4" w:space="0" w:color="auto"/>
            </w:tcBorders>
          </w:tcPr>
          <w:p>
            <w:pPr>
              <w:snapToGrid w:val="0"/>
              <w:spacing w:line="588" w:lineRule="exact"/>
              <w:jc w:val="center"/>
              <w:rPr>
                <w:rFonts w:ascii="宋体" w:eastAsia="仿宋" w:hAnsi="宋体"/>
                <w:sz w:val="28"/>
                <w:szCs w:val="28"/>
                <w:vertAlign w:val="baseline"/>
                <w:lang w:val="en-US" w:eastAsia="zh-CN"/>
              </w:rPr>
            </w:pPr>
            <w:r>
              <w:rPr>
                <w:rFonts w:ascii="宋体" w:eastAsia="仿宋" w:hAnsi="宋体" w:hint="eastAsia"/>
                <w:sz w:val="28"/>
                <w:szCs w:val="28"/>
                <w:vertAlign w:val="baseline"/>
                <w:lang w:val="en-US" w:eastAsia="zh-CN"/>
              </w:rPr>
              <w:t>159.49</w:t>
            </w:r>
          </w:p>
        </w:tc>
      </w:tr>
    </w:tbl>
    <w:p>
      <w:pPr>
        <w:snapToGrid w:val="0"/>
        <w:spacing w:line="588" w:lineRule="exact"/>
        <w:rPr>
          <w:rFonts w:ascii="宋体" w:eastAsia="仿宋" w:hAnsi="宋体"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88" w:lineRule="exact"/>
        <w:ind w:firstLineChars="200" w:firstLine="640"/>
        <w:textAlignment w:val="auto"/>
        <w:rPr>
          <w:rFonts w:ascii="宋体" w:eastAsia="仿宋" w:hAnsi="宋体" w:hint="eastAsia"/>
          <w:b/>
          <w:sz w:val="32"/>
          <w:szCs w:val="32"/>
        </w:rPr>
      </w:pPr>
    </w:p>
    <w:p>
      <w:pPr>
        <w:keepNext w:val="0"/>
        <w:keepLines w:val="0"/>
        <w:pageBreakBefore w:val="0"/>
        <w:widowControl w:val="0"/>
        <w:kinsoku/>
        <w:wordWrap/>
        <w:overflowPunct/>
        <w:topLinePunct w:val="0"/>
        <w:autoSpaceDE/>
        <w:autoSpaceDN/>
        <w:bidi w:val="0"/>
        <w:adjustRightInd/>
        <w:snapToGrid w:val="0"/>
        <w:spacing w:line="588" w:lineRule="exact"/>
        <w:ind w:firstLineChars="200" w:firstLine="640"/>
        <w:textAlignment w:val="auto"/>
        <w:rPr>
          <w:rFonts w:ascii="宋体" w:eastAsia="仿宋" w:hAnsi="宋体"/>
          <w:b/>
          <w:sz w:val="32"/>
          <w:szCs w:val="32"/>
        </w:rPr>
      </w:pPr>
      <w:r>
        <w:rPr>
          <w:rFonts w:ascii="宋体" w:eastAsia="仿宋" w:hAnsi="宋体" w:hint="eastAsia"/>
          <w:b/>
          <w:sz w:val="32"/>
          <w:szCs w:val="32"/>
        </w:rPr>
        <w:t>八、专业名词解释</w:t>
      </w:r>
    </w:p>
    <w:p>
      <w:pPr>
        <w:snapToGrid w:val="0"/>
        <w:spacing w:line="588" w:lineRule="exact"/>
        <w:ind w:firstLineChars="150" w:firstLine="480"/>
        <w:rPr>
          <w:rFonts w:ascii="仿宋" w:eastAsia="仿宋"/>
          <w:b/>
          <w:sz w:val="32"/>
          <w:szCs w:val="32"/>
        </w:rPr>
      </w:pPr>
      <w:r>
        <w:rPr>
          <w:rFonts w:ascii="仿宋" w:eastAsia="仿宋" w:hint="eastAsia"/>
          <w:sz w:val="32"/>
          <w:szCs w:val="32"/>
        </w:rPr>
        <w:t>（1）财政拨款收入：指中央或区财政当年拨付的资金，包含一般公共预算财政拨款和政府性基金预算财政拨款。</w:t>
      </w:r>
    </w:p>
    <w:p>
      <w:pPr>
        <w:snapToGrid w:val="0"/>
        <w:spacing w:line="588" w:lineRule="exact"/>
        <w:ind w:firstLineChars="150" w:firstLine="480"/>
        <w:rPr>
          <w:rFonts w:ascii="仿宋" w:eastAsia="仿宋"/>
          <w:b/>
          <w:sz w:val="32"/>
          <w:szCs w:val="32"/>
        </w:rPr>
      </w:pPr>
      <w:r>
        <w:rPr>
          <w:rFonts w:ascii="仿宋" w:eastAsia="仿宋" w:hint="eastAsia"/>
          <w:sz w:val="32"/>
          <w:szCs w:val="32"/>
        </w:rPr>
        <w:t>（2）基本支出：指为保障机构正常运转、完成日常工作任务而发生的人员支出和公用支出。</w:t>
      </w:r>
    </w:p>
    <w:p>
      <w:pPr>
        <w:snapToGrid w:val="0"/>
        <w:spacing w:line="588" w:lineRule="exact"/>
        <w:ind w:firstLineChars="150" w:firstLine="480"/>
        <w:rPr>
          <w:rFonts w:ascii="仿宋" w:eastAsia="仿宋"/>
          <w:b/>
          <w:sz w:val="32"/>
          <w:szCs w:val="32"/>
        </w:rPr>
      </w:pPr>
      <w:r>
        <w:rPr>
          <w:rFonts w:ascii="仿宋" w:eastAsia="仿宋" w:hint="eastAsia"/>
          <w:sz w:val="32"/>
          <w:szCs w:val="32"/>
        </w:rPr>
        <w:t>（3）项目支出：指在基本支出之外为完成特定行政任务和事业发展目标所发生的支出。</w:t>
      </w:r>
    </w:p>
    <w:p>
      <w:pPr>
        <w:snapToGrid w:val="0"/>
        <w:spacing w:line="588" w:lineRule="exact"/>
        <w:ind w:firstLineChars="150" w:firstLine="480"/>
        <w:rPr>
          <w:rFonts w:ascii="仿宋" w:eastAsia="仿宋" w:hint="eastAsia"/>
          <w:b/>
          <w:sz w:val="32"/>
          <w:szCs w:val="32"/>
          <w:lang w:eastAsia="zh-CN"/>
        </w:rPr>
      </w:pPr>
      <w:r>
        <w:rPr>
          <w:rFonts w:ascii="仿宋" w:eastAsia="仿宋" w:hint="eastAsia"/>
          <w:b/>
          <w:sz w:val="32"/>
          <w:szCs w:val="32"/>
        </w:rPr>
        <w:t>九、其他</w:t>
      </w:r>
      <w:r>
        <w:rPr>
          <w:rFonts w:ascii="仿宋" w:eastAsia="仿宋" w:hint="eastAsia"/>
          <w:b/>
          <w:sz w:val="32"/>
          <w:szCs w:val="32"/>
          <w:lang w:eastAsia="zh-CN"/>
        </w:rPr>
        <w:t>需说明的事项</w:t>
      </w:r>
    </w:p>
    <w:p>
      <w:pPr>
        <w:snapToGrid w:val="0"/>
        <w:spacing w:line="588" w:lineRule="exact"/>
        <w:ind w:firstLineChars="150" w:firstLine="480"/>
        <w:rPr>
          <w:rFonts w:ascii="仿宋" w:eastAsia="仿宋"/>
          <w:b/>
          <w:sz w:val="32"/>
          <w:szCs w:val="32"/>
        </w:rPr>
      </w:pPr>
      <w:r>
        <w:rPr>
          <w:rFonts w:ascii="仿宋" w:eastAsia="仿宋" w:hint="eastAsia"/>
          <w:sz w:val="32"/>
          <w:szCs w:val="32"/>
        </w:rPr>
        <w:t>政府性性基金支出和国有资本经营支出：无</w:t>
      </w:r>
    </w:p>
    <w:p>
      <w:pPr>
        <w:snapToGrid w:val="0"/>
        <w:spacing w:line="588" w:lineRule="exact"/>
        <w:rPr>
          <w:rFonts w:ascii="宋体" w:eastAsia="宋体" w:hint="eastAsia"/>
          <w:sz w:val="32"/>
          <w:szCs w:val="32"/>
          <w:lang w:val="en-US" w:eastAsia="zh-CN"/>
        </w:rPr>
      </w:pP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楷体_GBK">
    <w:altName w:val="宋体"/>
    <w:panose1 w:val="00000000000000000000"/>
    <w:charset w:val="86"/>
    <w:family w:val="roman"/>
    <w:pitch w:val="variable"/>
    <w:sig w:usb0="00000000" w:usb1="00000000" w:usb2="00000000" w:usb3="00000000" w:csb0="00040001" w:csb1="00000000"/>
  </w:font>
  <w:font w:name="宋体">
    <w:panose1 w:val="02010600030101010101"/>
    <w:charset w:val="86"/>
    <w:family w:val="auto"/>
    <w:pitch w:val="variable"/>
    <w:sig w:usb0="00000203" w:usb1="288F0000" w:usb2="00000006" w:usb3="00000000" w:csb0="00040001" w:csb1="00000000"/>
  </w:font>
  <w:font w:name="方正仿宋简体">
    <w:panose1 w:val="02000000000000000000"/>
    <w:charset w:val="86"/>
    <w:family w:val="script"/>
    <w:pitch w:val="variable"/>
    <w:sig w:usb0="A00002BF" w:usb1="184F6CFA" w:usb2="00000012" w:usb3="00000000" w:csb0="00040001"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方正黑体简体">
    <w:panose1 w:val="02000000000000000000"/>
    <w:charset w:val="86"/>
    <w:family w:val="auto"/>
    <w:pitch w:val="variable"/>
    <w:sig w:usb0="A00002BF" w:usb1="184F6CFA" w:usb2="00000012" w:usb3="00000000" w:csb0="00040001" w:csb1="00000000"/>
  </w:font>
  <w:font w:name="Times New Roman">
    <w:panose1 w:val="02020603050405020304"/>
    <w:charset w:val="00"/>
    <w:family w:val="roman"/>
    <w:pitch w:val="variable"/>
    <w:sig w:usb0="20007A87" w:usb1="80000000" w:usb2="00000008" w:usb3="00000000" w:csb0="000001FF" w:csb1="00000000"/>
  </w:font>
  <w:font w:name="方正仿宋_GBK">
    <w:altName w:val="宋体"/>
    <w:panose1 w:val="00000000000000000000"/>
    <w:charset w:val="86"/>
    <w:family w:val="roman"/>
    <w:pitch w:val="variable"/>
    <w:sig w:usb0="00000000" w:usb1="0000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jc w:val="center"/>
    </w:pPr>
    <w:r>
      <w:fldChar w:fldCharType="begin"/>
    </w:r>
    <w:r>
      <w:instrText xml:space="preserve"> PAGE   \* MERGEFORMAT </w:instrText>
    </w:r>
    <w:r>
      <w:fldChar w:fldCharType="separate"/>
    </w:r>
    <w:r>
      <w:rPr>
        <w:lang w:val="zh-CN"/>
      </w:rPr>
      <w:t>6</w:t>
    </w:r>
    <w:r>
      <w:rPr>
        <w:lang w:val="zh-CN"/>
      </w:rPr>
      <w:fldChar w:fldCharType="end"/>
    </w:r>
  </w:p>
  <w:p>
    <w:pPr>
      <w:pStyle w:val="16"/>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8000581"/>
    <w:multiLevelType w:val="singleLevel"/>
    <w:tmpl w:val="48000581"/>
    <w:lvl w:ilvl="0">
      <w:start w:val="1"/>
      <w:numFmt w:val="chineseCounting"/>
      <w:lvlRestart w:val="0"/>
      <w:suff w:val="nothing"/>
      <w:lvlText w:val="（%1）"/>
      <w:lvlJc w:val="left"/>
      <w:pPr>
        <w:ind w:left="0" w:hanging="0"/>
      </w:pPr>
      <w:rPr>
        <w:rFonts w:hint="eastAsia"/>
      </w:rPr>
    </w:lvl>
  </w:abstractNum>
  <w:abstractNum w:abstractNumId="1">
    <w:nsid w:val="14DC232D"/>
    <w:multiLevelType w:val="singleLevel"/>
    <w:tmpl w:val="14DC232D"/>
    <w:lvl w:ilvl="0">
      <w:start w:val="5"/>
      <w:numFmt w:val="chineseCounting"/>
      <w:lvlRestart w:val="0"/>
      <w:suff w:val="nothing"/>
      <w:lvlText w:val="%1、"/>
      <w:lvlJc w:val="left"/>
      <w:pPr>
        <w:ind w:left="0" w:hanging="0"/>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gutterAtTop/>
  <w:documentProtection w:edit="readOnly" w:enforcement="0"/>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compatSetting w:name="compatibilityMode" w:uri="http://schemas.microsoft.com/office/word" w:val="12"/>
  </w:compat>
  <w:docVars>
    <w:docVar w:name="commondata" w:val="eyJoZGlkIjoiMDdmOTVmOTg0NzZlZTI4NzQwYmRmZTU2NGI5MDBiMD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1"/>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footnote text"/>
    <w:basedOn w:val="0"/>
    <w:pPr>
      <w:snapToGrid w:val="0"/>
      <w:jc w:val="left"/>
    </w:pPr>
    <w:rPr>
      <w:sz w:val="18"/>
      <w:szCs w:val="18"/>
    </w:rPr>
  </w:style>
  <w:style w:type="character" w:styleId="19">
    <w:name w:val="page number"/>
    <w:basedOn w:val="10"/>
  </w:style>
  <w:style w:type="character" w:styleId="20">
    <w:name w:val="Hyperlink"/>
    <w:basedOn w:val="10"/>
    <w:rPr>
      <w:color w:val="0000FF"/>
      <w:u w:val="single"/>
    </w:rPr>
  </w:style>
  <w:style w:type="character" w:styleId="21">
    <w:name w:val="footnote reference"/>
    <w:basedOn w:val="10"/>
    <w:rPr>
      <w:vertAlign w:val="superscript"/>
    </w:rPr>
  </w:style>
  <w:style w:type="paragraph" w:customStyle="1" w:styleId="22">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3">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C265DCE-01D2-4E02-B4B8-650582C8E57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18</TotalTime>
  <Application>Yozo_Office27021597764231179</Application>
  <Pages>9</Pages>
  <Words>3878</Words>
  <Characters>4082</Characters>
  <Lines>222</Lines>
  <Paragraphs>101</Paragraphs>
  <CharactersWithSpaces>4094</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title>职责分类绩效目标：</dc:title>
  <dc:creator>Administrator</dc:creator>
  <cp:lastModifiedBy>1</cp:lastModifiedBy>
  <cp:revision>15</cp:revision>
  <cp:lastPrinted>2020-02-12T08:53:00Z</cp:lastPrinted>
  <dcterms:created xsi:type="dcterms:W3CDTF">2017-03-13T08:14:00Z</dcterms:created>
  <dcterms:modified xsi:type="dcterms:W3CDTF">2024-03-18T08:23:11Z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2052-12.1.0.15120</vt:lpwstr>
  </property>
  <property fmtid="{D5CDD505-2E9C-101B-9397-08002B2CF9AE}" pid="3" name="KSOSaveFontToCloudKey">
    <vt:lpwstr>296991752_btnclosed</vt:lpwstr>
  </property>
  <property fmtid="{D5CDD505-2E9C-101B-9397-08002B2CF9AE}" pid="4" name="ICV">
    <vt:lpwstr>CB50ADDF254348C4906E7D776BF67FC7</vt:lpwstr>
  </property>
</Properties>
</file>