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240" w:lineRule="atLeast"/>
        <w:rPr>
          <w:rFonts w:ascii="??_GB2312" w:hAnsi="宋体" w:cs="宋体"/>
          <w:sz w:val="32"/>
          <w:szCs w:val="32"/>
        </w:rPr>
      </w:pPr>
    </w:p>
    <w:p>
      <w:pPr>
        <w:pStyle w:val="12"/>
        <w:spacing w:line="560" w:lineRule="exact"/>
        <w:jc w:val="center"/>
        <w:rPr>
          <w:rFonts w:ascii="??_GB2312" w:hAnsi="宋体" w:cs="宋体"/>
          <w:sz w:val="32"/>
          <w:szCs w:val="32"/>
        </w:rPr>
      </w:pPr>
      <w:r>
        <w:rPr>
          <w:rFonts w:ascii="??_GB2312" w:hAnsi="宋体" w:eastAsia="Times New Roman" w:cs="宋体"/>
          <w:sz w:val="32"/>
          <w:szCs w:val="32"/>
        </w:rPr>
        <w:t>丰审环字〔20</w:t>
      </w:r>
      <w:r>
        <w:rPr>
          <w:rFonts w:hint="eastAsia" w:ascii="??_GB2312" w:hAnsi="宋体" w:eastAsia="Times New Roman" w:cs="宋体"/>
          <w:sz w:val="32"/>
          <w:szCs w:val="32"/>
        </w:rPr>
        <w:t>2</w:t>
      </w:r>
      <w:r>
        <w:rPr>
          <w:rFonts w:hint="eastAsia" w:ascii="??_GB2312" w:hAnsi="宋体" w:eastAsia="宋体" w:cs="宋体"/>
          <w:sz w:val="32"/>
          <w:szCs w:val="32"/>
          <w:lang w:val="en-US" w:eastAsia="zh-CN"/>
        </w:rPr>
        <w:t>4</w:t>
      </w:r>
      <w:r>
        <w:rPr>
          <w:rFonts w:ascii="??_GB2312" w:hAnsi="宋体" w:eastAsia="Times New Roman" w:cs="宋体"/>
          <w:sz w:val="32"/>
          <w:szCs w:val="32"/>
        </w:rPr>
        <w:t>〕</w:t>
      </w:r>
      <w:r>
        <w:rPr>
          <w:rFonts w:hint="eastAsia" w:ascii="??_GB2312" w:hAnsi="宋体" w:eastAsia="宋体" w:cs="宋体"/>
          <w:sz w:val="32"/>
          <w:szCs w:val="32"/>
          <w:lang w:val="en-US" w:eastAsia="zh-CN"/>
        </w:rPr>
        <w:t>028</w:t>
      </w:r>
      <w:r>
        <w:rPr>
          <w:rFonts w:ascii="??_GB2312" w:hAnsi="宋体" w:eastAsia="Times New Roman" w:cs="宋体"/>
          <w:sz w:val="32"/>
          <w:szCs w:val="32"/>
        </w:rPr>
        <w:t>号</w:t>
      </w:r>
    </w:p>
    <w:p>
      <w:pPr>
        <w:pStyle w:val="12"/>
        <w:spacing w:line="560" w:lineRule="exact"/>
        <w:jc w:val="center"/>
        <w:rPr>
          <w:rFonts w:ascii="??_GB2312" w:hAnsi="宋体" w:cs="宋体"/>
          <w:sz w:val="32"/>
          <w:szCs w:val="32"/>
        </w:rPr>
      </w:pPr>
    </w:p>
    <w:p>
      <w:pPr>
        <w:pStyle w:val="12"/>
        <w:spacing w:line="560" w:lineRule="exact"/>
        <w:jc w:val="center"/>
        <w:rPr>
          <w:rFonts w:hint="eastAsia" w:ascii="黑体" w:hAnsi="黑体" w:eastAsia="黑体" w:cs="黑体"/>
          <w:w w:val="97"/>
          <w:sz w:val="44"/>
          <w:szCs w:val="44"/>
        </w:rPr>
      </w:pPr>
      <w:r>
        <w:rPr>
          <w:rFonts w:hint="eastAsia" w:ascii="黑体" w:hAnsi="黑体" w:eastAsia="黑体" w:cs="黑体"/>
          <w:w w:val="97"/>
          <w:sz w:val="44"/>
          <w:szCs w:val="44"/>
        </w:rPr>
        <w:t>唐山市丰润区行政审批局</w:t>
      </w:r>
    </w:p>
    <w:p>
      <w:pPr>
        <w:pStyle w:val="12"/>
        <w:spacing w:line="560" w:lineRule="exact"/>
        <w:jc w:val="center"/>
        <w:rPr>
          <w:rFonts w:hint="eastAsia" w:ascii="黑体" w:hAnsi="黑体" w:eastAsia="黑体" w:cs="黑体"/>
          <w:color w:val="auto"/>
          <w:w w:val="97"/>
          <w:kern w:val="2"/>
          <w:sz w:val="44"/>
          <w:szCs w:val="44"/>
        </w:rPr>
      </w:pPr>
      <w:r>
        <w:rPr>
          <w:rFonts w:hint="eastAsia" w:ascii="黑体" w:hAnsi="黑体" w:eastAsia="黑体" w:cs="黑体"/>
          <w:color w:val="auto"/>
          <w:w w:val="97"/>
          <w:kern w:val="2"/>
          <w:sz w:val="44"/>
          <w:szCs w:val="44"/>
        </w:rPr>
        <w:t>关于河北实丰绿建科技发展有限公司</w:t>
      </w:r>
    </w:p>
    <w:p>
      <w:pPr>
        <w:pStyle w:val="16"/>
        <w:spacing w:line="560" w:lineRule="exact"/>
        <w:jc w:val="center"/>
        <w:rPr>
          <w:rFonts w:hint="eastAsia" w:ascii="黑体" w:hAnsi="黑体" w:eastAsia="黑体" w:cs="黑体"/>
          <w:w w:val="97"/>
          <w:sz w:val="44"/>
          <w:szCs w:val="44"/>
        </w:rPr>
      </w:pPr>
      <w:r>
        <w:rPr>
          <w:rFonts w:hint="eastAsia" w:ascii="黑体" w:hAnsi="黑体" w:eastAsia="黑体" w:cs="黑体"/>
          <w:color w:val="auto"/>
          <w:w w:val="97"/>
          <w:kern w:val="2"/>
          <w:sz w:val="44"/>
          <w:szCs w:val="44"/>
        </w:rPr>
        <w:t>扩建装配式建筑构件项目</w:t>
      </w:r>
      <w:r>
        <w:rPr>
          <w:rFonts w:hint="eastAsia" w:ascii="黑体" w:hAnsi="黑体" w:eastAsia="黑体" w:cs="黑体"/>
          <w:w w:val="97"/>
          <w:sz w:val="44"/>
          <w:szCs w:val="44"/>
        </w:rPr>
        <w:t>影响报告书的</w:t>
      </w:r>
    </w:p>
    <w:p>
      <w:pPr>
        <w:pStyle w:val="16"/>
        <w:spacing w:line="560" w:lineRule="exact"/>
        <w:jc w:val="center"/>
        <w:rPr>
          <w:rFonts w:ascii="黑体" w:hAnsi="黑体" w:eastAsia="黑体" w:cs="黑体"/>
          <w:w w:val="97"/>
          <w:sz w:val="44"/>
          <w:szCs w:val="44"/>
        </w:rPr>
      </w:pPr>
      <w:r>
        <w:rPr>
          <w:rFonts w:hint="eastAsia" w:ascii="黑体" w:hAnsi="黑体" w:eastAsia="黑体" w:cs="黑体"/>
          <w:w w:val="97"/>
          <w:sz w:val="44"/>
          <w:szCs w:val="44"/>
        </w:rPr>
        <w:t>批复</w:t>
      </w:r>
    </w:p>
    <w:p>
      <w:pPr>
        <w:spacing w:line="560" w:lineRule="exact"/>
        <w:jc w:val="center"/>
        <w:rPr>
          <w:rFonts w:ascii="宋体"/>
          <w:sz w:val="44"/>
          <w:szCs w:val="44"/>
        </w:rPr>
      </w:pPr>
    </w:p>
    <w:p>
      <w:pPr>
        <w:pStyle w:val="16"/>
        <w:spacing w:line="560" w:lineRule="exact"/>
        <w:jc w:val="both"/>
        <w:rPr>
          <w:rFonts w:ascii="仿宋" w:hAnsi="仿宋" w:eastAsia="仿宋" w:cs="仿宋"/>
          <w:bCs/>
          <w:sz w:val="32"/>
          <w:szCs w:val="32"/>
        </w:rPr>
      </w:pPr>
      <w:r>
        <w:rPr>
          <w:rFonts w:hint="eastAsia" w:ascii="仿宋" w:hAnsi="仿宋" w:eastAsia="仿宋" w:cs="仿宋"/>
          <w:bCs/>
          <w:sz w:val="32"/>
          <w:szCs w:val="32"/>
        </w:rPr>
        <w:t>河北实丰绿建科技发展有限公司：</w:t>
      </w:r>
    </w:p>
    <w:p>
      <w:pPr>
        <w:pStyle w:val="16"/>
        <w:spacing w:line="560" w:lineRule="exact"/>
        <w:rPr>
          <w:rFonts w:ascii="仿宋" w:hAnsi="仿宋" w:eastAsia="仿宋" w:cs="仿宋"/>
          <w:bCs/>
          <w:color w:val="auto"/>
          <w:kern w:val="2"/>
          <w:sz w:val="32"/>
          <w:szCs w:val="32"/>
        </w:rPr>
      </w:pPr>
      <w:r>
        <w:rPr>
          <w:rFonts w:hint="eastAsia" w:ascii="仿宋" w:hAnsi="仿宋" w:eastAsia="仿宋" w:cs="仿宋"/>
          <w:bCs/>
          <w:sz w:val="32"/>
          <w:szCs w:val="32"/>
        </w:rPr>
        <w:t xml:space="preserve">    所报《河北实丰绿建科技发展有限公司扩建装配式建筑构件项目》（以下简称《报告书》）审批申请及相关材料收悉。根据环评报告书结论和专家评审意见，结合工程环境影响特点及公众参与调查结论，经研究，现批复如下：</w:t>
      </w:r>
    </w:p>
    <w:p>
      <w:pPr>
        <w:pStyle w:val="16"/>
        <w:spacing w:line="560" w:lineRule="exact"/>
        <w:ind w:firstLine="632" w:firstLineChars="200"/>
        <w:rPr>
          <w:rFonts w:hint="eastAsia" w:ascii="仿宋" w:hAnsi="仿宋" w:eastAsia="仿宋" w:cs="仿宋"/>
          <w:bCs/>
          <w:sz w:val="32"/>
          <w:szCs w:val="32"/>
        </w:rPr>
      </w:pPr>
      <w:r>
        <w:rPr>
          <w:rFonts w:hint="eastAsia" w:ascii="仿宋" w:hAnsi="仿宋" w:eastAsia="仿宋" w:cs="仿宋"/>
          <w:bCs/>
          <w:sz w:val="32"/>
          <w:szCs w:val="32"/>
        </w:rPr>
        <w:t>河北实丰绿建科技发展有限公司扩建装配式建筑构件项目</w:t>
      </w:r>
      <w:r>
        <w:rPr>
          <w:rFonts w:hint="eastAsia" w:eastAsia="仿宋" w:cs="仿宋"/>
          <w:bCs/>
          <w:sz w:val="32"/>
          <w:szCs w:val="32"/>
          <w:lang w:eastAsia="zh-CN"/>
        </w:rPr>
        <w:t>，</w:t>
      </w:r>
      <w:r>
        <w:rPr>
          <w:rFonts w:hint="eastAsia" w:eastAsia="仿宋" w:cs="仿宋"/>
          <w:bCs/>
          <w:sz w:val="32"/>
          <w:szCs w:val="32"/>
          <w:lang w:val="en-US" w:eastAsia="zh-CN"/>
        </w:rPr>
        <w:t>位</w:t>
      </w:r>
      <w:r>
        <w:rPr>
          <w:rFonts w:hint="eastAsia" w:ascii="仿宋" w:hAnsi="仿宋" w:eastAsia="仿宋" w:cs="仿宋"/>
          <w:bCs/>
          <w:color w:val="auto"/>
          <w:kern w:val="2"/>
          <w:sz w:val="32"/>
          <w:szCs w:val="32"/>
        </w:rPr>
        <w:t>于河北丰润经济开发区河北实丰绿建科技发展有限公司院内</w:t>
      </w:r>
      <w:r>
        <w:rPr>
          <w:rFonts w:ascii="仿宋" w:hAnsi="仿宋" w:eastAsia="仿宋" w:cs="仿宋"/>
          <w:bCs/>
          <w:sz w:val="32"/>
          <w:szCs w:val="32"/>
        </w:rPr>
        <w:t>，</w:t>
      </w:r>
      <w:r>
        <w:rPr>
          <w:rFonts w:hint="eastAsia" w:ascii="仿宋" w:hAnsi="仿宋" w:eastAsia="仿宋" w:cs="仿宋"/>
          <w:bCs/>
          <w:sz w:val="32"/>
          <w:szCs w:val="32"/>
        </w:rPr>
        <w:t>总投资</w:t>
      </w:r>
      <w:r>
        <w:rPr>
          <w:rFonts w:hint="eastAsia" w:eastAsia="仿宋" w:cs="仿宋"/>
          <w:bCs/>
          <w:sz w:val="32"/>
          <w:szCs w:val="32"/>
          <w:lang w:val="en-US" w:eastAsia="zh-CN"/>
        </w:rPr>
        <w:t>4000</w:t>
      </w:r>
      <w:r>
        <w:rPr>
          <w:rFonts w:hint="eastAsia" w:ascii="仿宋" w:hAnsi="仿宋" w:eastAsia="仿宋" w:cs="仿宋"/>
          <w:bCs/>
          <w:sz w:val="32"/>
          <w:szCs w:val="32"/>
        </w:rPr>
        <w:t>万元，其中环保投资</w:t>
      </w:r>
      <w:r>
        <w:rPr>
          <w:rFonts w:hint="eastAsia" w:eastAsia="仿宋" w:cs="仿宋"/>
          <w:bCs/>
          <w:sz w:val="32"/>
          <w:szCs w:val="32"/>
          <w:lang w:val="en-US" w:eastAsia="zh-CN"/>
        </w:rPr>
        <w:t>100</w:t>
      </w:r>
      <w:r>
        <w:rPr>
          <w:rFonts w:hint="eastAsia" w:ascii="仿宋" w:hAnsi="仿宋" w:eastAsia="仿宋" w:cs="仿宋"/>
          <w:bCs/>
          <w:sz w:val="32"/>
          <w:szCs w:val="32"/>
        </w:rPr>
        <w:t>万元，项目建成后</w:t>
      </w:r>
      <w:r>
        <w:rPr>
          <w:rFonts w:hint="eastAsia" w:eastAsia="仿宋" w:cs="仿宋"/>
          <w:bCs/>
          <w:sz w:val="32"/>
          <w:szCs w:val="32"/>
          <w:lang w:eastAsia="zh-CN"/>
        </w:rPr>
        <w:t>，</w:t>
      </w:r>
      <w:r>
        <w:rPr>
          <w:rFonts w:hint="eastAsia" w:ascii="仿宋" w:hAnsi="仿宋" w:eastAsia="仿宋" w:cs="仿宋"/>
          <w:bCs/>
          <w:sz w:val="32"/>
          <w:szCs w:val="32"/>
        </w:rPr>
        <w:t>年增产装配式建筑钢构件5万吨。</w:t>
      </w:r>
    </w:p>
    <w:p>
      <w:pPr>
        <w:pStyle w:val="16"/>
        <w:spacing w:line="560" w:lineRule="exact"/>
        <w:ind w:firstLine="632" w:firstLineChars="200"/>
        <w:jc w:val="both"/>
        <w:rPr>
          <w:rFonts w:ascii="仿宋" w:hAnsi="仿宋" w:eastAsia="仿宋" w:cs="仿宋"/>
          <w:bCs/>
          <w:sz w:val="32"/>
          <w:szCs w:val="32"/>
        </w:rPr>
      </w:pPr>
      <w:r>
        <w:rPr>
          <w:rFonts w:hint="eastAsia" w:ascii="仿宋" w:hAnsi="仿宋" w:eastAsia="仿宋" w:cs="仿宋"/>
          <w:bCs/>
          <w:sz w:val="32"/>
          <w:szCs w:val="32"/>
        </w:rPr>
        <w:t>根据你</w:t>
      </w:r>
      <w:r>
        <w:rPr>
          <w:rFonts w:hint="eastAsia" w:eastAsia="仿宋" w:cs="仿宋"/>
          <w:bCs/>
          <w:sz w:val="32"/>
          <w:szCs w:val="32"/>
          <w:lang w:val="en-US" w:eastAsia="zh-CN"/>
        </w:rPr>
        <w:t>单位</w:t>
      </w:r>
      <w:r>
        <w:rPr>
          <w:rFonts w:hint="eastAsia" w:ascii="仿宋" w:hAnsi="仿宋" w:eastAsia="仿宋" w:cs="仿宋"/>
          <w:bCs/>
          <w:sz w:val="32"/>
          <w:szCs w:val="32"/>
        </w:rPr>
        <w:t>所报《报告书》以及报告书专家评审意见、项目公众参与意见，从环境保护角度分析，我局原则同意《报告书》结论。</w:t>
      </w:r>
    </w:p>
    <w:p>
      <w:pPr>
        <w:numPr>
          <w:ilvl w:val="0"/>
          <w:numId w:val="1"/>
        </w:numPr>
        <w:spacing w:line="560" w:lineRule="exact"/>
        <w:ind w:firstLine="640"/>
        <w:rPr>
          <w:rFonts w:ascii="仿宋" w:hAnsi="仿宋" w:eastAsia="仿宋" w:cs="仿宋"/>
          <w:bCs/>
          <w:sz w:val="32"/>
          <w:szCs w:val="32"/>
        </w:rPr>
      </w:pPr>
      <w:r>
        <w:rPr>
          <w:rFonts w:hint="eastAsia" w:ascii="仿宋" w:hAnsi="仿宋" w:eastAsia="仿宋" w:cs="仿宋"/>
          <w:bCs/>
          <w:sz w:val="32"/>
          <w:szCs w:val="32"/>
        </w:rPr>
        <w:t>你</w:t>
      </w:r>
      <w:r>
        <w:rPr>
          <w:rFonts w:hint="eastAsia" w:ascii="仿宋" w:hAnsi="仿宋" w:eastAsia="仿宋" w:cs="仿宋"/>
          <w:bCs/>
          <w:sz w:val="32"/>
          <w:szCs w:val="32"/>
          <w:lang w:val="en-US" w:eastAsia="zh-CN"/>
        </w:rPr>
        <w:t>单位</w:t>
      </w:r>
      <w:r>
        <w:rPr>
          <w:rFonts w:hint="eastAsia" w:ascii="仿宋" w:hAnsi="仿宋" w:eastAsia="仿宋" w:cs="仿宋"/>
          <w:bCs/>
          <w:sz w:val="32"/>
          <w:szCs w:val="32"/>
        </w:rPr>
        <w:t>须严格按照《报告书》所列建设项目的性质、规模、地点、生产工艺、环保措施及要求实施项目建设。</w:t>
      </w:r>
    </w:p>
    <w:p>
      <w:pPr>
        <w:numPr>
          <w:ilvl w:val="0"/>
          <w:numId w:val="1"/>
        </w:numPr>
        <w:shd w:val="clear" w:color="auto" w:fill="FFFFFF"/>
        <w:spacing w:line="560" w:lineRule="exact"/>
        <w:ind w:firstLine="640"/>
        <w:rPr>
          <w:rFonts w:ascii="仿宋" w:hAnsi="仿宋" w:eastAsia="仿宋" w:cs="仿宋"/>
          <w:bCs/>
          <w:sz w:val="32"/>
          <w:szCs w:val="32"/>
        </w:rPr>
      </w:pPr>
      <w:r>
        <w:rPr>
          <w:rFonts w:hint="eastAsia" w:ascii="仿宋" w:hAnsi="仿宋" w:eastAsia="仿宋" w:cs="仿宋"/>
          <w:bCs/>
          <w:sz w:val="32"/>
          <w:szCs w:val="32"/>
        </w:rPr>
        <w:t>项目建设和运行过程中要认真落实《报告书》及相关的各项污染防治措施，还应重点做好以下工作：</w:t>
      </w:r>
    </w:p>
    <w:p>
      <w:pPr>
        <w:pStyle w:val="14"/>
        <w:shd w:val="clear" w:color="auto" w:fill="FFFFFF"/>
        <w:spacing w:line="560" w:lineRule="exact"/>
        <w:ind w:left="420" w:firstLine="0" w:firstLineChars="0"/>
        <w:rPr>
          <w:rFonts w:ascii="仿宋" w:hAnsi="仿宋" w:eastAsia="仿宋" w:cs="仿宋"/>
          <w:bCs/>
          <w:color w:val="FF0000"/>
          <w:sz w:val="32"/>
          <w:szCs w:val="32"/>
        </w:rPr>
      </w:pPr>
      <w:r>
        <w:rPr>
          <w:rFonts w:hint="eastAsia" w:ascii="仿宋" w:hAnsi="仿宋" w:eastAsia="仿宋" w:cs="仿宋"/>
          <w:bCs/>
          <w:sz w:val="32"/>
          <w:szCs w:val="32"/>
        </w:rPr>
        <w:t>（一）严格落实水环境保护措施。</w:t>
      </w:r>
    </w:p>
    <w:p>
      <w:pPr>
        <w:snapToGrid w:val="0"/>
        <w:spacing w:line="560" w:lineRule="exact"/>
        <w:ind w:firstLine="632" w:firstLineChars="200"/>
        <w:rPr>
          <w:rFonts w:hint="eastAsia" w:ascii="仿宋" w:hAnsi="仿宋" w:eastAsia="仿宋" w:cs="仿宋"/>
          <w:bCs/>
          <w:sz w:val="32"/>
          <w:szCs w:val="32"/>
        </w:rPr>
      </w:pPr>
      <w:r>
        <w:rPr>
          <w:rFonts w:hint="eastAsia" w:ascii="仿宋" w:hAnsi="仿宋" w:eastAsia="仿宋" w:cs="仿宋"/>
          <w:bCs/>
          <w:sz w:val="32"/>
          <w:szCs w:val="32"/>
        </w:rPr>
        <w:t>项目本项目用水为生产用水，生产用水采用市政中水，由唐山市唐排润丰水净化有限公司供给。</w:t>
      </w:r>
    </w:p>
    <w:p>
      <w:pPr>
        <w:snapToGrid w:val="0"/>
        <w:spacing w:line="560" w:lineRule="exact"/>
        <w:ind w:firstLine="632" w:firstLineChars="200"/>
        <w:rPr>
          <w:rFonts w:hint="eastAsia" w:ascii="仿宋" w:hAnsi="仿宋" w:eastAsia="仿宋" w:cs="仿宋"/>
          <w:bCs/>
          <w:sz w:val="32"/>
          <w:szCs w:val="32"/>
        </w:rPr>
      </w:pPr>
      <w:r>
        <w:rPr>
          <w:rFonts w:hint="eastAsia" w:ascii="仿宋" w:hAnsi="仿宋" w:eastAsia="仿宋" w:cs="仿宋"/>
          <w:bCs/>
          <w:sz w:val="32"/>
          <w:szCs w:val="32"/>
        </w:rPr>
        <w:t>⑴钻类设备钻头冷却废水钻类设备钻头冷却用水采用中水，中水喷淋（人工喷淋）至钻头，降低钻头温度，循环使用，不外排。</w:t>
      </w:r>
    </w:p>
    <w:p>
      <w:pPr>
        <w:snapToGrid w:val="0"/>
        <w:spacing w:line="560" w:lineRule="exact"/>
        <w:ind w:firstLine="632" w:firstLineChars="200"/>
        <w:rPr>
          <w:rFonts w:hint="eastAsia" w:ascii="仿宋" w:hAnsi="仿宋" w:eastAsia="仿宋" w:cs="仿宋"/>
          <w:bCs/>
          <w:sz w:val="32"/>
          <w:szCs w:val="32"/>
        </w:rPr>
      </w:pPr>
      <w:r>
        <w:rPr>
          <w:rFonts w:hint="eastAsia" w:ascii="仿宋" w:hAnsi="仿宋" w:eastAsia="仿宋" w:cs="仿宋"/>
          <w:bCs/>
          <w:sz w:val="32"/>
          <w:szCs w:val="32"/>
        </w:rPr>
        <w:t>⑵湿式漆雾预处理装置喷淋废水湿式漆雾预处理装置喷淋废水定期更换，更换下来的废水作为危险废物处置。</w:t>
      </w:r>
    </w:p>
    <w:p>
      <w:pPr>
        <w:snapToGrid w:val="0"/>
        <w:spacing w:line="560" w:lineRule="exact"/>
        <w:ind w:firstLine="632" w:firstLineChars="200"/>
        <w:rPr>
          <w:rFonts w:ascii="仿宋" w:hAnsi="仿宋" w:eastAsia="仿宋" w:cs="仿宋"/>
          <w:bCs/>
          <w:sz w:val="32"/>
          <w:szCs w:val="32"/>
        </w:rPr>
      </w:pPr>
      <w:r>
        <w:rPr>
          <w:rFonts w:hint="eastAsia" w:ascii="仿宋" w:hAnsi="仿宋" w:eastAsia="仿宋" w:cs="仿宋"/>
          <w:bCs/>
          <w:sz w:val="32"/>
          <w:szCs w:val="32"/>
        </w:rPr>
        <w:t>（二）</w:t>
      </w:r>
      <w:bookmarkStart w:id="0" w:name="_GoBack"/>
      <w:bookmarkEnd w:id="0"/>
      <w:r>
        <w:rPr>
          <w:rFonts w:hint="eastAsia" w:ascii="仿宋" w:hAnsi="仿宋" w:eastAsia="仿宋" w:cs="仿宋"/>
          <w:bCs/>
          <w:sz w:val="32"/>
          <w:szCs w:val="32"/>
        </w:rPr>
        <w:t>严格落实大气环境保护措施。</w:t>
      </w:r>
    </w:p>
    <w:p>
      <w:pPr>
        <w:adjustRightInd w:val="0"/>
        <w:snapToGrid w:val="0"/>
        <w:spacing w:line="560" w:lineRule="exact"/>
        <w:ind w:firstLine="632" w:firstLineChars="200"/>
        <w:rPr>
          <w:rFonts w:hint="eastAsia" w:ascii="仿宋" w:hAnsi="仿宋" w:eastAsia="仿宋" w:cs="仿宋"/>
          <w:bCs/>
          <w:sz w:val="32"/>
          <w:szCs w:val="32"/>
          <w:lang w:eastAsia="zh-CN"/>
        </w:rPr>
      </w:pPr>
      <w:r>
        <w:rPr>
          <w:rFonts w:hint="eastAsia" w:ascii="仿宋" w:hAnsi="仿宋" w:eastAsia="仿宋" w:cs="仿宋"/>
          <w:bCs/>
          <w:sz w:val="32"/>
          <w:szCs w:val="32"/>
        </w:rPr>
        <w:t>①抛丸过程产生的废气经抛丸室内集气装置收集，由原有1 套高效脉冲袋式除尘器（TA002，风量 50000m3/h）处理后，经1 根排气筒（DA002）排放，排气筒高度 20m</w:t>
      </w:r>
      <w:r>
        <w:rPr>
          <w:rFonts w:hint="eastAsia" w:ascii="仿宋" w:hAnsi="仿宋" w:eastAsia="仿宋" w:cs="仿宋"/>
          <w:bCs/>
          <w:sz w:val="32"/>
          <w:szCs w:val="32"/>
          <w:lang w:eastAsia="zh-CN"/>
        </w:rPr>
        <w:t>；精准构件制作车间内西侧设置1个移动式焊接棚，小型焊接设备入棚，西侧焊接棚规格为 30m×9m×4m（容纳二保焊20 台），焊接棚封闭，焊接棚固定端上方设置引风口，悬臂式电渣焊机（1台）、拼焊矫一体机（1 台）焊接点上方设置移动式集气罩跟随焊点移动，上述焊接废气经集气装置收集后，引入精准构件制作车间外西侧原有1台高效脉冲袋式除尘器（TA003，风量30000m3/h）处理，处理后经1根排气筒（DA003）排放，该排气筒高度20m；精准构件制作车间内东侧设置1个移动式焊接棚，小型焊接设备入棚，西侧焊接棚规格为 30m×12m×4m（容纳二保焊20台，电焊机9台），焊接棚封闭，焊接棚固定端上方设置引风口，焊接废气经集气装置收集后，引入精准构件制作车间外西侧原有1台高效脉冲袋式除尘器（TA010，风量 36000m3/h）处理，处理后经1根排气筒（DA009）排放，排气筒高度18m；数控直条切割机产生的废气经侧吸收尘</w:t>
      </w:r>
    </w:p>
    <w:p>
      <w:pPr>
        <w:adjustRightInd w:val="0"/>
        <w:snapToGrid w:val="0"/>
        <w:spacing w:line="560" w:lineRule="exact"/>
        <w:rPr>
          <w:rFonts w:hint="eastAsia" w:ascii="仿宋" w:hAnsi="仿宋" w:eastAsia="仿宋" w:cs="仿宋"/>
          <w:bCs/>
          <w:sz w:val="32"/>
          <w:szCs w:val="32"/>
          <w:lang w:eastAsia="zh-CN"/>
        </w:rPr>
      </w:pPr>
      <w:r>
        <w:rPr>
          <w:rFonts w:hint="eastAsia" w:ascii="仿宋" w:hAnsi="仿宋" w:eastAsia="仿宋" w:cs="仿宋"/>
          <w:bCs/>
          <w:sz w:val="32"/>
          <w:szCs w:val="32"/>
          <w:lang w:eastAsia="zh-CN"/>
        </w:rPr>
        <w:t>系统收集后，引入精准构件制作车间外原有1台高效脉冲袋式除尘器（TA004，风量 10000m3/h）处理后，经1根排气筒（DA004）排放，排气筒高度20m；数控等离子切割机产生的废气经侧吸收</w:t>
      </w:r>
    </w:p>
    <w:p>
      <w:pPr>
        <w:adjustRightInd w:val="0"/>
        <w:snapToGrid w:val="0"/>
        <w:spacing w:line="560" w:lineRule="exact"/>
        <w:rPr>
          <w:rFonts w:hint="eastAsia" w:ascii="仿宋" w:hAnsi="仿宋" w:eastAsia="仿宋" w:cs="仿宋"/>
          <w:bCs/>
          <w:sz w:val="32"/>
          <w:szCs w:val="32"/>
          <w:lang w:eastAsia="zh-CN"/>
        </w:rPr>
      </w:pPr>
      <w:r>
        <w:rPr>
          <w:rFonts w:hint="eastAsia" w:ascii="仿宋" w:hAnsi="仿宋" w:eastAsia="仿宋" w:cs="仿宋"/>
          <w:bCs/>
          <w:sz w:val="32"/>
          <w:szCs w:val="32"/>
          <w:lang w:eastAsia="zh-CN"/>
        </w:rPr>
        <w:t>尘系统收集后，引入精准构件制作车间内原有 1 台高效脉冲袋式除尘器（TA009，9000m3/h）处理，光纤激光切割机产生的废气经侧吸收尘系统收集后，引入精准构件制作车间内 1 台高效脉冲袋式除尘器（TA011，风量8000m3/h，新增）处理，数控等离子切割机产生的废气、光纤激光切割机废气经各自除尘器处理后，由1根排气筒（DA010）排放，排气筒高度18m。</w:t>
      </w:r>
    </w:p>
    <w:p>
      <w:pPr>
        <w:adjustRightInd w:val="0"/>
        <w:snapToGrid w:val="0"/>
        <w:spacing w:line="560" w:lineRule="exact"/>
        <w:ind w:firstLine="632"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以上外排废气中颗粒物浓度低于10mg/m3，满足《钢铁工业大气污染物超低排放标准》（DB 13/2169-2018）表 1 规定的排放限值。</w:t>
      </w:r>
    </w:p>
    <w:p>
      <w:pPr>
        <w:adjustRightInd w:val="0"/>
        <w:snapToGrid w:val="0"/>
        <w:spacing w:line="560" w:lineRule="exact"/>
        <w:ind w:firstLine="632" w:firstLineChars="200"/>
        <w:rPr>
          <w:rFonts w:hint="eastAsia" w:ascii="仿宋" w:hAnsi="仿宋" w:eastAsia="仿宋" w:cs="仿宋"/>
          <w:bCs/>
          <w:sz w:val="32"/>
          <w:szCs w:val="32"/>
          <w:lang w:eastAsia="zh-CN"/>
        </w:rPr>
      </w:pPr>
      <w:r>
        <w:rPr>
          <w:rFonts w:hint="eastAsia" w:ascii="仿宋" w:hAnsi="仿宋" w:eastAsia="仿宋" w:cs="仿宋"/>
          <w:bCs/>
          <w:sz w:val="32"/>
          <w:szCs w:val="32"/>
        </w:rPr>
        <w:t>②企业防腐车间南侧现设有喷漆房2座，2座喷漆房交替使用，不同时使用，当 1座喷漆房使用完毕（调漆、喷漆、晾干完成，即为完毕），另 1 座喷漆房开始使用，2 座喷漆房规格均为 40m×12m×3.5m。调漆、喷漆、晾干工序均在封闭的喷漆房内进行，2 座喷漆房内设有补风和引风装置，2 座喷漆房产生的调漆、喷漆、晾干工序废气共用 1 套“干湿组合高效漆雾预处理+活性炭吸附/脱附+催化燃烧装置”处理，处理后由 1 根排气筒（DA007）排放，排气筒高度 22m。该装置吸附风机风量为 59000m3/h，脱附风机风量为 2000m3/h</w:t>
      </w:r>
      <w:r>
        <w:rPr>
          <w:rFonts w:hint="eastAsia" w:ascii="仿宋" w:hAnsi="仿宋" w:eastAsia="仿宋" w:cs="仿宋"/>
          <w:bCs/>
          <w:sz w:val="32"/>
          <w:szCs w:val="32"/>
          <w:lang w:eastAsia="zh-CN"/>
        </w:rPr>
        <w:t>；企业防腐车间北侧现设有喷漆房 1 座，</w:t>
      </w:r>
    </w:p>
    <w:p>
      <w:pPr>
        <w:adjustRightInd w:val="0"/>
        <w:snapToGrid w:val="0"/>
        <w:spacing w:line="560" w:lineRule="exact"/>
        <w:rPr>
          <w:rFonts w:hint="eastAsia" w:ascii="仿宋" w:hAnsi="仿宋" w:eastAsia="仿宋" w:cs="仿宋"/>
          <w:bCs/>
          <w:sz w:val="32"/>
          <w:szCs w:val="32"/>
          <w:lang w:eastAsia="zh-CN"/>
        </w:rPr>
      </w:pPr>
      <w:r>
        <w:rPr>
          <w:rFonts w:hint="eastAsia" w:ascii="仿宋" w:hAnsi="仿宋" w:eastAsia="仿宋" w:cs="仿宋"/>
          <w:bCs/>
          <w:sz w:val="32"/>
          <w:szCs w:val="32"/>
          <w:lang w:eastAsia="zh-CN"/>
        </w:rPr>
        <w:t>喷漆房规格为 40m×12m×3.5m，调漆、喷漆、晾干工序均在封闭的喷漆房内进行，喷漆房内设有补风和引风装置，北侧喷漆房产生的调漆、喷漆、晾干工序废气依托原有 1 套“干湿组合高效漆雾预处理+活性炭吸附/脱附+催化燃烧装置”处理，处理后由 1 根排气筒（DA006）排放，排气筒高度 22m。该装置吸附风机风量为 36000m3/h，脱附风机风量为2000m3/h。</w:t>
      </w:r>
    </w:p>
    <w:p>
      <w:pPr>
        <w:adjustRightInd w:val="0"/>
        <w:snapToGrid w:val="0"/>
        <w:spacing w:line="560" w:lineRule="exact"/>
        <w:ind w:firstLine="632" w:firstLineChars="200"/>
        <w:rPr>
          <w:rFonts w:ascii="仿宋" w:hAnsi="仿宋" w:eastAsia="仿宋" w:cs="仿宋"/>
          <w:bCs/>
          <w:sz w:val="32"/>
          <w:szCs w:val="32"/>
        </w:rPr>
      </w:pPr>
      <w:r>
        <w:rPr>
          <w:rFonts w:hint="eastAsia" w:ascii="仿宋" w:hAnsi="仿宋" w:eastAsia="仿宋" w:cs="仿宋"/>
          <w:bCs/>
          <w:sz w:val="32"/>
          <w:szCs w:val="32"/>
        </w:rPr>
        <w:t>（三）严格落实噪声污染防治措施。</w:t>
      </w:r>
    </w:p>
    <w:p>
      <w:pPr>
        <w:adjustRightInd w:val="0"/>
        <w:snapToGrid w:val="0"/>
        <w:spacing w:line="560" w:lineRule="exact"/>
        <w:ind w:firstLine="632" w:firstLineChars="200"/>
        <w:rPr>
          <w:rFonts w:hint="eastAsia" w:ascii="仿宋" w:hAnsi="仿宋" w:eastAsia="仿宋" w:cs="仿宋"/>
          <w:bCs/>
          <w:sz w:val="32"/>
          <w:szCs w:val="32"/>
          <w:lang w:eastAsia="zh-CN"/>
        </w:rPr>
      </w:pPr>
      <w:r>
        <w:rPr>
          <w:rFonts w:hint="eastAsia" w:ascii="仿宋" w:hAnsi="仿宋" w:eastAsia="仿宋" w:cs="仿宋"/>
          <w:bCs/>
          <w:sz w:val="32"/>
          <w:szCs w:val="32"/>
        </w:rPr>
        <w:t>项目采用低噪声设备，生产设备基础加装减振垫，风机安装消声器，空压机安装隔声罩，厂房隔声。满足《工业企业厂界环境噪声排放标准》（GBl2348-2008）2类、3 类、4 类标准限值要求</w:t>
      </w:r>
      <w:r>
        <w:rPr>
          <w:rFonts w:hint="eastAsia" w:ascii="仿宋" w:hAnsi="仿宋" w:eastAsia="仿宋" w:cs="仿宋"/>
          <w:bCs/>
          <w:sz w:val="32"/>
          <w:szCs w:val="32"/>
          <w:lang w:eastAsia="zh-CN"/>
        </w:rPr>
        <w:t>。</w:t>
      </w:r>
    </w:p>
    <w:p>
      <w:pPr>
        <w:adjustRightInd w:val="0"/>
        <w:snapToGrid w:val="0"/>
        <w:spacing w:line="560" w:lineRule="exact"/>
        <w:ind w:firstLine="632" w:firstLineChars="200"/>
        <w:rPr>
          <w:rFonts w:ascii="仿宋" w:hAnsi="仿宋" w:eastAsia="仿宋" w:cs="仿宋"/>
          <w:bCs/>
          <w:sz w:val="32"/>
          <w:szCs w:val="32"/>
        </w:rPr>
      </w:pPr>
      <w:r>
        <w:rPr>
          <w:rFonts w:hint="eastAsia" w:ascii="仿宋" w:hAnsi="仿宋" w:eastAsia="仿宋" w:cs="仿宋"/>
          <w:bCs/>
          <w:sz w:val="32"/>
          <w:szCs w:val="32"/>
        </w:rPr>
        <w:t>（四）严格落实固体废物污染防治措施。</w:t>
      </w:r>
    </w:p>
    <w:p>
      <w:pPr>
        <w:adjustRightInd w:val="0"/>
        <w:snapToGrid w:val="0"/>
        <w:spacing w:line="560" w:lineRule="exact"/>
        <w:ind w:firstLine="632" w:firstLineChars="200"/>
        <w:rPr>
          <w:rFonts w:hint="eastAsia" w:ascii="仿宋" w:hAnsi="仿宋" w:eastAsia="仿宋" w:cs="仿宋"/>
          <w:bCs/>
          <w:sz w:val="32"/>
          <w:szCs w:val="32"/>
        </w:rPr>
      </w:pPr>
      <w:r>
        <w:rPr>
          <w:rFonts w:hint="eastAsia" w:ascii="仿宋" w:hAnsi="仿宋" w:eastAsia="仿宋" w:cs="仿宋"/>
          <w:bCs/>
          <w:sz w:val="32"/>
          <w:szCs w:val="32"/>
        </w:rPr>
        <w:t>项目产生的铁边角料、铁屑、废焊材、废焊剂、废钢球、氧化铁皮、金属屑、废水性漆桶、除尘灰交由鑫旭再生资源回收有限公司处理；除尘器废布袋交由河北浭润再生资源有限公司处理；不合格产品返回生产工序综合利用。⑵危险废物主要为废油漆桶、废固化剂桶、废稀释剂桶、漆渣、湿式漆雾预处理装置喷淋废水、废过滤棉、废活性炭、废催化剂、废润滑油、废液压油、废油桶。</w:t>
      </w:r>
    </w:p>
    <w:p>
      <w:pPr>
        <w:adjustRightInd w:val="0"/>
        <w:snapToGrid w:val="0"/>
        <w:spacing w:line="560" w:lineRule="exact"/>
        <w:rPr>
          <w:rFonts w:hint="eastAsia" w:ascii="仿宋" w:hAnsi="仿宋" w:eastAsia="仿宋" w:cs="仿宋"/>
          <w:bCs/>
          <w:sz w:val="32"/>
          <w:szCs w:val="32"/>
          <w:lang w:eastAsia="zh-CN"/>
        </w:rPr>
      </w:pPr>
      <w:r>
        <w:rPr>
          <w:rFonts w:hint="eastAsia" w:ascii="仿宋" w:hAnsi="仿宋" w:eastAsia="仿宋" w:cs="仿宋"/>
          <w:bCs/>
          <w:sz w:val="32"/>
          <w:szCs w:val="32"/>
        </w:rPr>
        <w:t>废油漆桶、废固化剂桶、废稀释剂桶、漆渣、废过滤棉、废活性炭、废催化剂、废润滑油、废液压油、废油桶分类收集，暂存于厂区危险废物暂存间，定期委托有资质的危险废物处置单位处理；湿式漆雾预处理装置喷淋废水更换时，直接委托有资质的危险废物处置单位清运出厂，不在危险废物暂存间内暂存</w:t>
      </w:r>
      <w:r>
        <w:rPr>
          <w:rFonts w:hint="eastAsia" w:ascii="仿宋" w:hAnsi="仿宋" w:eastAsia="仿宋" w:cs="仿宋"/>
          <w:bCs/>
          <w:sz w:val="32"/>
          <w:szCs w:val="32"/>
          <w:lang w:eastAsia="zh-CN"/>
        </w:rPr>
        <w:t>。</w:t>
      </w:r>
    </w:p>
    <w:p>
      <w:pPr>
        <w:adjustRightInd w:val="0"/>
        <w:snapToGrid w:val="0"/>
        <w:spacing w:line="560" w:lineRule="exact"/>
        <w:ind w:firstLine="632" w:firstLineChars="200"/>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上述</w:t>
      </w:r>
      <w:r>
        <w:rPr>
          <w:rFonts w:hint="eastAsia" w:ascii="仿宋" w:hAnsi="仿宋" w:eastAsia="仿宋" w:cs="仿宋"/>
          <w:bCs/>
          <w:sz w:val="32"/>
          <w:szCs w:val="32"/>
          <w:lang w:eastAsia="zh-CN"/>
        </w:rPr>
        <w:t>各类固体废物均得到合理处置，处置措施均符合标准、政策要求。</w:t>
      </w:r>
    </w:p>
    <w:p>
      <w:pPr>
        <w:autoSpaceDE w:val="0"/>
        <w:autoSpaceDN w:val="0"/>
        <w:adjustRightInd w:val="0"/>
        <w:snapToGrid w:val="0"/>
        <w:spacing w:line="560" w:lineRule="exact"/>
        <w:ind w:firstLine="632" w:firstLineChars="200"/>
        <w:rPr>
          <w:rFonts w:ascii="仿宋" w:hAnsi="仿宋" w:eastAsia="仿宋" w:cs="仿宋"/>
          <w:sz w:val="32"/>
          <w:szCs w:val="32"/>
        </w:rPr>
      </w:pPr>
      <w:r>
        <w:rPr>
          <w:rFonts w:hint="eastAsia" w:ascii="仿宋" w:hAnsi="仿宋" w:eastAsia="仿宋" w:cs="仿宋"/>
          <w:sz w:val="32"/>
          <w:szCs w:val="32"/>
        </w:rPr>
        <w:t>五、严格落实各项建设项目环境管理要求。</w:t>
      </w:r>
    </w:p>
    <w:p>
      <w:pPr>
        <w:autoSpaceDE w:val="0"/>
        <w:autoSpaceDN w:val="0"/>
        <w:adjustRightInd w:val="0"/>
        <w:snapToGrid w:val="0"/>
        <w:spacing w:line="560" w:lineRule="exact"/>
        <w:ind w:firstLine="310" w:firstLineChars="98"/>
        <w:rPr>
          <w:rFonts w:ascii="仿宋" w:hAnsi="仿宋" w:eastAsia="仿宋" w:cs="仿宋"/>
          <w:sz w:val="32"/>
          <w:szCs w:val="32"/>
        </w:rPr>
      </w:pPr>
      <w:r>
        <w:rPr>
          <w:rFonts w:hint="eastAsia" w:ascii="仿宋" w:hAnsi="仿宋" w:eastAsia="仿宋" w:cs="仿宋"/>
          <w:sz w:val="32"/>
          <w:szCs w:val="32"/>
        </w:rPr>
        <w:t>（一）建立内部生态环境管理机构和制度，明确人员和生态环境保护职责。项目实施必须严格执行环境保护设施与主体工程同时设计、同时施工、同时投产使用的“三同时”制度。</w:t>
      </w:r>
    </w:p>
    <w:p>
      <w:pPr>
        <w:autoSpaceDE w:val="0"/>
        <w:autoSpaceDN w:val="0"/>
        <w:adjustRightInd w:val="0"/>
        <w:snapToGrid w:val="0"/>
        <w:spacing w:line="560" w:lineRule="exact"/>
        <w:ind w:firstLine="310" w:firstLineChars="98"/>
        <w:rPr>
          <w:rFonts w:ascii="仿宋" w:hAnsi="仿宋" w:eastAsia="仿宋" w:cs="仿宋"/>
          <w:sz w:val="32"/>
          <w:szCs w:val="32"/>
        </w:rPr>
      </w:pPr>
      <w:r>
        <w:rPr>
          <w:rFonts w:hint="eastAsia" w:ascii="仿宋" w:hAnsi="仿宋" w:eastAsia="仿宋" w:cs="仿宋"/>
          <w:sz w:val="32"/>
          <w:szCs w:val="32"/>
        </w:rPr>
        <w:t>（二）环境影响报告书经批准后，项目的性质、规模、地点或者防治污染、防止生态破坏的措施发生重大变动的，应当重新报批该项目的环境影响报告书。自环境影响报告书批复文件批准之日起，如超过</w:t>
      </w:r>
      <w:r>
        <w:rPr>
          <w:rFonts w:ascii="仿宋" w:hAnsi="仿宋" w:eastAsia="仿宋" w:cs="仿宋"/>
          <w:sz w:val="32"/>
          <w:szCs w:val="32"/>
        </w:rPr>
        <w:t>5</w:t>
      </w:r>
      <w:r>
        <w:rPr>
          <w:rFonts w:hint="eastAsia" w:ascii="仿宋" w:hAnsi="仿宋" w:eastAsia="仿宋" w:cs="仿宋"/>
          <w:sz w:val="32"/>
          <w:szCs w:val="32"/>
        </w:rPr>
        <w:t>年方决定工程开工建设的，环境影响报告书应当报我局重新审核。</w:t>
      </w:r>
    </w:p>
    <w:p>
      <w:pPr>
        <w:autoSpaceDE w:val="0"/>
        <w:autoSpaceDN w:val="0"/>
        <w:adjustRightInd w:val="0"/>
        <w:snapToGrid w:val="0"/>
        <w:spacing w:line="560" w:lineRule="exact"/>
        <w:ind w:firstLine="632" w:firstLineChars="200"/>
        <w:rPr>
          <w:rFonts w:ascii="仿宋" w:hAnsi="仿宋" w:eastAsia="仿宋" w:cs="仿宋"/>
          <w:sz w:val="32"/>
          <w:szCs w:val="32"/>
        </w:rPr>
      </w:pPr>
      <w:r>
        <w:rPr>
          <w:rFonts w:hint="eastAsia" w:ascii="仿宋" w:hAnsi="仿宋" w:eastAsia="仿宋" w:cs="仿宋"/>
          <w:sz w:val="32"/>
          <w:szCs w:val="32"/>
        </w:rPr>
        <w:t>七、建设单位需依法依规向社会公开相关环境信息，建立与公众信息沟通和意见反馈机制，履行好社会责任和环境责任。</w:t>
      </w:r>
    </w:p>
    <w:p>
      <w:pPr>
        <w:spacing w:line="560" w:lineRule="exact"/>
        <w:ind w:firstLine="5056" w:firstLineChars="1600"/>
        <w:jc w:val="left"/>
        <w:rPr>
          <w:rFonts w:ascii="仿宋" w:hAnsi="仿宋" w:eastAsia="仿宋" w:cs="宋体"/>
          <w:sz w:val="32"/>
          <w:szCs w:val="32"/>
        </w:rPr>
      </w:pPr>
    </w:p>
    <w:p>
      <w:pPr>
        <w:spacing w:line="560" w:lineRule="exact"/>
        <w:ind w:firstLine="5056" w:firstLineChars="1600"/>
        <w:jc w:val="left"/>
        <w:rPr>
          <w:rFonts w:ascii="仿宋" w:hAnsi="仿宋" w:eastAsia="仿宋" w:cs="??_GB2312"/>
          <w:sz w:val="32"/>
          <w:szCs w:val="32"/>
        </w:rPr>
      </w:pPr>
      <w:r>
        <w:rPr>
          <w:rFonts w:hint="eastAsia" w:ascii="仿宋" w:hAnsi="仿宋" w:eastAsia="仿宋" w:cs="宋体"/>
          <w:sz w:val="32"/>
          <w:szCs w:val="32"/>
        </w:rPr>
        <w:t>唐山市丰润区行政审批局</w:t>
      </w:r>
    </w:p>
    <w:p>
      <w:pPr>
        <w:spacing w:line="560" w:lineRule="exact"/>
        <w:ind w:firstLine="5448" w:firstLineChars="1724"/>
        <w:jc w:val="left"/>
        <w:rPr>
          <w:rFonts w:ascii="仿宋" w:hAnsi="仿宋" w:eastAsia="仿宋" w:cs="宋体"/>
          <w:sz w:val="32"/>
          <w:szCs w:val="32"/>
        </w:rPr>
      </w:pPr>
      <w:r>
        <w:rPr>
          <w:rFonts w:hint="eastAsia" w:ascii="仿宋" w:hAnsi="仿宋" w:eastAsia="仿宋" w:cs="??_GB2312"/>
          <w:sz w:val="32"/>
          <w:szCs w:val="32"/>
        </w:rPr>
        <w:t>20</w:t>
      </w:r>
      <w:r>
        <w:rPr>
          <w:rFonts w:hint="eastAsia" w:ascii="仿宋" w:hAnsi="仿宋" w:eastAsia="仿宋" w:cs="??_GB2312"/>
          <w:sz w:val="32"/>
          <w:szCs w:val="32"/>
          <w:lang w:val="en-US" w:eastAsia="zh-CN"/>
        </w:rPr>
        <w:t>24</w:t>
      </w:r>
      <w:r>
        <w:rPr>
          <w:rFonts w:hint="eastAsia" w:ascii="仿宋" w:hAnsi="仿宋" w:eastAsia="仿宋" w:cs="宋体"/>
          <w:sz w:val="32"/>
          <w:szCs w:val="32"/>
        </w:rPr>
        <w:t>年</w:t>
      </w:r>
      <w:r>
        <w:rPr>
          <w:rFonts w:hint="eastAsia" w:ascii="仿宋" w:hAnsi="仿宋" w:eastAsia="仿宋" w:cs="??_GB2312"/>
          <w:sz w:val="32"/>
          <w:szCs w:val="32"/>
          <w:lang w:val="en-US" w:eastAsia="zh-CN"/>
        </w:rPr>
        <w:t>3</w:t>
      </w:r>
      <w:r>
        <w:rPr>
          <w:rFonts w:hint="eastAsia" w:ascii="仿宋" w:hAnsi="仿宋" w:eastAsia="仿宋" w:cs="宋体"/>
          <w:sz w:val="32"/>
          <w:szCs w:val="32"/>
        </w:rPr>
        <w:t>月</w:t>
      </w:r>
      <w:r>
        <w:rPr>
          <w:rFonts w:hint="eastAsia" w:ascii="仿宋" w:hAnsi="仿宋" w:eastAsia="仿宋" w:cs="??_GB2312"/>
          <w:sz w:val="32"/>
          <w:szCs w:val="32"/>
          <w:lang w:val="en-US" w:eastAsia="zh-CN"/>
        </w:rPr>
        <w:t>4</w:t>
      </w:r>
      <w:r>
        <w:rPr>
          <w:rFonts w:hint="eastAsia" w:ascii="仿宋" w:hAnsi="仿宋" w:eastAsia="仿宋" w:cs="宋体"/>
          <w:sz w:val="32"/>
          <w:szCs w:val="32"/>
        </w:rPr>
        <w:t>日</w:t>
      </w:r>
    </w:p>
    <w:p>
      <w:pPr>
        <w:spacing w:line="560" w:lineRule="exact"/>
        <w:ind w:firstLine="5132" w:firstLineChars="1624"/>
        <w:jc w:val="left"/>
        <w:rPr>
          <w:rFonts w:ascii="仿宋" w:hAnsi="仿宋" w:eastAsia="仿宋" w:cs="宋体"/>
          <w:sz w:val="32"/>
          <w:szCs w:val="32"/>
        </w:rPr>
      </w:pPr>
    </w:p>
    <w:p>
      <w:pPr>
        <w:spacing w:line="560" w:lineRule="exact"/>
        <w:ind w:firstLine="5132" w:firstLineChars="1624"/>
        <w:jc w:val="left"/>
        <w:rPr>
          <w:rFonts w:ascii="仿宋" w:hAnsi="仿宋" w:eastAsia="仿宋" w:cs="宋体"/>
          <w:sz w:val="32"/>
          <w:szCs w:val="32"/>
        </w:rPr>
      </w:pPr>
    </w:p>
    <w:p>
      <w:pPr>
        <w:spacing w:line="560" w:lineRule="exact"/>
        <w:jc w:val="left"/>
        <w:rPr>
          <w:rFonts w:ascii="仿宋" w:hAnsi="仿宋" w:eastAsia="仿宋" w:cs="宋体"/>
          <w:sz w:val="32"/>
          <w:szCs w:val="32"/>
        </w:rPr>
      </w:pPr>
    </w:p>
    <w:p>
      <w:pPr>
        <w:shd w:val="clear" w:color="auto" w:fill="FFFFFF"/>
        <w:spacing w:line="560" w:lineRule="exact"/>
      </w:pPr>
    </w:p>
    <w:sectPr>
      <w:headerReference r:id="rId4" w:type="first"/>
      <w:headerReference r:id="rId3" w:type="default"/>
      <w:footerReference r:id="rId5" w:type="default"/>
      <w:footerReference r:id="rId6" w:type="even"/>
      <w:pgSz w:w="11906" w:h="16838"/>
      <w:pgMar w:top="2098" w:right="1474" w:bottom="1701" w:left="1588" w:header="851" w:footer="992"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swiss"/>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3"/>
      </w:rPr>
    </w:pPr>
    <w:r>
      <w:fldChar w:fldCharType="begin"/>
    </w:r>
    <w:r>
      <w:rPr>
        <w:rStyle w:val="13"/>
      </w:rPr>
      <w:instrText xml:space="preserve">PAGE  </w:instrText>
    </w:r>
    <w:r>
      <w:fldChar w:fldCharType="separate"/>
    </w:r>
    <w:r>
      <w:rPr>
        <w:rStyle w:val="13"/>
      </w:rPr>
      <w:t>4</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rPr>
        <w:rFonts w:hint="eastAsia" w:ascii="仿宋" w:hAnsi="仿宋" w:eastAsia="仿宋"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xODA5ZGY1NWEyNjQwZDYwMjU3ZGM4MWE2ZTI0NzgifQ=="/>
  </w:docVars>
  <w:rsids>
    <w:rsidRoot w:val="0094368F"/>
    <w:rsid w:val="0001150D"/>
    <w:rsid w:val="000C5FA1"/>
    <w:rsid w:val="000D25A6"/>
    <w:rsid w:val="00117E6B"/>
    <w:rsid w:val="001366BE"/>
    <w:rsid w:val="0015094F"/>
    <w:rsid w:val="00161145"/>
    <w:rsid w:val="00183760"/>
    <w:rsid w:val="00187F89"/>
    <w:rsid w:val="001C111A"/>
    <w:rsid w:val="001D0EB8"/>
    <w:rsid w:val="00217D44"/>
    <w:rsid w:val="00227126"/>
    <w:rsid w:val="00235F98"/>
    <w:rsid w:val="00237294"/>
    <w:rsid w:val="00237C21"/>
    <w:rsid w:val="00292CAA"/>
    <w:rsid w:val="002B6EA3"/>
    <w:rsid w:val="0033384C"/>
    <w:rsid w:val="00344BC3"/>
    <w:rsid w:val="00351E37"/>
    <w:rsid w:val="00364B4D"/>
    <w:rsid w:val="00371364"/>
    <w:rsid w:val="003754F5"/>
    <w:rsid w:val="003A18CD"/>
    <w:rsid w:val="003A38FC"/>
    <w:rsid w:val="003A7179"/>
    <w:rsid w:val="003B3C65"/>
    <w:rsid w:val="003B4040"/>
    <w:rsid w:val="003C0E01"/>
    <w:rsid w:val="003D467F"/>
    <w:rsid w:val="003F165A"/>
    <w:rsid w:val="00456B45"/>
    <w:rsid w:val="00460429"/>
    <w:rsid w:val="004912E6"/>
    <w:rsid w:val="00496843"/>
    <w:rsid w:val="004A1B73"/>
    <w:rsid w:val="004B5ADE"/>
    <w:rsid w:val="004F3424"/>
    <w:rsid w:val="00512C1D"/>
    <w:rsid w:val="005377D5"/>
    <w:rsid w:val="0056665F"/>
    <w:rsid w:val="00572704"/>
    <w:rsid w:val="005867E8"/>
    <w:rsid w:val="00590A19"/>
    <w:rsid w:val="005B09F9"/>
    <w:rsid w:val="005C1035"/>
    <w:rsid w:val="00635458"/>
    <w:rsid w:val="00646C74"/>
    <w:rsid w:val="00651623"/>
    <w:rsid w:val="0067654E"/>
    <w:rsid w:val="00681D2A"/>
    <w:rsid w:val="00687175"/>
    <w:rsid w:val="006A101B"/>
    <w:rsid w:val="006D50B4"/>
    <w:rsid w:val="006E0CFF"/>
    <w:rsid w:val="0072092A"/>
    <w:rsid w:val="00750576"/>
    <w:rsid w:val="00790FC6"/>
    <w:rsid w:val="007C0D9F"/>
    <w:rsid w:val="007C3685"/>
    <w:rsid w:val="00800C06"/>
    <w:rsid w:val="00856AFF"/>
    <w:rsid w:val="0087572C"/>
    <w:rsid w:val="008A02AF"/>
    <w:rsid w:val="008A3371"/>
    <w:rsid w:val="008F52BF"/>
    <w:rsid w:val="009318A5"/>
    <w:rsid w:val="0094368F"/>
    <w:rsid w:val="00964D84"/>
    <w:rsid w:val="009C2A6D"/>
    <w:rsid w:val="00A1303A"/>
    <w:rsid w:val="00A273E6"/>
    <w:rsid w:val="00A60361"/>
    <w:rsid w:val="00A70F74"/>
    <w:rsid w:val="00AB3E13"/>
    <w:rsid w:val="00AF42DE"/>
    <w:rsid w:val="00B51895"/>
    <w:rsid w:val="00B53C13"/>
    <w:rsid w:val="00B81797"/>
    <w:rsid w:val="00BA6728"/>
    <w:rsid w:val="00BC6F4D"/>
    <w:rsid w:val="00BD5352"/>
    <w:rsid w:val="00BF1C7F"/>
    <w:rsid w:val="00C2117E"/>
    <w:rsid w:val="00C23068"/>
    <w:rsid w:val="00C36A85"/>
    <w:rsid w:val="00C91B67"/>
    <w:rsid w:val="00CA1549"/>
    <w:rsid w:val="00CA58C8"/>
    <w:rsid w:val="00CB6421"/>
    <w:rsid w:val="00CC0AA0"/>
    <w:rsid w:val="00CC66A4"/>
    <w:rsid w:val="00CC7C72"/>
    <w:rsid w:val="00CE0434"/>
    <w:rsid w:val="00CE1B6C"/>
    <w:rsid w:val="00CF6C89"/>
    <w:rsid w:val="00D024FA"/>
    <w:rsid w:val="00D22FF3"/>
    <w:rsid w:val="00D52FBE"/>
    <w:rsid w:val="00D6746F"/>
    <w:rsid w:val="00D81A9E"/>
    <w:rsid w:val="00D95C62"/>
    <w:rsid w:val="00DA6C31"/>
    <w:rsid w:val="00DC01D1"/>
    <w:rsid w:val="00DF321F"/>
    <w:rsid w:val="00DF35FA"/>
    <w:rsid w:val="00DF68FA"/>
    <w:rsid w:val="00E811D3"/>
    <w:rsid w:val="00E86804"/>
    <w:rsid w:val="00E916CC"/>
    <w:rsid w:val="00EA54E9"/>
    <w:rsid w:val="00EB7BE1"/>
    <w:rsid w:val="00EE7A45"/>
    <w:rsid w:val="00F10E29"/>
    <w:rsid w:val="00F15D08"/>
    <w:rsid w:val="00F1711C"/>
    <w:rsid w:val="00F17C82"/>
    <w:rsid w:val="00F250D6"/>
    <w:rsid w:val="00F326C5"/>
    <w:rsid w:val="00F371A6"/>
    <w:rsid w:val="00F51FEC"/>
    <w:rsid w:val="00F625E7"/>
    <w:rsid w:val="00F77C2C"/>
    <w:rsid w:val="00FA2A75"/>
    <w:rsid w:val="064F412D"/>
    <w:rsid w:val="12D83A62"/>
    <w:rsid w:val="1B5152D0"/>
    <w:rsid w:val="37DA71F1"/>
    <w:rsid w:val="46BB51AC"/>
    <w:rsid w:val="48A71E8C"/>
    <w:rsid w:val="5D6B74D4"/>
    <w:rsid w:val="62F67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7"/>
    <w:semiHidden/>
    <w:unhideWhenUsed/>
    <w:qFormat/>
    <w:uiPriority w:val="99"/>
    <w:pPr>
      <w:ind w:left="100" w:leftChars="2500"/>
    </w:pPr>
  </w:style>
  <w:style w:type="paragraph" w:styleId="4">
    <w:name w:val="footer"/>
    <w:basedOn w:val="1"/>
    <w:link w:val="9"/>
    <w:unhideWhenUsed/>
    <w:uiPriority w:val="0"/>
    <w:pPr>
      <w:tabs>
        <w:tab w:val="center" w:pos="4153"/>
        <w:tab w:val="right" w:pos="8306"/>
      </w:tabs>
      <w:snapToGrid w:val="0"/>
      <w:jc w:val="left"/>
    </w:pPr>
    <w:rPr>
      <w:sz w:val="18"/>
      <w:szCs w:val="18"/>
    </w:rPr>
  </w:style>
  <w:style w:type="paragraph" w:styleId="5">
    <w:name w:val="header"/>
    <w:basedOn w:val="1"/>
    <w:link w:val="8"/>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0"/>
    <w:rPr>
      <w:sz w:val="18"/>
      <w:szCs w:val="18"/>
    </w:rPr>
  </w:style>
  <w:style w:type="character" w:customStyle="1" w:styleId="9">
    <w:name w:val="页脚 Char"/>
    <w:basedOn w:val="7"/>
    <w:link w:val="4"/>
    <w:qFormat/>
    <w:uiPriority w:val="0"/>
    <w:rPr>
      <w:sz w:val="18"/>
      <w:szCs w:val="18"/>
    </w:rPr>
  </w:style>
  <w:style w:type="character" w:customStyle="1" w:styleId="10">
    <w:name w:val="标题 2 Char"/>
    <w:basedOn w:val="7"/>
    <w:link w:val="2"/>
    <w:uiPriority w:val="0"/>
    <w:rPr>
      <w:rFonts w:asciiTheme="majorHAnsi" w:hAnsiTheme="majorHAnsi" w:eastAsiaTheme="majorEastAsia" w:cstheme="majorBidi"/>
      <w:b/>
      <w:bCs/>
      <w:sz w:val="32"/>
      <w:szCs w:val="32"/>
    </w:rPr>
  </w:style>
  <w:style w:type="character" w:customStyle="1" w:styleId="11">
    <w:name w:val="纯文本 Char"/>
    <w:link w:val="12"/>
    <w:uiPriority w:val="0"/>
    <w:rPr>
      <w:rFonts w:ascii="宋体" w:hAnsi="Courier New" w:cs="Courier New"/>
      <w:szCs w:val="21"/>
    </w:rPr>
  </w:style>
  <w:style w:type="paragraph" w:customStyle="1" w:styleId="12">
    <w:name w:val="纯文本1"/>
    <w:basedOn w:val="1"/>
    <w:link w:val="11"/>
    <w:uiPriority w:val="0"/>
    <w:rPr>
      <w:rFonts w:ascii="宋体" w:hAnsi="Courier New" w:cs="Courier New" w:eastAsiaTheme="minorEastAsia"/>
      <w:szCs w:val="21"/>
    </w:rPr>
  </w:style>
  <w:style w:type="character" w:customStyle="1" w:styleId="13">
    <w:name w:val="页码1"/>
    <w:uiPriority w:val="0"/>
    <w:rPr>
      <w:rFonts w:cs="Times New Roman"/>
    </w:rPr>
  </w:style>
  <w:style w:type="paragraph" w:customStyle="1" w:styleId="14">
    <w:name w:val="列出段落1"/>
    <w:basedOn w:val="1"/>
    <w:uiPriority w:val="0"/>
    <w:pPr>
      <w:ind w:firstLine="420" w:firstLineChars="200"/>
    </w:pPr>
  </w:style>
  <w:style w:type="paragraph" w:customStyle="1" w:styleId="15">
    <w:name w:val="文本块1"/>
    <w:basedOn w:val="1"/>
    <w:uiPriority w:val="0"/>
    <w:pPr>
      <w:ind w:left="1440" w:leftChars="700" w:right="700" w:rightChars="700"/>
    </w:pPr>
  </w:style>
  <w:style w:type="paragraph" w:customStyle="1" w:styleId="16">
    <w:name w:val="Default"/>
    <w:autoRedefine/>
    <w:uiPriority w:val="0"/>
    <w:pPr>
      <w:widowControl w:val="0"/>
      <w:autoSpaceDE w:val="0"/>
      <w:autoSpaceDN w:val="0"/>
      <w:adjustRightInd w:val="0"/>
    </w:pPr>
    <w:rPr>
      <w:rFonts w:ascii="仿宋" w:hAnsi="仿宋" w:cs="仿宋" w:eastAsiaTheme="minorEastAsia"/>
      <w:color w:val="000000"/>
      <w:kern w:val="0"/>
      <w:sz w:val="24"/>
      <w:szCs w:val="24"/>
      <w:lang w:val="en-US" w:eastAsia="zh-CN" w:bidi="ar-SA"/>
    </w:rPr>
  </w:style>
  <w:style w:type="character" w:customStyle="1" w:styleId="17">
    <w:name w:val="日期 Char"/>
    <w:basedOn w:val="7"/>
    <w:link w:val="3"/>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1577</Words>
  <Characters>1607</Characters>
  <Lines>12</Lines>
  <Paragraphs>3</Paragraphs>
  <TotalTime>52</TotalTime>
  <ScaleCrop>false</ScaleCrop>
  <LinksUpToDate>false</LinksUpToDate>
  <CharactersWithSpaces>1626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2020-11-05T08:55:00Z</dcterms:created>
  <dc:creator>NTKO</dc:creator>
  <cp:lastModifiedBy>于先森（布艺窗帘）</cp:lastModifiedBy>
  <cp:lastPrinted>2020-06-15T07:44:00Z</cp:lastPrinted>
  <dcterms:modified xsi:type="dcterms:W3CDTF">2024-03-04T01:26:37Z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85E6E9BC14F8445587ACE2998D0C7A71_13</vt:lpwstr>
  </property>
</Properties>
</file>