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国务院办公厅关于运用大数据加强对市场主体服务和监管的若干意见</w:t>
      </w:r>
    </w:p>
    <w:p>
      <w:pPr>
        <w:rPr>
          <w:rFonts w:hint="eastAsia"/>
        </w:rPr>
      </w:pP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国办发〔</w:t>
      </w: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51</w:t>
      </w:r>
      <w:r>
        <w:rPr>
          <w:rFonts w:hint="eastAsia" w:ascii="方正仿宋简体" w:hAnsi="方正仿宋简体" w:eastAsia="方正仿宋简体" w:cs="方正仿宋简体"/>
          <w:sz w:val="32"/>
          <w:szCs w:val="32"/>
        </w:rPr>
        <w:t>号</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为充分运用大数据先进理念、技术和资源，加强对市场主体的服务和监管，推进简政放权和政府职能转变，提高政府治理能力，经国务院同意，现提出以下意见。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一、充分认识运用大数据加强对市场主体服务和监管的重要性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（二）主要目标。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三、运用大数据提高为市场主体服务水平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运用大数据创新政府服务理念和服务方式。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提高注册登记和行政审批效率。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提高信息服务水平。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加强统计监测和数据加工服务。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引导专业机构和行业组织运用大数据完善服务。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运用大数据评估政府服务绩效。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四、运用大数据加强和改进市场监管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健全事中事后监管机制。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建立健全信用承诺制度。全面建立市场主体准入前信用承诺制度，要求市场主体以规范格式向社会作出公开承诺，违法失信经营后将自愿接受约束和惩戒。信用承诺纳入市场主体信用记录，接受社会监督，并作为事中事后监管的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建立产品信息溯源制度。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五、推进政府和社会信息资源开放共享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（十八）进一步加大政府信息公开和数据开放力度。除法律法规另有规定外，应将行政许可、行政处罚等信息自作出行政决定之日起</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cs="方正仿宋简体"/>
          <w:sz w:val="32"/>
          <w:szCs w:val="32"/>
        </w:rPr>
        <w:t>个工作日内上网公开，提高行政管理透明度和政府公信力。提高政府数据开放意识，有序开放政府数据，方便全社会开发利用。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积极推进政府内部信息交换共享。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一）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六、提高政府运用大数据的能力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三）加强和规范政府数据采集。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六）推动政府向社会力量购买大数据资源和技术服务。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七、积极培育和发展社会化征信服务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九）大力培育发展信用服务业。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八、健全保障措施，加强组织领导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一）建立完善管理制度。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二）完善标准规范。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四）加强人才队伍建设。鼓励高校、人力资源服务机构和企业重点培养跨界复合型、应用创新型大数据专业人才，完善大数据技术、管理和服务人才培养体系。加强政府工作人员培训，增强运用大数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（三十五）加强领导，明确分工。各地区、各部门要切实加强对大数据运用工作的组织领导，按照职责分工，研究出台具体方案和实施办法，做好本地区、本部门的大数据运用工作，不断提高服务和监管能力。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各地区、各部门要加强对本意见落实工作的监督检查，推动在服务和监管过程中广泛深入运用大数据。发展改革委负责对本意见落实工作的统筹协调、跟踪了解、督促检查，确保各项任务和措施落实到位。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附件：重点任务分工及进度安排表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国务院办公厅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2015</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月</w:t>
      </w:r>
      <w:bookmarkStart w:id="0" w:name="_GoBack"/>
      <w:r>
        <w:rPr>
          <w:rFonts w:hint="eastAsia" w:asciiTheme="minorEastAsia" w:hAnsiTheme="minorEastAsia" w:eastAsiaTheme="minorEastAsia" w:cstheme="minorEastAsia"/>
          <w:sz w:val="32"/>
          <w:szCs w:val="32"/>
        </w:rPr>
        <w:t>24</w:t>
      </w:r>
      <w:bookmarkEnd w:id="0"/>
      <w:r>
        <w:rPr>
          <w:rFonts w:hint="eastAsia" w:ascii="方正仿宋简体" w:hAnsi="方正仿宋简体" w:eastAsia="方正仿宋简体" w:cs="方正仿宋简体"/>
          <w:sz w:val="32"/>
          <w:szCs w:val="32"/>
        </w:rPr>
        <w:t xml:space="preserve">日 </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pPr>
        <w:ind w:firstLine="420"/>
        <w:rPr>
          <w:rFonts w:hint="eastAsia"/>
        </w:rPr>
      </w:pPr>
    </w:p>
    <w:p>
      <w:pPr>
        <w:ind w:firstLine="420"/>
        <w:rPr>
          <w:rFonts w:hint="eastAsia"/>
        </w:rPr>
      </w:pPr>
    </w:p>
    <w:p>
      <w:pPr>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重点任务分工及进度安排表</w:t>
      </w:r>
    </w:p>
    <w:tbl>
      <w:tblPr>
        <w:tblW w:w="94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8"/>
        <w:gridCol w:w="3887"/>
        <w:gridCol w:w="3020"/>
        <w:gridCol w:w="1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inset" w:color="000000" w:sz="8" w:space="0"/>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Style w:val="5"/>
                <w:rFonts w:hint="default" w:ascii="寰蒋闆呴粦" w:hAnsi="寰蒋闆呴粦" w:eastAsia="寰蒋闆呴粦" w:cs="寰蒋闆呴粦"/>
                <w:b w:val="0"/>
                <w:bCs w:val="0"/>
                <w:i w:val="0"/>
                <w:iCs w:val="0"/>
                <w:caps w:val="0"/>
                <w:color w:val="333333"/>
                <w:spacing w:val="0"/>
                <w:sz w:val="20"/>
                <w:szCs w:val="20"/>
                <w:bdr w:val="none" w:color="auto" w:sz="0" w:space="0"/>
                <w:shd w:val="clear" w:fill="FFFFFF"/>
              </w:rPr>
              <w:t>序号</w:t>
            </w:r>
          </w:p>
        </w:tc>
        <w:tc>
          <w:tcPr>
            <w:tcW w:w="390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jc w:val="center"/>
              <w:rPr>
                <w:rFonts w:hint="eastAsia" w:ascii="微软雅黑" w:hAnsi="微软雅黑" w:eastAsia="微软雅黑" w:cs="微软雅黑"/>
                <w:sz w:val="21"/>
                <w:szCs w:val="21"/>
              </w:rPr>
            </w:pPr>
            <w:r>
              <w:rPr>
                <w:rStyle w:val="5"/>
                <w:rFonts w:hint="default" w:ascii="寰蒋闆呴粦" w:hAnsi="寰蒋闆呴粦" w:eastAsia="寰蒋闆呴粦" w:cs="寰蒋闆呴粦"/>
                <w:b w:val="0"/>
                <w:bCs w:val="0"/>
                <w:i w:val="0"/>
                <w:iCs w:val="0"/>
                <w:caps w:val="0"/>
                <w:color w:val="333333"/>
                <w:spacing w:val="0"/>
                <w:sz w:val="20"/>
                <w:szCs w:val="20"/>
                <w:bdr w:val="none" w:color="auto" w:sz="0" w:space="0"/>
              </w:rPr>
              <w:t>工作任务</w:t>
            </w:r>
          </w:p>
        </w:tc>
        <w:tc>
          <w:tcPr>
            <w:tcW w:w="303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jc w:val="center"/>
              <w:rPr>
                <w:rFonts w:hint="eastAsia" w:ascii="微软雅黑" w:hAnsi="微软雅黑" w:eastAsia="微软雅黑" w:cs="微软雅黑"/>
                <w:sz w:val="21"/>
                <w:szCs w:val="21"/>
              </w:rPr>
            </w:pPr>
            <w:r>
              <w:rPr>
                <w:rStyle w:val="5"/>
                <w:rFonts w:hint="default" w:ascii="寰蒋闆呴粦" w:hAnsi="寰蒋闆呴粦" w:eastAsia="寰蒋闆呴粦" w:cs="寰蒋闆呴粦"/>
                <w:b w:val="0"/>
                <w:bCs w:val="0"/>
                <w:i w:val="0"/>
                <w:iCs w:val="0"/>
                <w:caps w:val="0"/>
                <w:color w:val="333333"/>
                <w:spacing w:val="0"/>
                <w:sz w:val="20"/>
                <w:szCs w:val="20"/>
                <w:bdr w:val="none" w:color="auto" w:sz="0" w:space="0"/>
              </w:rPr>
              <w:t>负责单位</w:t>
            </w:r>
          </w:p>
        </w:tc>
        <w:tc>
          <w:tcPr>
            <w:tcW w:w="1890" w:type="dxa"/>
            <w:tcBorders>
              <w:top w:val="inset" w:color="000000" w:sz="8" w:space="0"/>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jc w:val="center"/>
              <w:rPr>
                <w:rFonts w:hint="eastAsia" w:ascii="微软雅黑" w:hAnsi="微软雅黑" w:eastAsia="微软雅黑" w:cs="微软雅黑"/>
                <w:sz w:val="21"/>
                <w:szCs w:val="21"/>
              </w:rPr>
            </w:pPr>
            <w:r>
              <w:rPr>
                <w:rStyle w:val="5"/>
                <w:rFonts w:hint="default" w:ascii="寰蒋闆呴粦" w:hAnsi="寰蒋闆呴粦" w:eastAsia="寰蒋闆呴粦" w:cs="寰蒋闆呴粦"/>
                <w:b w:val="0"/>
                <w:bCs w:val="0"/>
                <w:i w:val="0"/>
                <w:iCs w:val="0"/>
                <w:caps w:val="0"/>
                <w:color w:val="333333"/>
                <w:spacing w:val="0"/>
                <w:sz w:val="20"/>
                <w:szCs w:val="20"/>
                <w:bdr w:val="none" w:color="auto" w:sz="0" w:space="0"/>
              </w:rPr>
              <w:t>时间进度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加快建立公民、法人和其他组织统一社会信用代码制度。</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发展改革委、中央编办、公安部、民政部、人民银行、税务总局、工商总局、质检总局</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2015年12月底前出台并实施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全面实行工商营业执照、组织机构代码证和税务登记证“三证合一”、“一照一码”登记制度改革。</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工商总局、中央编办、发展改革委、质检总局、税务总局</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3</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建立多部门网上项目并联审批平台，实现跨部门、跨层级项目审批、核准、备案的“统一受理、同步审查、信息共享、透明公开”。</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发展改革委会同有关部门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4</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推动政府部门整合相关信息，紧密结合企业需求，利用网站和微博、微信等新兴媒体为企业提供服务。</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网信办、工业和信息化部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5</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研究制定在财政资金补助、政府采购、政府购买服务、政府投资工程建设招投标过程中使用信用信息和信用报告的政策措施。</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财政部、发展改革委</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2015年12月底前出台并实施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6</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充分运用大数据技术，改进经济运行监测预测和风险预警，并及时向社会发布相关信息，合理引导市场预期。</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发展改革委、统计局</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7</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支持银行、证券、信托、融资租赁、担保、保险等专业服务机构和行业协会、商会运用大数据为企业提供服务。</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人民银行、银监会、证监会、保监会、民政部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8</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健全事中事后监管机制，汇总整合和关联分析有关数据，构建大数据监管模型，提升政府科学决策和风险预判能力。</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各市场监管部门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2015年12月底前取得阶段性成果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9</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在办理行政许可等环节全面建立市场主体准入前信用承诺制度。信用承诺向社会公开，并纳入市场主体信用记录。</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各行业主管部门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2015年广泛开展试点，2017年12月底前完成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10</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加快建设地方信用信息共享交换平台、部门和行业信用信息系统，通过国家统一的信用信息共享交换平台实现互联共享。</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各省级人民政府，各有关部门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2016年12月底前完成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11</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各有关部门，各省级人民政府</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2015年12月底前取得阶段性成果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12</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商务部、网信办会同食品药品监管总局、农业部、质检总局、工业和信息化部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2015年12月底前出台并实施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13</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工商总局、商务部、网信办、工业和信息化部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14</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进一步加大政府信息公开和数据开放力度。除法律法规另有规定外，将行政许可、行政处罚等信息自作出行政决定之日起7个工作日内上网公开。</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各有关部门，各省级人民政府</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15</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工商总局、其他有关部门，各省级人民政府</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16</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发展改革委、人民银行、其他有关部门，地方各级人民政府</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17</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推动各地区、各部门已建、在建信息系统互联互通和信息交换共享。在部门信息系统项目审批和验收环节，进一步强化对信息共享的要求。</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发展改革委、其他有关部门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持续实施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18</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发展改革委、其他有关部门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分年度推进实施，2020年前基本建成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19</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2015年12月底前实施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探索建立政府信息资源目录。</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各有关部门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2016年12月底前出台目录编制指南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21</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引导征信机构根据市场需求，大力加强信用服务产品创新，进一步扩大信用报告在行政管理和公共服务及银行、证券、保险等领域的应用。</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发展改革委、人民银行、银监会、证监会、保监会</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2017年12月底前取得阶段性成果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22</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落实和完善支持大数据产业发展的财税、金融、产业、人才等政策，推动大数据产业加快发展。</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发展改革委、工业和信息化部、财政部、人力资源社会保障部、人民银行、网信办、银监会、证监会、保监会</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2017年12月底前取得阶段性成果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23</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加快研究完善规范电子政务，监管信息跨境流动，保护国家经济安全、信息安全，以及保护企业商业秘密、个人隐私方面的管理制度，加快制定出台相关法律法规。</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网信办、公安部、工商总局、工业和信息化部、发展改革委等部门会同法制办</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2017年12月底前出台（涉及法律、行政法规的，按照立法程序推进）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24</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推动出台相关法规，对政府部门在行政管理、公共服务中使用信用信息和信用报告作出规定，为联合惩戒市场主体违法失信行为提供依据。</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发展改革委、人民银行、法制办</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2017年12月底前出台（涉及法律、行政法规的，按照立法程序推进）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25</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工业和信息化部、国家标准委、发展改革委、质检总局、网信办、统计局</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2020年前分步出台并实施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0" w:type="dxa"/>
            <w:tcBorders>
              <w:top w:val="nil"/>
              <w:left w:val="inset" w:color="000000" w:sz="8" w:space="0"/>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center"/>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26</w:t>
            </w:r>
          </w:p>
        </w:tc>
        <w:tc>
          <w:tcPr>
            <w:tcW w:w="390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发展改革委、工业和信息化部、网信办会同有关部门</w:t>
            </w:r>
          </w:p>
        </w:tc>
        <w:tc>
          <w:tcPr>
            <w:tcW w:w="1890" w:type="dxa"/>
            <w:tcBorders>
              <w:top w:val="nil"/>
              <w:left w:val="nil"/>
              <w:bottom w:val="inset" w:color="000000" w:sz="8" w:space="0"/>
              <w:right w:val="inset"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微软雅黑" w:hAnsi="微软雅黑" w:eastAsia="微软雅黑" w:cs="微软雅黑"/>
                <w:sz w:val="21"/>
                <w:szCs w:val="21"/>
              </w:rPr>
            </w:pPr>
            <w:r>
              <w:rPr>
                <w:rFonts w:hint="default" w:ascii="寰蒋闆呴粦" w:hAnsi="寰蒋闆呴粦" w:eastAsia="寰蒋闆呴粦" w:cs="寰蒋闆呴粦"/>
                <w:i w:val="0"/>
                <w:iCs w:val="0"/>
                <w:caps w:val="0"/>
                <w:color w:val="333333"/>
                <w:spacing w:val="0"/>
                <w:sz w:val="20"/>
                <w:szCs w:val="20"/>
                <w:bdr w:val="none" w:color="auto" w:sz="0" w:space="0"/>
                <w:shd w:val="clear" w:fill="FFFFFF"/>
              </w:rPr>
              <w:t>2020年前分年度取得阶段性</w:t>
            </w:r>
          </w:p>
        </w:tc>
      </w:tr>
    </w:tbl>
    <w:p>
      <w:pPr>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12160"/>
    <w:rsid w:val="3111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2023-06-09T03:05:00Z</dcterms:created>
  <dc:creator>ai亨亨ai</dc:creator>
  <cp:lastModifiedBy>ai亨亨ai</cp:lastModifiedBy>
  <dcterms:modified xsi:type="dcterms:W3CDTF">2023-06-09T03:35:08Z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